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44"/>
        </w:rPr>
        <w:t>Publication Readiness Assessment</w:t>
      </w:r>
    </w:p>
    <w:p>
      <w:pPr>
        <w:jc w:val="center"/>
      </w:pPr>
      <w:r>
        <w:rPr>
          <w:sz w:val="18"/>
        </w:rPr>
        <w:t>Version 1.0.0-integration.1</w:t>
      </w:r>
    </w:p>
    <w:p>
      <w:r>
        <w:br w:type="page"/>
      </w:r>
    </w:p>
    <w:p>
      <w:pPr>
        <w:spacing w:after="100"/>
      </w:pPr>
      <w:r>
        <w:t>Version: 1.0.0-integration.1</w:t>
      </w:r>
    </w:p>
    <w:p>
      <w:pPr>
        <w:pStyle w:val="Heading1"/>
      </w:pPr>
      <w:r>
        <w:t>Assessment</w:t>
      </w:r>
    </w:p>
    <w:p>
      <w:pPr>
        <w:spacing w:after="100"/>
      </w:pPr>
      <w:r>
        <w:t>Assessment: Publication ready only as a reconciled release candidate, not yet as a ratified normative standard.</w:t>
      </w:r>
    </w:p>
    <w:p>
      <w:pPr>
        <w:spacing w:after="100"/>
      </w:pPr>
      <w:r>
        <w:t>Strengths: coherent authority structure; 54 normalized concepts; 42 declared relations; 16 research papers indexed; complete artifact hashing and provenance paths.</w:t>
      </w:r>
    </w:p>
    <w:p>
      <w:pPr>
        <w:spacing w:after="100"/>
      </w:pPr>
      <w:r>
        <w:t>Blocking items: provisional status of ontology/glossary; incomplete normalized Comparison Contract; uneven reference metadata; absence of ratified empirical validation for Proposed constructs; figure governance gaps.</w:t>
      </w:r>
    </w:p>
    <w:p>
      <w:pPr>
        <w:spacing w:after="100"/>
      </w:pPr>
      <w:r>
        <w:t>Readiness estimate: 78/100. This score reflects corpus completeness and internal coherence, not empirical validation of the theory.</w:t>
      </w:r>
    </w:p>
    <w:p>
      <w:pPr>
        <w:pStyle w:val="Heading1"/>
      </w:pPr>
      <w:r>
        <w:t>Required next gate</w:t>
      </w:r>
    </w:p>
    <w:p>
      <w:pPr>
        <w:spacing w:after="100"/>
      </w:pPr>
      <w:r>
        <w:t>Complete and ratify the formal specification, bibliography metadata audit, experimental handbook, and final consistency audit.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sz w:val="16"/>
      </w:rPr>
      <w:t>Computational Interaction Science - Version 1.0.0-integration.1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sz w:val="16"/>
      </w:rPr>
      <w:t>Publication Readiness Assessment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