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Citation Key Guide</w:t>
      </w:r>
    </w:p>
    <w:p>
      <w:r>
        <w:t>Canonical keys are preserved from the richest retained source record to avoid breaking existing citations. Duplicate keys are listed as aliases in the audit.</w:t>
      </w:r>
    </w:p>
    <w:p>
      <w:pPr>
        <w:pStyle w:val="Heading1"/>
      </w:pPr>
      <w:r>
        <w:t>Policy</w:t>
      </w:r>
    </w:p>
    <w:p>
      <w:r>
        <w:t>1. Existing canonical keys are immutable within Version 1.x.</w:t>
      </w:r>
    </w:p>
    <w:p>
      <w:r>
        <w:t>2. New keys use `familyYYYYshorttitle`; add a lowercase suffix only for collisions.</w:t>
      </w:r>
    </w:p>
    <w:p>
      <w:r>
        <w:t>3. Do not encode journal, publisher, or edition in a key.</w:t>
      </w:r>
    </w:p>
    <w:p>
      <w:r>
        <w:t>4. Key redirects must be recorded in the duplicate report.</w:t>
      </w:r>
    </w:p>
    <w:p>
      <w:r>
        <w:t>5. A future major version may migrate keys only with an automated mapping file.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