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plication-handbook"/>
    <w:p>
      <w:pPr>
        <w:pStyle w:val="Heading1"/>
      </w:pPr>
      <w:r>
        <w:t xml:space="preserve">Replication Handbook</w:t>
      </w:r>
    </w:p>
    <w:bookmarkStart w:id="20" w:name="replication-package"/>
    <w:p>
      <w:pPr>
        <w:pStyle w:val="Heading2"/>
      </w:pPr>
      <w:r>
        <w:t xml:space="preserve">Replication package</w:t>
      </w:r>
    </w:p>
    <w:p>
      <w:pPr>
        <w:pStyle w:val="FirstParagraph"/>
      </w:pPr>
      <w:r>
        <w:t xml:space="preserve">Include immutable study protocol, contracts, hypotheses, analysis plan, data dictionary, raw and processed data, event schema, code, environment lockfile, instrument configuration, stimuli, exclusions, deviations, and results.</w:t>
      </w:r>
    </w:p>
    <w:bookmarkEnd w:id="20"/>
    <w:bookmarkStart w:id="21" w:name="replication-types"/>
    <w:p>
      <w:pPr>
        <w:pStyle w:val="Heading2"/>
      </w:pPr>
      <w:r>
        <w:t xml:space="preserve">Replication types</w:t>
      </w:r>
    </w:p>
    <w:p>
      <w:pPr>
        <w:pStyle w:val="FirstParagraph"/>
      </w:pPr>
      <w:r>
        <w:t xml:space="preserve">Direct: same operationalization and target population.</w:t>
      </w:r>
      <w:r>
        <w:t xml:space="preserve"> </w:t>
      </w:r>
      <w:r>
        <w:t xml:space="preserve">Close: controlled change in setting or implementation.</w:t>
      </w:r>
      <w:r>
        <w:t xml:space="preserve"> </w:t>
      </w:r>
      <w:r>
        <w:t xml:space="preserve">Conceptual: different operationalization of the same canonical construct.</w:t>
      </w:r>
      <w:r>
        <w:t xml:space="preserve"> </w:t>
      </w:r>
      <w:r>
        <w:t xml:space="preserve">Transport: new population, task, projection, or context with explicit invariance tests.</w:t>
      </w:r>
    </w:p>
    <w:bookmarkEnd w:id="21"/>
    <w:bookmarkStart w:id="22" w:name="required-checks"/>
    <w:p>
      <w:pPr>
        <w:pStyle w:val="Heading2"/>
      </w:pPr>
      <w:r>
        <w:t xml:space="preserve">Required checks</w:t>
      </w:r>
    </w:p>
    <w:p>
      <w:pPr>
        <w:pStyle w:val="FirstParagraph"/>
      </w:pPr>
      <w:r>
        <w:t xml:space="preserve">Reproduce segmentation; verify event-to-behavior attribution; recalculate derived measures; rerun model evaluation; compare uncertainty; test robustness to alternate coding; disclose deviations.</w:t>
      </w:r>
    </w:p>
    <w:bookmarkEnd w:id="22"/>
    <w:bookmarkStart w:id="23" w:name="failure-interpretation"/>
    <w:p>
      <w:pPr>
        <w:pStyle w:val="Heading2"/>
      </w:pPr>
      <w:r>
        <w:t xml:space="preserve">Failure interpretation</w:t>
      </w:r>
    </w:p>
    <w:p>
      <w:pPr>
        <w:pStyle w:val="FirstParagraph"/>
      </w:pPr>
      <w:r>
        <w:t xml:space="preserve">A failed replication may challenge instrumentation, operationalization, scope, transport assumptions, or theory. Do not treat it automatically as theoretical falsification.</w:t>
      </w:r>
    </w:p>
    <w:bookmarkEnd w:id="23"/>
    <w:bookmarkEnd w:id="24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2026-07-15T23:47:59Z</dcterms:created>
  <dcterms:modified xsi:type="dcterms:W3CDTF">2026-07-15T23:47:59Z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