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publication-readiness-assessment"/>
    <w:p>
      <w:pPr>
        <w:pStyle w:val="Heading1"/>
      </w:pPr>
      <w:r>
        <w:t xml:space="preserve">Publication Readiness Assessment</w:t>
      </w:r>
    </w:p>
    <w:bookmarkStart w:id="20" w:name="determination"/>
    <w:p>
      <w:pPr>
        <w:pStyle w:val="Heading2"/>
      </w:pPr>
      <w:r>
        <w:t xml:space="preserve">Determination</w:t>
      </w:r>
    </w:p>
    <w:p>
      <w:pPr>
        <w:pStyle w:val="FirstParagraph"/>
      </w:pPr>
      <w:r>
        <w:rPr>
          <w:b/>
          <w:bCs/>
        </w:rPr>
        <w:t xml:space="preserve">Publication infrastructure is editorially normalized for controlled Version 1.0 use, subject to bibliographic authority validation, figure completion, and final publication assembly.</w:t>
      </w:r>
    </w:p>
    <w:bookmarkEnd w:id="20"/>
    <w:bookmarkStart w:id="21" w:name="passed"/>
    <w:p>
      <w:pPr>
        <w:pStyle w:val="Heading2"/>
      </w:pPr>
      <w:r>
        <w:t xml:space="preserve">Passed</w:t>
      </w:r>
    </w:p>
    <w:p>
      <w:pPr>
        <w:pStyle w:val="FirstParagraph"/>
      </w:pPr>
      <w:r>
        <w:t xml:space="preserve">Terminology presentation, canonical contract capitalization, Markdown structure, heading syntax, style policy, release labeling, and derivative-document styling.</w:t>
      </w:r>
    </w:p>
    <w:bookmarkEnd w:id="21"/>
    <w:bookmarkStart w:id="22" w:name="not-evaluated"/>
    <w:p>
      <w:pPr>
        <w:pStyle w:val="Heading2"/>
      </w:pPr>
      <w:r>
        <w:t xml:space="preserve">Not evaluated</w:t>
      </w:r>
    </w:p>
    <w:p>
      <w:pPr>
        <w:pStyle w:val="FirstParagraph"/>
      </w:pPr>
      <w:r>
        <w:t xml:space="preserve">Normative theory, full Knowledge System of Record consistency, complete research-paper hierarchy, bibliographic authority, and empirical validity.</w:t>
      </w:r>
    </w:p>
    <w:bookmarkEnd w:id="22"/>
    <w:bookmarkStart w:id="23" w:name="next-gate"/>
    <w:p>
      <w:pPr>
        <w:pStyle w:val="Heading2"/>
      </w:pPr>
      <w:r>
        <w:t xml:space="preserve">Next gate</w:t>
      </w:r>
    </w:p>
    <w:p>
      <w:pPr>
        <w:pStyle w:val="FirstParagraph"/>
      </w:pPr>
      <w:r>
        <w:t xml:space="preserve">Run bibliographic verification, then perform the final publication copyedit on the complete assembled corpus.</w:t>
      </w:r>
    </w:p>
    <w:bookmarkEnd w:id="23"/>
    <w:bookmarkEnd w:id="24"/>
    <w:sectPr w:rsidR="00FC693F" w:rsidRPr="0006063C" w:rsidSect="00034616">
      <w:pgSz w:h="15840" w:w="12240"/>
      <w:pgMar w:bottom="1080" w:footer="720" w:gutter="0" w:header="720" w:left="1152" w:right="1152" w:top="108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/>
    </w:pPr>
    <w:rPr>
      <w:rFonts w:ascii="Arial" w:eastAsia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320"/>
      <w:outlineLvl w:val="0"/>
    </w:pPr>
    <w:rPr>
      <w:rFonts w:ascii="Arial" w:asciiTheme="majorHAnsi" w:cstheme="majorBidi" w:eastAsia="Arial" w:eastAsiaTheme="majorEastAsia" w:hAnsi="Arial" w:hAnsiTheme="majorHAnsi"/>
      <w:b/>
      <w:bCs/>
      <w:color w:val="1F4E78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40"/>
      <w:outlineLvl w:val="1"/>
    </w:pPr>
    <w:rPr>
      <w:rFonts w:ascii="Arial" w:asciiTheme="majorHAnsi" w:cstheme="majorBidi" w:eastAsia="Arial" w:eastAsiaTheme="majorEastAsia" w:hAnsi="Arial" w:hAnsiTheme="majorHAnsi"/>
      <w:b/>
      <w:bCs/>
      <w:color w:val="2F5597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="Arial" w:eastAsiaTheme="majorEastAsia" w:hAnsi="Arial" w:hAnsiTheme="majorHAnsi"/>
      <w:b/>
      <w:bCs/>
      <w:color w:val="44546A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80" w:line="240" w:lineRule="auto"/>
      <w:contextualSpacing/>
    </w:pPr>
    <w:rPr>
      <w:rFonts w:ascii="Arial" w:asciiTheme="majorHAnsi" w:cstheme="majorBidi" w:eastAsia="Arial" w:eastAsiaTheme="majorEastAsia" w:hAnsi="Arial" w:hAnsiTheme="majorHAnsi"/>
      <w:b/>
      <w:color w:val="1F4E78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asciiTheme="majorHAnsi" w:cstheme="majorBidi" w:eastAsia="Arial" w:eastAsiaTheme="majorEastAsia" w:hAnsi="Arial" w:hAnsiTheme="majorHAnsi"/>
      <w:b/>
      <w:i/>
      <w:iCs/>
      <w:color w:val="44546A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2026-07-15T23:48:23Z</dcterms:created>
  <dcterms:modified xsi:type="dcterms:W3CDTF">2026-07-15T23:48:23Z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