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Computational Interaction Science Reference Corpus</w:t>
      </w:r>
    </w:p>
    <w:p>
      <w:pPr>
        <w:jc w:val="center"/>
      </w:pPr>
      <w:r>
        <w:rPr>
          <w:i/>
          <w:sz w:val="22"/>
        </w:rPr>
        <w:t>Artifact inventory and maintenance rules</w:t>
      </w:r>
    </w:p>
    <w:p/>
    <w:p>
      <w:pPr>
        <w:pStyle w:val="Heading1"/>
      </w:pPr>
      <w:r>
        <w:t>Canonical artifacts</w:t>
      </w:r>
    </w:p>
    <w:p>
      <w:pPr>
        <w:pStyle w:val="ListBullet"/>
      </w:pPr>
      <w:r>
        <w:t>Computational_Interaction_Science_Bibliography.bib</w:t>
      </w:r>
    </w:p>
    <w:p>
      <w:pPr>
        <w:pStyle w:val="ListBullet"/>
      </w:pPr>
      <w:r>
        <w:t>Computational_Interaction_Science_References.docx</w:t>
      </w:r>
    </w:p>
    <w:p>
      <w:pPr>
        <w:pStyle w:val="ListBullet"/>
      </w:pPr>
      <w:r>
        <w:t>Computational_Interaction_Science_Citation_Map.docx</w:t>
      </w:r>
    </w:p>
    <w:p>
      <w:pPr>
        <w:pStyle w:val="ListBullet"/>
      </w:pPr>
      <w:r>
        <w:t>Computational_Interaction_Science_Reading_Guide.docx</w:t>
      </w:r>
    </w:p>
    <w:p>
      <w:pPr>
        <w:pStyle w:val="ListBullet"/>
      </w:pPr>
      <w:r>
        <w:t>Computational_Interaction_Science_Concept_Source_Matrix.docx</w:t>
      </w:r>
    </w:p>
    <w:p>
      <w:pPr>
        <w:pStyle w:val="ListBullet"/>
      </w:pPr>
      <w:r>
        <w:t>Computational_Interaction_Science_Paper_Dependency_Graph.docx</w:t>
      </w:r>
    </w:p>
    <w:p>
      <w:pPr>
        <w:pStyle w:val="Heading1"/>
      </w:pPr>
      <w:r>
        <w:t>Maintenance rules</w:t>
      </w:r>
    </w:p>
    <w:p>
      <w:pPr>
        <w:pStyle w:val="ListBullet"/>
      </w:pPr>
      <w:r>
        <w:t>Use the BibTeX file as the machine-readable system of record.</w:t>
      </w:r>
    </w:p>
    <w:p>
      <w:pPr>
        <w:pStyle w:val="ListBullet"/>
      </w:pPr>
      <w:r>
        <w:t>Do not invent missing DOI, ISBN, issue, or page metadata.</w:t>
      </w:r>
    </w:p>
    <w:p>
      <w:pPr>
        <w:pStyle w:val="ListBullet"/>
      </w:pPr>
      <w:r>
        <w:t>Normalize duplicate entries before adding new citation keys.</w:t>
      </w:r>
    </w:p>
    <w:p>
      <w:pPr>
        <w:pStyle w:val="ListBullet"/>
      </w:pPr>
      <w:r>
        <w:t>Record which concepts each source supports; do not treat citation frequency as evidential strength.</w:t>
      </w:r>
    </w:p>
    <w:p>
      <w:pPr>
        <w:pStyle w:val="ListBullet"/>
      </w:pPr>
      <w:r>
        <w:t>Update dependencies whenever a paper imports or revises a canonical artifact.</w:t>
      </w:r>
    </w:p>
    <w:p>
      <w:pPr>
        <w:pStyle w:val="ListBullet"/>
      </w:pPr>
      <w:r>
        <w:t>Retain contradictory and falsifying sources in the citation map.</w:t>
      </w:r>
    </w:p>
    <w:p>
      <w:pPr>
        <w:pStyle w:val="Heading1"/>
      </w:pPr>
      <w:r>
        <w:t>Extraction coverage</w:t>
      </w:r>
    </w:p>
    <w:p>
      <w:r>
        <w:t>References were consolidated from the completed authored papers available in the project workspace. Foundational source books supplied as background were not recursively mined for their own bibliographies.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