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Publication Readiness Assessment</w:t>
      </w:r>
    </w:p>
    <w:p>
      <w:pPr>
        <w:pStyle w:val="Heading1"/>
      </w:pPr>
      <w:r>
        <w:t>Determination</w:t>
      </w:r>
    </w:p>
    <w:p>
      <w:r>
        <w:t>The bibliography is publication-ready for controlled internal citation and manuscript preparation, but not yet authority-complete for final external release.</w:t>
      </w:r>
    </w:p>
    <w:p>
      <w:pPr>
        <w:pStyle w:val="Heading1"/>
      </w:pPr>
      <w:r>
        <w:t>Blocking items for final external release</w:t>
      </w:r>
    </w:p>
    <w:p>
      <w:pPr>
        <w:pStyle w:val="ListBullet"/>
      </w:pPr>
      <w:r>
        <w:t>Exact authoritative matching for every reference actually cited in the release manuscript.</w:t>
      </w:r>
    </w:p>
    <w:p>
      <w:pPr>
        <w:pStyle w:val="ListBullet"/>
      </w:pPr>
      <w:r>
        <w:t>Resolution of the malformed Sen and Wasow DOI.</w:t>
      </w:r>
    </w:p>
    <w:p>
      <w:pPr>
        <w:pStyle w:val="ListBullet"/>
      </w:pPr>
      <w:r>
        <w:t>Manual review of near-duplicate and multiple-edition groups.</w:t>
      </w:r>
    </w:p>
    <w:p>
      <w:pPr>
        <w:pStyle w:val="ListBullet"/>
      </w:pPr>
      <w:r>
        <w:t>Publisher or national-library verification of book ISBNs and editions.</w:t>
      </w:r>
    </w:p>
    <w:p>
      <w:pPr>
        <w:pStyle w:val="ListBullet"/>
      </w:pPr>
      <w:r>
        <w:t>Retraction/correction review for cited journal articles.</w:t>
      </w:r>
    </w:p>
    <w:p>
      <w:r>
        <w:t>The protocol's non-inference requirement has been preserved: all unverified fields remain blank or explicitly unresolved.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