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Reference Audit Report</w:t>
      </w:r>
    </w:p>
    <w:p>
      <w:pPr>
        <w:pStyle w:val="Heading1"/>
      </w:pPr>
      <w:r>
        <w:t>Scope</w:t>
      </w:r>
    </w:p>
    <w:p>
      <w:r>
        <w:t>All 312 source BibTeX records were parsed, normalized, and evaluated. Exact duplicates were grouped by normalized title and year. The richest record was retained without changing theoretical content.</w:t>
      </w:r>
    </w:p>
    <w:p>
      <w:pPr>
        <w:pStyle w:val="Heading1"/>
      </w:pPr>
      <w:r>
        <w:t>Results</w:t>
      </w:r>
    </w:p>
    <w:p>
      <w:pPr>
        <w:pStyle w:val="ListBullet"/>
      </w:pPr>
      <w:r>
        <w:t>Original records: 312</w:t>
      </w:r>
    </w:p>
    <w:p>
      <w:pPr>
        <w:pStyle w:val="ListBullet"/>
      </w:pPr>
      <w:r>
        <w:t>Canonical records: 267</w:t>
      </w:r>
    </w:p>
    <w:p>
      <w:pPr>
        <w:pStyle w:val="ListBullet"/>
      </w:pPr>
      <w:r>
        <w:t>Exact duplicate records merged: 45</w:t>
      </w:r>
    </w:p>
    <w:p>
      <w:pPr>
        <w:pStyle w:val="ListBullet"/>
      </w:pPr>
      <w:r>
        <w:t>Records with DOI: 14</w:t>
      </w:r>
    </w:p>
    <w:p>
      <w:pPr>
        <w:pStyle w:val="ListBullet"/>
      </w:pPr>
      <w:r>
        <w:t>DOIs with valid syntax: 14</w:t>
      </w:r>
    </w:p>
    <w:p>
      <w:pPr>
        <w:pStyle w:val="ListBullet"/>
      </w:pPr>
      <w:r>
        <w:t>Malformed DOIs: 0</w:t>
      </w:r>
    </w:p>
    <w:p>
      <w:pPr>
        <w:pStyle w:val="ListBullet"/>
      </w:pPr>
      <w:r>
        <w:t>Records with ISBN: 4</w:t>
      </w:r>
    </w:p>
    <w:p>
      <w:pPr>
        <w:pStyle w:val="ListBullet"/>
      </w:pPr>
      <w:r>
        <w:t>ISBNs with valid checksum: 4</w:t>
      </w:r>
    </w:p>
    <w:p>
      <w:pPr>
        <w:pStyle w:val="ListBullet"/>
      </w:pPr>
      <w:r>
        <w:t>Records with volume: 52</w:t>
      </w:r>
    </w:p>
    <w:p>
      <w:pPr>
        <w:pStyle w:val="ListBullet"/>
      </w:pPr>
      <w:r>
        <w:t>Records with issue: 52</w:t>
      </w:r>
    </w:p>
    <w:p>
      <w:pPr>
        <w:pStyle w:val="ListBullet"/>
      </w:pPr>
      <w:r>
        <w:t>Records with pages: 107</w:t>
      </w:r>
    </w:p>
    <w:p>
      <w:pPr>
        <w:pStyle w:val="ListBullet"/>
      </w:pPr>
      <w:r>
        <w:t>Individually externally corroborated records: 2</w:t>
      </w:r>
    </w:p>
    <w:p>
      <w:pPr>
        <w:pStyle w:val="Heading1"/>
      </w:pPr>
      <w:r>
        <w:t>Verification classes</w:t>
      </w:r>
    </w:p>
    <w:p>
      <w:pPr>
        <w:pStyle w:val="ListBullet"/>
      </w:pPr>
      <w:r>
        <w:t>Authority-verified: supported by an authoritative publisher or registry record.</w:t>
      </w:r>
    </w:p>
    <w:p>
      <w:pPr>
        <w:pStyle w:val="ListBullet"/>
      </w:pPr>
      <w:r>
        <w:t>Externally corroborated: supported by an external bibliographic result, but not a machine-retrieved registry record.</w:t>
      </w:r>
    </w:p>
    <w:p>
      <w:pPr>
        <w:pStyle w:val="ListBullet"/>
      </w:pPr>
      <w:r>
        <w:t>Syntax/checksum valid, authority unresolved: identifier format is valid but the authoritative record was not retrieved.</w:t>
      </w:r>
    </w:p>
    <w:p>
      <w:pPr>
        <w:pStyle w:val="ListBullet"/>
      </w:pPr>
      <w:r>
        <w:t>Unresolved: no authoritative exact match was established.</w:t>
      </w:r>
    </w:p>
    <w:p>
      <w:pPr>
        <w:pStyle w:val="Heading1"/>
      </w:pPr>
      <w:r>
        <w:t>Finding</w:t>
      </w:r>
    </w:p>
    <w:p>
      <w:r>
        <w:t>The bibliography is normalized and auditable. It is not fully authority-complete because most entries lack registry-verified metadata. Unresolved fields are retained as blanks and enumerated in Missing_Metadata_Report.csv.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