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Reference Completeness Report</w:t>
      </w:r>
    </w:p>
    <w:p>
      <w:r>
        <w:t>Canonical references: 267.</w:t>
      </w:r>
    </w:p>
    <w:p>
      <w:r>
        <w:t>Completeness is field-dependent and publication-type dependent. Identifier absence is not automatically an error: older books, reports, and standards may legitimately lack DOIs. The accompanying audit distinguishes not-applicable candidates from unresolved values only where the source type makes that determination possible.</w:t>
      </w:r>
    </w:p>
    <w:p>
      <w:r>
        <w:t>Current identifier coverage is limited: 14 DOI-bearing records and 4 ISBN-bearing records. Volume, issue, and page coverage remain uneven. The bibliography is structurally complete but authority metadata is incomplete.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