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xperimental-handbook"/>
    <w:p>
      <w:pPr>
        <w:pStyle w:val="Heading1"/>
      </w:pPr>
      <w:r>
        <w:t xml:space="preserve">Experimental Handbook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Operationalize the Version 1.0 contracts without changing theory. Every study must declare the interaction boundary, participants, task, projection, opportunity structure, observation model, behavior coding, measures, uncertainty, and falsification conditions.</w:t>
      </w:r>
    </w:p>
    <w:bookmarkEnd w:id="20"/>
    <w:bookmarkStart w:id="21" w:name="required-workflow"/>
    <w:p>
      <w:pPr>
        <w:pStyle w:val="Heading2"/>
      </w:pPr>
      <w:r>
        <w:t xml:space="preserve">Required workflow</w:t>
      </w:r>
    </w:p>
    <w:p>
      <w:pPr>
        <w:pStyle w:val="Compact"/>
        <w:numPr>
          <w:ilvl w:val="0"/>
          <w:numId w:val="1001"/>
        </w:numPr>
      </w:pPr>
      <w:r>
        <w:t xml:space="preserve">Register the target construct and canonical identifier.</w:t>
      </w:r>
    </w:p>
    <w:p>
      <w:pPr>
        <w:pStyle w:val="Compact"/>
        <w:numPr>
          <w:ilvl w:val="0"/>
          <w:numId w:val="1001"/>
        </w:numPr>
      </w:pPr>
      <w:r>
        <w:t xml:space="preserve">Instantiate the relevant contract.</w:t>
      </w:r>
    </w:p>
    <w:p>
      <w:pPr>
        <w:pStyle w:val="Compact"/>
        <w:numPr>
          <w:ilvl w:val="0"/>
          <w:numId w:val="1001"/>
        </w:numPr>
      </w:pPr>
      <w:r>
        <w:t xml:space="preserve">Define population, task, context, initial state, projection, authority, and timescale.</w:t>
      </w:r>
    </w:p>
    <w:p>
      <w:pPr>
        <w:pStyle w:val="Compact"/>
        <w:numPr>
          <w:ilvl w:val="0"/>
          <w:numId w:val="1001"/>
        </w:numPr>
      </w:pPr>
      <w:r>
        <w:t xml:space="preserve">Separate raw records, detected events, attributed behavior, latent constructs, and conclusions.</w:t>
      </w:r>
    </w:p>
    <w:p>
      <w:pPr>
        <w:pStyle w:val="Compact"/>
        <w:numPr>
          <w:ilvl w:val="0"/>
          <w:numId w:val="1001"/>
        </w:numPr>
      </w:pPr>
      <w:r>
        <w:t xml:space="preserve">Predeclare exclusions, missing-data handling, manipulation checks, and comparison tolerances.</w:t>
      </w:r>
    </w:p>
    <w:p>
      <w:pPr>
        <w:pStyle w:val="Compact"/>
        <w:numPr>
          <w:ilvl w:val="0"/>
          <w:numId w:val="1001"/>
        </w:numPr>
      </w:pPr>
      <w:r>
        <w:t xml:space="preserve">Capture provenance and software/instrument versions.</w:t>
      </w:r>
    </w:p>
    <w:p>
      <w:pPr>
        <w:pStyle w:val="Compact"/>
        <w:numPr>
          <w:ilvl w:val="0"/>
          <w:numId w:val="1001"/>
        </w:numPr>
      </w:pPr>
      <w:r>
        <w:t xml:space="preserve">Report uncertainty and alternative explanations.</w:t>
      </w:r>
    </w:p>
    <w:bookmarkEnd w:id="21"/>
    <w:bookmarkStart w:id="28" w:name="protocol-families"/>
    <w:p>
      <w:pPr>
        <w:pStyle w:val="Heading2"/>
      </w:pPr>
      <w:r>
        <w:t xml:space="preserve">Protocol families</w:t>
      </w:r>
    </w:p>
    <w:bookmarkStart w:id="22" w:name="interaction"/>
    <w:p>
      <w:pPr>
        <w:pStyle w:val="Heading3"/>
      </w:pPr>
      <w:r>
        <w:t xml:space="preserve">Interaction</w:t>
      </w:r>
    </w:p>
    <w:p>
      <w:pPr>
        <w:pStyle w:val="FirstParagraph"/>
      </w:pPr>
      <w:r>
        <w:t xml:space="preserve">Declare systems, coupling, reciprocal or recurrent closure, boundaries, initiation, transitions, completion, failure, and recovery.</w:t>
      </w:r>
    </w:p>
    <w:bookmarkEnd w:id="22"/>
    <w:bookmarkStart w:id="23" w:name="behavior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Specify observation model, segmentation, attribution criteria, trace representation, and prohibition on inferring intention from action alone.</w:t>
      </w:r>
    </w:p>
    <w:bookmarkEnd w:id="23"/>
    <w:bookmarkStart w:id="24" w:name="opportunity"/>
    <w:p>
      <w:pPr>
        <w:pStyle w:val="Heading3"/>
      </w:pPr>
      <w:r>
        <w:t xml:space="preserve">Opportunity</w:t>
      </w:r>
    </w:p>
    <w:p>
      <w:pPr>
        <w:pStyle w:val="FirstParagraph"/>
      </w:pPr>
      <w:r>
        <w:t xml:space="preserve">Record possible, capable, permitted, enabled, reachable, exposed, signaled, believed, selected, executed, successful, and reversible dimensions separately.</w:t>
      </w:r>
    </w:p>
    <w:bookmarkEnd w:id="24"/>
    <w:bookmarkStart w:id="25" w:name="similarity-and-comparison"/>
    <w:p>
      <w:pPr>
        <w:pStyle w:val="Heading3"/>
      </w:pPr>
      <w:r>
        <w:t xml:space="preserve">Similarity and comparison</w:t>
      </w:r>
    </w:p>
    <w:p>
      <w:pPr>
        <w:pStyle w:val="FirstParagraph"/>
      </w:pPr>
      <w:r>
        <w:t xml:space="preserve">Declare correspondence, observables, invariants, transformations, metric, tolerance, uncertainty, and incomparability conditions.</w:t>
      </w:r>
    </w:p>
    <w:bookmarkEnd w:id="25"/>
    <w:bookmarkStart w:id="26" w:name="transfer-and-strategy"/>
    <w:p>
      <w:pPr>
        <w:pStyle w:val="Heading3"/>
      </w:pPr>
      <w:r>
        <w:t xml:space="preserve">Transfer and strategy</w:t>
      </w:r>
    </w:p>
    <w:p>
      <w:pPr>
        <w:pStyle w:val="FirstParagraph"/>
      </w:pPr>
      <w:r>
        <w:t xml:space="preserve">Use source-target controls. Treat strategy as latent and require evidence across contingencies.</w:t>
      </w:r>
    </w:p>
    <w:bookmarkEnd w:id="26"/>
    <w:bookmarkStart w:id="27" w:name="prediction"/>
    <w:p>
      <w:pPr>
        <w:pStyle w:val="Heading3"/>
      </w:pPr>
      <w:r>
        <w:t xml:space="preserve">Prediction</w:t>
      </w:r>
    </w:p>
    <w:p>
      <w:pPr>
        <w:pStyle w:val="FirstParagraph"/>
      </w:pPr>
      <w:r>
        <w:t xml:space="preserve">Declare target, horizon, information set, population, regime, calibration, uncertainty, and observation-versus-intervention status.</w:t>
      </w:r>
    </w:p>
    <w:bookmarkEnd w:id="27"/>
    <w:bookmarkEnd w:id="28"/>
    <w:bookmarkStart w:id="29" w:name="minimum-reporting"/>
    <w:p>
      <w:pPr>
        <w:pStyle w:val="Heading2"/>
      </w:pPr>
      <w:r>
        <w:t xml:space="preserve">Minimum reporting</w:t>
      </w:r>
    </w:p>
    <w:p>
      <w:pPr>
        <w:pStyle w:val="FirstParagraph"/>
      </w:pPr>
      <w:r>
        <w:t xml:space="preserve">Research question; preregistration; canonical constructs; contracts; sample; apparatus; task; records; coding; measures; models; uncertainty; results; robustness; exclusions; limitations; falsification outcome; data and code availability.</w:t>
      </w:r>
    </w:p>
    <w:bookmarkEnd w:id="29"/>
    <w:bookmarkEnd w:id="30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2026-07-15T23:47:56Z</dcterms:created>
  <dcterms:modified xsi:type="dcterms:W3CDTF">2026-07-15T23:47:56Z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