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815beffbda72660268e44e978c93b2ee40184e"/>
    <w:p>
      <w:pPr>
        <w:pStyle w:val="Heading1"/>
      </w:pPr>
      <w:r>
        <w:t xml:space="preserve">Appendix A - Candidate Version 2.0 Changes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No candidate theoretical improvements were incorporated or proposed during this editorial normalization pass.</w:t>
      </w:r>
    </w:p>
    <w:bookmarkEnd w:id="20"/>
    <w:bookmarkStart w:id="21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Future theory changes must be recorded here with rationale, evidence, affected concepts, migration impact, and corpus-wide dependencies before Version 2.0 consideration.</w:t>
      </w:r>
    </w:p>
    <w:bookmarkEnd w:id="21"/>
    <w:bookmarkEnd w:id="22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2026-07-15T23:48:16Z</dcterms:created>
  <dcterms:modified xsi:type="dcterms:W3CDTF">2026-07-15T23:48:16Z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