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outstanding-editorial-issues"/>
    <w:p>
      <w:pPr>
        <w:pStyle w:val="Heading1"/>
      </w:pPr>
      <w:r>
        <w:t xml:space="preserve">Outstanding Editorial Issues</w:t>
      </w:r>
    </w:p>
    <w:bookmarkStart w:id="20" w:name="repository-boundary"/>
    <w:p>
      <w:pPr>
        <w:pStyle w:val="Heading2"/>
      </w:pPr>
      <w:r>
        <w:t xml:space="preserve">Repository boundary</w:t>
      </w:r>
    </w:p>
    <w:p>
      <w:pPr>
        <w:pStyle w:val="FirstParagraph"/>
      </w:pPr>
      <w:r>
        <w:t xml:space="preserve">The attached archive contains the publication-infrastructure repository, not the complete Knowledge System of Record and research-paper corpus. Corpus-wide definition and paper-heading verification therefore cannot be completed from this archive alone.</w:t>
      </w:r>
    </w:p>
    <w:bookmarkEnd w:id="20"/>
    <w:bookmarkStart w:id="21" w:name="bibliography"/>
    <w:p>
      <w:pPr>
        <w:pStyle w:val="Heading2"/>
      </w:pPr>
      <w:r>
        <w:t xml:space="preserve">Bibliography</w:t>
      </w:r>
    </w:p>
    <w:p>
      <w:pPr>
        <w:pStyle w:val="FirstParagraph"/>
      </w:pPr>
      <w:r>
        <w:t xml:space="preserve">Authority validation, duplicate resolution, and missing metadata remain separate bibliographic-verification work.</w:t>
      </w:r>
    </w:p>
    <w:bookmarkEnd w:id="21"/>
    <w:bookmarkStart w:id="22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t xml:space="preserve">Only one reusable canonical figure is present. Source figures, editable originals, captions, accessibility text, and rights status remain incomplete.</w:t>
      </w:r>
    </w:p>
    <w:bookmarkEnd w:id="22"/>
    <w:bookmarkStart w:id="23" w:name="docx-fields"/>
    <w:p>
      <w:pPr>
        <w:pStyle w:val="Heading2"/>
      </w:pPr>
      <w:r>
        <w:t xml:space="preserve">DOCX fields</w:t>
      </w:r>
    </w:p>
    <w:p>
      <w:pPr>
        <w:pStyle w:val="FirstParagraph"/>
      </w:pPr>
      <w:r>
        <w:t xml:space="preserve">Generated DOCX files use static headings and text. Dynamic Word cross-reference fields, equation sequences, and indexes require the final publication assembly.</w:t>
      </w:r>
    </w:p>
    <w:bookmarkEnd w:id="23"/>
    <w:bookmarkEnd w:id="24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2026-07-15T23:48:22Z</dcterms:created>
  <dcterms:modified xsi:type="dcterms:W3CDTF">2026-07-15T23:48:22Z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