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Adaptive Internal Medicine Study Platform</w:t>
        <w:br/>
        <w:t>Summary Document</w:t>
      </w:r>
    </w:p>
    <w:p>
      <w:pPr>
        <w:jc w:val="center"/>
      </w:pPr>
      <w:r>
        <w:rPr>
          <w:i/>
        </w:rPr>
        <w:t>Shareable summary of the prospectus, product model, content-governance framework, legal-risk principles, and initial MVP budget.</w:t>
      </w:r>
    </w:p>
    <w:p>
      <w:pPr>
        <w:jc w:val="center"/>
      </w:pPr>
      <w:r>
        <w:t>Prepared April 23, 2026</w:t>
      </w:r>
    </w:p>
    <w:p>
      <w:pPr>
        <w:pStyle w:val="Heading1"/>
      </w:pPr>
      <w:r>
        <w:t>Executive Summary</w:t>
      </w:r>
    </w:p>
    <w:p>
      <w:r>
        <w:t>This concept is not simply an Anki-style flashcard app. It is an adaptive internal-medicine-first study platform designed to identify learner weaknesses, generate targeted review, and reinforce higher-order clinical synthesis through a structured, trustworthy content system.</w:t>
      </w:r>
    </w:p>
    <w:p>
      <w:r>
        <w:t>The strategic thesis is that the durable moat is not the card viewer itself, but the reviewed content layer, the ontology and tagging system, the weakness-detection logic, the session-generation engine, and the trust architecture separating reviewed public content from private or provisional content.</w:t>
      </w:r>
    </w:p>
    <w:p>
      <w:pPr>
        <w:pStyle w:val="Heading1"/>
      </w:pPr>
      <w:r>
        <w:t>1. Product Concept and Positioning</w:t>
      </w:r>
    </w:p>
    <w:p>
      <w:r>
        <w:t>The platform is built for internal medicine first, with secondary applicability to medicine-oriented medical students and adjacent trainees.</w:t>
      </w:r>
    </w:p>
    <w:p>
      <w:pPr>
        <w:pStyle w:val="ListBullet"/>
      </w:pPr>
      <w:r>
        <w:t>Personalized weakness detection from learner performance data</w:t>
      </w:r>
    </w:p>
    <w:p>
      <w:pPr>
        <w:pStyle w:val="ListBullet"/>
      </w:pPr>
      <w:r>
        <w:t>Physician-reviewed, citation-backed flashcard library</w:t>
      </w:r>
    </w:p>
    <w:p>
      <w:pPr>
        <w:pStyle w:val="ListBullet"/>
      </w:pPr>
      <w:r>
        <w:t>Standard spaced-repetition review mode</w:t>
      </w:r>
    </w:p>
    <w:p>
      <w:pPr>
        <w:pStyle w:val="ListBullet"/>
      </w:pPr>
      <w:r>
        <w:t>Focused synthesis sessions that mix recall, compare/contrast, management logic, and schema-level review</w:t>
      </w:r>
    </w:p>
    <w:p>
      <w:pPr>
        <w:pStyle w:val="ListBullet"/>
      </w:pPr>
      <w:r>
        <w:t>On-demand custom card-pack generation for undercovered topics</w:t>
      </w:r>
    </w:p>
    <w:p>
      <w:pPr>
        <w:pStyle w:val="ListBullet"/>
      </w:pPr>
      <w:r>
        <w:t>Contributor submission pipeline with editorial review and optional public credit</w:t>
      </w:r>
    </w:p>
    <w:p>
      <w:pPr>
        <w:pStyle w:val="ListBullet"/>
      </w:pPr>
      <w:r>
        <w:t>Knowledge map visualizing strengths and weaknesses across internal medicine domains</w:t>
      </w:r>
    </w:p>
    <w:p>
      <w:r>
        <w:t>Core positioning:</w:t>
      </w:r>
    </w:p>
    <w:p>
      <w:pPr>
        <w:pStyle w:val="ListBullet"/>
      </w:pPr>
      <w:r>
        <w:t>Not a generic Anki competitor</w:t>
      </w:r>
    </w:p>
    <w:p>
      <w:pPr>
        <w:pStyle w:val="ListBullet"/>
      </w:pPr>
      <w:r>
        <w:t>Not a full proprietary question bank</w:t>
      </w:r>
    </w:p>
    <w:p>
      <w:pPr>
        <w:pStyle w:val="ListBullet"/>
      </w:pPr>
      <w:r>
        <w:t>Not an unrestricted AI tutor</w:t>
      </w:r>
    </w:p>
    <w:p>
      <w:pPr>
        <w:pStyle w:val="ListBullet"/>
      </w:pPr>
      <w:r>
        <w:t>A guided remediation and synthesis engine for internal medicine learning</w:t>
      </w:r>
    </w:p>
    <w:p>
      <w:pPr>
        <w:pStyle w:val="Heading1"/>
      </w:pPr>
      <w:r>
        <w:t>2. Problem, Solution, and Product Thesis</w:t>
      </w:r>
    </w:p>
    <w:p>
      <w:r>
        <w:t>The problem is not a lack of medical content. It is the lack of a precise workflow that converts performance data into actionable study priorities and deeper synthesis.</w:t>
      </w:r>
    </w:p>
    <w:p>
      <w:pPr>
        <w:pStyle w:val="ListBullet"/>
      </w:pPr>
      <w:r>
        <w:t>Learners often know they are weak in a broad subject but not where the gap actually sits</w:t>
      </w:r>
    </w:p>
    <w:p>
      <w:pPr>
        <w:pStyle w:val="ListBullet"/>
      </w:pPr>
      <w:r>
        <w:t>Most tools split into either static Qbanks or generic flashcard systems</w:t>
      </w:r>
    </w:p>
    <w:p>
      <w:pPr>
        <w:pStyle w:val="ListBullet"/>
      </w:pPr>
      <w:r>
        <w:t>Spaced repetition alone does not reliably build conceptual integration</w:t>
      </w:r>
    </w:p>
    <w:p>
      <w:pPr>
        <w:pStyle w:val="ListBullet"/>
      </w:pPr>
      <w:r>
        <w:t>Learners waste time deciding what to study next</w:t>
      </w:r>
    </w:p>
    <w:p>
      <w:r>
        <w:t>The proposed solution is a loop: upload or select a topic, detect weakness, generate a targeted study experience, summarize what was learned, and repeat as the learner changes over time.</w:t>
      </w:r>
    </w:p>
    <w:p>
      <w:pPr>
        <w:pStyle w:val="Heading1"/>
      </w:pPr>
      <w:r>
        <w:t>3. Signature Product Components</w:t>
      </w:r>
    </w:p>
    <w:p>
      <w:pPr>
        <w:pStyle w:val="ListBullet"/>
      </w:pPr>
      <w:r>
        <w:t>Standard review mode: due cards, search, topic browse, weak-card review, maintenance review</w:t>
      </w:r>
    </w:p>
    <w:p>
      <w:pPr>
        <w:pStyle w:val="ListBullet"/>
      </w:pPr>
      <w:r>
        <w:t>Focused synthesis sessions: short curated reviews built around clinically meaningful themes such as heart failure GDMT, hyponatremia, empiric antibiotics, or preventive care</w:t>
      </w:r>
    </w:p>
    <w:p>
      <w:pPr>
        <w:pStyle w:val="ListBullet"/>
      </w:pPr>
      <w:r>
        <w:t>End-of-session summary: what the learner handled well, what stayed weak, key rules to remember, and what to review next</w:t>
      </w:r>
    </w:p>
    <w:p>
      <w:pPr>
        <w:pStyle w:val="ListBullet"/>
      </w:pPr>
      <w:r>
        <w:t>Reviewed library: public content that is citation-backed, commercially usable, versioned, and physician reviewed before release</w:t>
      </w:r>
    </w:p>
    <w:p>
      <w:pPr>
        <w:pStyle w:val="ListBullet"/>
      </w:pPr>
      <w:r>
        <w:t>Custom private packs: generated quickly for the individual learner, with optional submission for editorial review</w:t>
      </w:r>
    </w:p>
    <w:p>
      <w:pPr>
        <w:pStyle w:val="ListBullet"/>
      </w:pPr>
      <w:r>
        <w:t>Contribution pipeline: accepted learner contributions can be credited publicly after review</w:t>
      </w:r>
    </w:p>
    <w:p>
      <w:pPr>
        <w:pStyle w:val="ListBullet"/>
      </w:pPr>
      <w:r>
        <w:t>Knowledge map: navigable domain-to-subdomain visualization of strengths and weaknesses</w:t>
      </w:r>
    </w:p>
    <w:p>
      <w:pPr>
        <w:pStyle w:val="ListBullet"/>
      </w:pPr>
      <w:r>
        <w:t>Elective modules: trial modules, named findings, drug classes, diagnostic schemas, and similar verticals</w:t>
      </w:r>
    </w:p>
    <w:p>
      <w:pPr>
        <w:pStyle w:val="Heading1"/>
      </w:pPr>
      <w:r>
        <w:t>4. Trust Model and Content Philosophy</w:t>
      </w:r>
    </w:p>
    <w:p>
      <w:r>
        <w:t>The platform depends on a visible quality hierarchy.</w:t>
      </w:r>
    </w:p>
    <w:p>
      <w:pPr>
        <w:pStyle w:val="ListBullet"/>
      </w:pPr>
      <w:r>
        <w:t>Reviewed content: public/shared, physician reviewed, citation locked, eligible for official synthesis sessions</w:t>
      </w:r>
    </w:p>
    <w:p>
      <w:pPr>
        <w:pStyle w:val="ListBullet"/>
      </w:pPr>
      <w:r>
        <w:t>Custom or provisional content: private to the learner unless submitted, usable quickly, but not official</w:t>
      </w:r>
    </w:p>
    <w:p>
      <w:pPr>
        <w:pStyle w:val="ListBullet"/>
      </w:pPr>
      <w:r>
        <w:t>Submitted content under review: not public until it clears source, duplication, and editorial checks</w:t>
      </w:r>
    </w:p>
    <w:p>
      <w:r>
        <w:t>The educational philosophy is to teach distinction-making and applied internal medicine reasoning rather than simple fact recall.</w:t>
      </w:r>
    </w:p>
    <w:p>
      <w:pPr>
        <w:pStyle w:val="ListBullet"/>
      </w:pPr>
      <w:r>
        <w:t>Atomic fact cards</w:t>
      </w:r>
    </w:p>
    <w:p>
      <w:pPr>
        <w:pStyle w:val="ListBullet"/>
      </w:pPr>
      <w:r>
        <w:t>Management decision cards</w:t>
      </w:r>
    </w:p>
    <w:p>
      <w:pPr>
        <w:pStyle w:val="ListBullet"/>
      </w:pPr>
      <w:r>
        <w:t>Compare/contrast cards</w:t>
      </w:r>
    </w:p>
    <w:p>
      <w:pPr>
        <w:pStyle w:val="ListBullet"/>
      </w:pPr>
      <w:r>
        <w:t>Sequence cards</w:t>
      </w:r>
    </w:p>
    <w:p>
      <w:pPr>
        <w:pStyle w:val="ListBullet"/>
      </w:pPr>
      <w:r>
        <w:t>Schema cards</w:t>
      </w:r>
    </w:p>
    <w:p>
      <w:pPr>
        <w:pStyle w:val="Heading1"/>
      </w:pPr>
      <w:r>
        <w:t>5. Defensible Assets and Strategic Moat</w:t>
      </w:r>
    </w:p>
    <w:p>
      <w:r>
        <w:t>The moat is not the interface alone. The harder-to-replicate assets are:</w:t>
      </w:r>
    </w:p>
    <w:p>
      <w:pPr>
        <w:pStyle w:val="ListBullet"/>
      </w:pPr>
      <w:r>
        <w:t>Reviewed clinical content library</w:t>
      </w:r>
    </w:p>
    <w:p>
      <w:pPr>
        <w:pStyle w:val="ListBullet"/>
      </w:pPr>
      <w:r>
        <w:t>Internal medicine ontology and tagging system</w:t>
      </w:r>
    </w:p>
    <w:p>
      <w:pPr>
        <w:pStyle w:val="ListBullet"/>
      </w:pPr>
      <w:r>
        <w:t>Session-generation logic</w:t>
      </w:r>
    </w:p>
    <w:p>
      <w:pPr>
        <w:pStyle w:val="ListBullet"/>
      </w:pPr>
      <w:r>
        <w:t>Contributor review pipeline</w:t>
      </w:r>
    </w:p>
    <w:p>
      <w:pPr>
        <w:pStyle w:val="ListBullet"/>
      </w:pPr>
      <w:r>
        <w:t>Trust and provenance system</w:t>
      </w:r>
    </w:p>
    <w:p>
      <w:pPr>
        <w:pStyle w:val="ListBullet"/>
      </w:pPr>
      <w:r>
        <w:t>Knowledge-map infrastructure</w:t>
      </w:r>
    </w:p>
    <w:p>
      <w:pPr>
        <w:pStyle w:val="ListBullet"/>
      </w:pPr>
      <w:r>
        <w:t>Reusable session summaries and analytics-to-study translation layer</w:t>
      </w:r>
    </w:p>
    <w:p>
      <w:pPr>
        <w:pStyle w:val="Heading1"/>
      </w:pPr>
      <w:r>
        <w:t>6. Legal and Competitive-Risk Principles</w:t>
      </w:r>
    </w:p>
    <w:p>
      <w:r>
        <w:t>There is no absolute shield against litigation. The correct goal is to make the product architecture low-risk by design and to avoid building the company on copied third-party expression.</w:t>
      </w:r>
    </w:p>
    <w:p>
      <w:pPr>
        <w:pStyle w:val="ListBullet"/>
      </w:pPr>
      <w:r>
        <w:t>Do not build public content from copied question stems, answer choices, rationales, screenshots, or proprietary diagrams from third-party medical education products</w:t>
      </w:r>
    </w:p>
    <w:p>
      <w:pPr>
        <w:pStyle w:val="ListBullet"/>
      </w:pPr>
      <w:r>
        <w:t>Facts, ideas, themes, methods, and performance signals are safer than copyrighted expression</w:t>
      </w:r>
    </w:p>
    <w:p>
      <w:pPr>
        <w:pStyle w:val="ListBullet"/>
      </w:pPr>
      <w:r>
        <w:t>Do not scrape or bulk ingest contract-restricted or authenticated proprietary content</w:t>
      </w:r>
    </w:p>
    <w:p>
      <w:pPr>
        <w:pStyle w:val="ListBullet"/>
      </w:pPr>
      <w:r>
        <w:t>Use a clean-room style workflow: lawful sources in, original drafting out</w:t>
      </w:r>
    </w:p>
    <w:p>
      <w:pPr>
        <w:pStyle w:val="ListBullet"/>
      </w:pPr>
      <w:r>
        <w:t>Do not store restricted third-party content in long-term retrieval systems, vector stores, or model-training corpora</w:t>
      </w:r>
    </w:p>
    <w:p>
      <w:pPr>
        <w:pStyle w:val="ListBullet"/>
      </w:pPr>
      <w:r>
        <w:t>Keep branding clearly distinct from existing medical education companies to reduce confusion and trademark risk</w:t>
      </w:r>
    </w:p>
    <w:p>
      <w:pPr>
        <w:pStyle w:val="ListBullet"/>
      </w:pPr>
      <w:r>
        <w:t>Avoid marketing claims such as score improvement or superiority unless you have real substantiation</w:t>
      </w:r>
    </w:p>
    <w:p>
      <w:r>
        <w:t>Operational summary: the safest model is original educational expression authored from lawful sources, with strict provenance, distinct branding, gated publication, and no unauthorized ingestion of proprietary third-party source material.</w:t>
      </w:r>
    </w:p>
    <w:p>
      <w:pPr>
        <w:pStyle w:val="Heading1"/>
      </w:pPr>
      <w:r>
        <w:t>7. Content Intake and Ingestion Policy Summary</w:t>
      </w:r>
    </w:p>
    <w:p>
      <w:r>
        <w:t>The platform should use a Green / Yellow / Red framework for learner-supplied inputs.</w:t>
      </w:r>
    </w:p>
    <w:p>
      <w:pPr>
        <w:pStyle w:val="Heading2"/>
      </w:pPr>
      <w:r>
        <w:t>Green Intake: Generally Acceptable</w:t>
      </w:r>
    </w:p>
    <w:p>
      <w:pPr>
        <w:pStyle w:val="ListBullet"/>
      </w:pPr>
      <w:r>
        <w:t>Performance analytics such as percent correct by topic, missed-question counts, study time, pacing, and confidence ratings</w:t>
      </w:r>
    </w:p>
    <w:p>
      <w:pPr>
        <w:pStyle w:val="ListBullet"/>
      </w:pPr>
      <w:r>
        <w:t>Learner-authored summaries in the learner’s own words</w:t>
      </w:r>
    </w:p>
    <w:p>
      <w:pPr>
        <w:pStyle w:val="ListBullet"/>
      </w:pPr>
      <w:r>
        <w:t>Weak-topic labels and abstract knowledge-gap descriptions</w:t>
      </w:r>
    </w:p>
    <w:p>
      <w:pPr>
        <w:pStyle w:val="ListBullet"/>
      </w:pPr>
      <w:r>
        <w:t>Lawful exports containing only abstract performance data</w:t>
      </w:r>
    </w:p>
    <w:p>
      <w:r>
        <w:t>Green inputs may be stored and used for personalization, dashboards, recommendations, and aggregate analytics.</w:t>
      </w:r>
    </w:p>
    <w:p>
      <w:pPr>
        <w:pStyle w:val="Heading2"/>
      </w:pPr>
      <w:r>
        <w:t>Yellow Intake: Restricted / Conditional</w:t>
      </w:r>
    </w:p>
    <w:p>
      <w:pPr>
        <w:pStyle w:val="ListBullet"/>
      </w:pPr>
      <w:r>
        <w:t>Short user-pasted excerpts from proprietary content used only to identify topic area or classify a knowledge gap</w:t>
      </w:r>
    </w:p>
    <w:p>
      <w:pPr>
        <w:pStyle w:val="ListBullet"/>
      </w:pPr>
      <w:r>
        <w:t>Limited snippets that are processed transiently and never used to generate public content</w:t>
      </w:r>
    </w:p>
    <w:p>
      <w:r>
        <w:t>Yellow inputs should be ephemeral whenever possible, excluded from training and retrieval systems, and never reused across users or published.</w:t>
      </w:r>
    </w:p>
    <w:p>
      <w:pPr>
        <w:pStyle w:val="Heading2"/>
      </w:pPr>
      <w:r>
        <w:t>Red Intake: Prohibited</w:t>
      </w:r>
    </w:p>
    <w:p>
      <w:pPr>
        <w:pStyle w:val="ListBullet"/>
      </w:pPr>
      <w:r>
        <w:t>Full proprietary question stems, answer choices, explanations, tables, images, screenshots, or exported decks without clear rights</w:t>
      </w:r>
    </w:p>
    <w:p>
      <w:pPr>
        <w:pStyle w:val="ListBullet"/>
      </w:pPr>
      <w:r>
        <w:t>Bulk scraped content, paywalled content captured in violation of terms, or materials intended to reconstruct a competitor library</w:t>
      </w:r>
    </w:p>
    <w:p>
      <w:r>
        <w:t>Red inputs should be rejected, quarantined, or deleted and must never become durable product assets.</w:t>
      </w:r>
    </w:p>
    <w:p>
      <w:r>
        <w:t>Design principle for evaluation workflow: ask the learner to translate a miss into a structured knowledge-gap statement rather than pasting the proprietary item itself.</w:t>
      </w:r>
    </w:p>
    <w:p>
      <w:pPr>
        <w:pStyle w:val="Heading1"/>
      </w:pPr>
      <w:r>
        <w:t>8. Initial MVP Budget Summary</w:t>
      </w:r>
    </w:p>
    <w:p>
      <w:r>
        <w:t>A reasonable initial-phase budget depends mainly on who builds the software and who performs content review.</w:t>
      </w:r>
    </w:p>
    <w:p>
      <w:pPr>
        <w:pStyle w:val="ListBullet"/>
      </w:pPr>
      <w:r>
        <w:t>Lean founder-led proof of concept: approximately $10,000 to $25,000</w:t>
      </w:r>
    </w:p>
    <w:p>
      <w:pPr>
        <w:pStyle w:val="ListBullet"/>
      </w:pPr>
      <w:r>
        <w:t>Serious outside-user MVP: approximately $40,000 to $75,000</w:t>
      </w:r>
    </w:p>
    <w:p>
      <w:pPr>
        <w:pStyle w:val="ListBullet"/>
      </w:pPr>
      <w:r>
        <w:t>More polished or overbuilt early version: roughly $100,000 and above</w:t>
      </w:r>
    </w:p>
    <w:p>
      <w:r>
        <w:t>Most honest working target for a credible first launch: about $50,000, assuming disciplined scope and a web-first product.</w:t>
      </w:r>
    </w:p>
    <w:p>
      <w:r>
        <w:t>Illustrative initial line items:</w:t>
      </w:r>
    </w:p>
    <w:p>
      <w:pPr>
        <w:pStyle w:val="ListBullet"/>
        <w:ind w:left="360"/>
      </w:pPr>
      <w:r>
        <w:t>Engineering and product build: about $20,000 to $30,000</w:t>
      </w:r>
    </w:p>
    <w:p>
      <w:pPr>
        <w:pStyle w:val="ListBullet"/>
        <w:ind w:left="360"/>
      </w:pPr>
      <w:r>
        <w:t>Design and UX polish: about $5,000 to $10,000</w:t>
      </w:r>
    </w:p>
    <w:p>
      <w:pPr>
        <w:pStyle w:val="ListBullet"/>
        <w:ind w:left="360"/>
      </w:pPr>
      <w:r>
        <w:t>Legal, compliance, trademark, and policy review: about $3,000 to $10,000</w:t>
      </w:r>
    </w:p>
    <w:p>
      <w:pPr>
        <w:pStyle w:val="ListBullet"/>
        <w:ind w:left="360"/>
      </w:pPr>
      <w:r>
        <w:t>Physician/editorial review: about $2,000 to $10,000</w:t>
      </w:r>
    </w:p>
    <w:p>
      <w:pPr>
        <w:pStyle w:val="ListBullet"/>
        <w:ind w:left="360"/>
      </w:pPr>
      <w:r>
        <w:t>Infrastructure and API runway: about $1,000 to $5,000</w:t>
      </w:r>
    </w:p>
    <w:p>
      <w:pPr>
        <w:pStyle w:val="Heading1"/>
      </w:pPr>
      <w:r>
        <w:t>9. Main Risks and Near-Term Recommendations</w:t>
      </w:r>
    </w:p>
    <w:p>
      <w:pPr>
        <w:pStyle w:val="ListBullet"/>
      </w:pPr>
      <w:r>
        <w:t>Trust dilution if provisional AI cards resemble reviewed content too closely</w:t>
      </w:r>
    </w:p>
    <w:p>
      <w:pPr>
        <w:pStyle w:val="ListBullet"/>
      </w:pPr>
      <w:r>
        <w:t>Editorial bottleneck if contribution volume scales before workflow matures</w:t>
      </w:r>
    </w:p>
    <w:p>
      <w:pPr>
        <w:pStyle w:val="ListBullet"/>
      </w:pPr>
      <w:r>
        <w:t>Content sprawl without a strict ontology and duplication-control system</w:t>
      </w:r>
    </w:p>
    <w:p>
      <w:pPr>
        <w:pStyle w:val="ListBullet"/>
      </w:pPr>
      <w:r>
        <w:t>Scope creep into too many specialties too early</w:t>
      </w:r>
    </w:p>
    <w:p>
      <w:pPr>
        <w:pStyle w:val="ListBullet"/>
      </w:pPr>
      <w:r>
        <w:t>Legal exposure if ingestion rules are loose or proprietary source material enters durable systems</w:t>
      </w:r>
    </w:p>
    <w:p>
      <w:r>
        <w:t>Recommended next steps:</w:t>
      </w:r>
    </w:p>
    <w:p>
      <w:pPr>
        <w:pStyle w:val="ListBullet"/>
        <w:ind w:left="360"/>
      </w:pPr>
      <w:r>
        <w:t>Build the product internal-medicine-first and keep scope disciplined</w:t>
      </w:r>
    </w:p>
    <w:p>
      <w:pPr>
        <w:pStyle w:val="ListBullet"/>
        <w:ind w:left="360"/>
      </w:pPr>
      <w:r>
        <w:t>Launch with analytics-driven personalization and a modest reviewed library rather than a giant corpus</w:t>
      </w:r>
    </w:p>
    <w:p>
      <w:pPr>
        <w:pStyle w:val="ListBullet"/>
        <w:ind w:left="360"/>
      </w:pPr>
      <w:r>
        <w:t>Separate learner analytics from durable content assets at the database and workflow level</w:t>
      </w:r>
    </w:p>
    <w:p>
      <w:pPr>
        <w:pStyle w:val="ListBullet"/>
        <w:ind w:left="360"/>
      </w:pPr>
      <w:r>
        <w:t>Write explicit ingestion, retention, training-exclusion, and publication policies before launch</w:t>
      </w:r>
    </w:p>
    <w:p>
      <w:pPr>
        <w:pStyle w:val="ListBullet"/>
        <w:ind w:left="360"/>
      </w:pPr>
      <w:r>
        <w:t>Use physician review and provenance tracking as core product features, not as afterthoughts</w:t>
      </w:r>
    </w:p>
    <w:p>
      <w:pPr>
        <w:pStyle w:val="Heading1"/>
      </w:pPr>
      <w:r>
        <w:t>10. Bottom Line</w:t>
      </w:r>
    </w:p>
    <w:p>
      <w:r>
        <w:t>The concept has real differentiation if it remains disciplined: adaptive weakness detection, guided synthesis, trusted reviewed content, controlled private generation, and a visible trust framework separating official content from provisional content. The platform should learn from performance patterns and lawful source material, not from absorbed proprietary question-bank expression.</w:t>
      </w:r>
    </w:p>
    <w:p/>
    <w:p>
      <w:r>
        <w:rPr>
          <w:b/>
        </w:rPr>
        <w:t xml:space="preserve">Note: </w:t>
      </w:r>
      <w:r>
        <w:t>This document is a strategic summary for planning and sharing. It is not formal legal advice. Any commercial launch should include counsel review of intake policy, user terms, trademark clearance, privacy policy, and marketing claims.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Adaptive Internal Medicine Study Platform Summary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