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95AD" w14:textId="77777777" w:rsidR="000464A2" w:rsidRDefault="00000000">
      <w:pPr>
        <w:pStyle w:val="Heading1"/>
      </w:pPr>
      <w:r>
        <w:t>Appendices G–H: Technical Implementation of the Benchmark Pipeline</w:t>
      </w:r>
    </w:p>
    <w:p w14:paraId="0789E7EA" w14:textId="0FB25DA8" w:rsidR="000464A2" w:rsidRDefault="00000000">
      <w:pPr>
        <w:spacing w:before="120" w:after="120" w:line="276" w:lineRule="auto"/>
      </w:pPr>
      <w:r>
        <w:t>Appendices G and H together document the complete software infrastructure developed to execute and analyze this study. Appendix G covers the data collection pipeline: the systems that configure and authenticate connections to six AI provider APIs, dispatch and monitor the 5,400 required model calls, recover from transient failures, parse and normalize raw model responses, and apply the automated coherence and scoring algorithms that transform raw outputs into analyzable outcome records. Appendix H covers the analysis pipeline: the systems that aggregate scored out</w:t>
      </w:r>
      <w:r w:rsidR="003262F0">
        <w:t>puts</w:t>
      </w:r>
      <w:r>
        <w:t xml:space="preserve"> into performance tables, execute the pre-specified inferential statistical tests, synthesize the manually coded failure patterns for the primary diagnostic model, identify challenge cases in the fragment corpus, and produce the structured meta-evaluation and validity assessment. Together, these two appendices constitute a complete audit trail from raw fragment to final finding.</w:t>
      </w:r>
    </w:p>
    <w:p w14:paraId="5092BC38" w14:textId="77777777" w:rsidR="000464A2" w:rsidRDefault="00000000">
      <w:pPr>
        <w:spacing w:before="120" w:after="120" w:line="276" w:lineRule="auto"/>
      </w:pPr>
      <w:r>
        <w:t>All source code is maintained in a public GitHub repository at https://github.com/zachtilton/eval-reasoning-benchmark. Each subsection below identifies the specific source files responsible for the described functionality. Model identifiers listed throughout these appendices reflect the January 2026 state-of-the-art selections specified in Section 2.2 of the proposal and are subject to verification against provider release notes at execution time, as documented in the Appendix F.1 session log.</w:t>
      </w:r>
    </w:p>
    <w:p w14:paraId="284BA3BC" w14:textId="77777777" w:rsidR="000464A2" w:rsidRDefault="00000000">
      <w:pPr>
        <w:pStyle w:val="Heading1"/>
      </w:pPr>
      <w:r>
        <w:t>Appendix G: API Execution Infrastructure</w:t>
      </w:r>
    </w:p>
    <w:p w14:paraId="78D532A5" w14:textId="77777777" w:rsidR="000464A2" w:rsidRDefault="00000000">
      <w:pPr>
        <w:spacing w:before="120" w:after="120" w:line="276" w:lineRule="auto"/>
      </w:pPr>
      <w:r>
        <w:t>This appendix documents the software infrastructure used to collect the 5,400 model responses that constitute the primary dataset of this study. The infrastructure is organized into five modules, each responsible for a distinct stage of the data collection or scoring pipeline. Subsections G.1 through G.3 describe the execution layer that configures, dispatches, and captures API calls; subsections G.4 and G.5 describe the automated scoring layer that validates, compares, and adjudicates those responses against the gold standard.</w:t>
      </w:r>
    </w:p>
    <w:p w14:paraId="2604CB7F" w14:textId="77777777" w:rsidR="000464A2" w:rsidRDefault="00000000">
      <w:pPr>
        <w:pStyle w:val="Heading2"/>
      </w:pPr>
      <w:proofErr w:type="gramStart"/>
      <w:r>
        <w:t>G.1  API</w:t>
      </w:r>
      <w:proofErr w:type="gramEnd"/>
      <w:r>
        <w:t xml:space="preserve"> Configuration and Batch Orchestration</w:t>
      </w:r>
    </w:p>
    <w:p w14:paraId="20FF7BD0" w14:textId="77777777" w:rsidR="000464A2" w:rsidRDefault="00000000">
      <w:pPr>
        <w:spacing w:before="120" w:after="120" w:line="276" w:lineRule="auto"/>
      </w:pPr>
      <w:r>
        <w:t xml:space="preserve">This module establishes the technical foundation for the entire data collection phase. It defines how the benchmark is configured to interact with six separate AI providers, how the 5,400 required API calls are planned and scheduled across multiple sessions, and how progress is monitored throughout execution. The relevant source files are </w:t>
      </w:r>
      <w:hyperlink r:id="rId5" w:history="1">
        <w:r>
          <w:rPr>
            <w:rStyle w:val="Hyperlink"/>
          </w:rPr>
          <w:t xml:space="preserve">config/api_config.py, config/model_params.py, and </w:t>
        </w:r>
        <w:proofErr w:type="spellStart"/>
        <w:r>
          <w:rPr>
            <w:rStyle w:val="Hyperlink"/>
          </w:rPr>
          <w:t>src</w:t>
        </w:r>
        <w:proofErr w:type="spellEnd"/>
        <w:r>
          <w:rPr>
            <w:rStyle w:val="Hyperlink"/>
          </w:rPr>
          <w:t>/</w:t>
        </w:r>
        <w:proofErr w:type="spellStart"/>
        <w:r>
          <w:rPr>
            <w:rStyle w:val="Hyperlink"/>
          </w:rPr>
          <w:t>api_client</w:t>
        </w:r>
        <w:proofErr w:type="spellEnd"/>
        <w:r>
          <w:rPr>
            <w:rStyle w:val="Hyperlink"/>
          </w:rPr>
          <w:t>/ba</w:t>
        </w:r>
        <w:r>
          <w:rPr>
            <w:rStyle w:val="Hyperlink"/>
          </w:rPr>
          <w:t>t</w:t>
        </w:r>
        <w:r>
          <w:rPr>
            <w:rStyle w:val="Hyperlink"/>
          </w:rPr>
          <w:t>ch.py</w:t>
        </w:r>
      </w:hyperlink>
      <w:r>
        <w:t>.</w:t>
      </w:r>
    </w:p>
    <w:p w14:paraId="043DA8A4" w14:textId="77777777" w:rsidR="000464A2" w:rsidRDefault="00000000">
      <w:pPr>
        <w:pStyle w:val="Heading3"/>
      </w:pPr>
      <w:r>
        <w:t>Configuration Architecture</w:t>
      </w:r>
    </w:p>
    <w:p w14:paraId="4C7B5965" w14:textId="77777777" w:rsidR="000464A2" w:rsidRDefault="00000000">
      <w:pPr>
        <w:spacing w:before="120" w:after="120" w:line="276" w:lineRule="auto"/>
      </w:pPr>
      <w:r>
        <w:t>The benchmark interacts with six distinct language models maintained by different commercial providers: GPT 5.2 (OpenAI), Claude Opus 4.6 (Anthropic), Gemini 3 Pro (Google), DeepSeek V3 (DeepSeek), Kimi K2 (Moonshot AI), and GLM 4.7 (</w:t>
      </w:r>
      <w:proofErr w:type="spellStart"/>
      <w:r>
        <w:t>Zhipu</w:t>
      </w:r>
      <w:proofErr w:type="spellEnd"/>
      <w:r>
        <w:t xml:space="preserve"> AI). Each provider maintains its </w:t>
      </w:r>
      <w:r>
        <w:lastRenderedPageBreak/>
        <w:t xml:space="preserve">own web-based interface through which external software can request model responses. The configuration file serves as the authoritative registry for how to reach each of these interfaces, specifying the web address, the model identifier string that each provider uses internally, and the authentication protocol required to prove that requests originate from an authorized account. Three authentication mechanisms are employed: a bearer token passed as a request header (OpenAI, DeepSeek, Kimi, and </w:t>
      </w:r>
      <w:proofErr w:type="spellStart"/>
      <w:r>
        <w:t>Zhipu</w:t>
      </w:r>
      <w:proofErr w:type="spellEnd"/>
      <w:r>
        <w:t>), a specialized header format used by Anthropic, and a URL-embedded query parameter used by Google. All API authentication credentials are stored as system environment variables rather than in the code itself, protecting sensitive keys from accidental exposure.</w:t>
      </w:r>
    </w:p>
    <w:p w14:paraId="33214BE9" w14:textId="77777777" w:rsidR="000464A2" w:rsidRDefault="00000000">
      <w:pPr>
        <w:spacing w:before="120" w:after="120" w:line="276" w:lineRule="auto"/>
      </w:pPr>
      <w:r>
        <w:t>A complementary configuration file defines the standardized generation parameters applied uniformly across all six models. Temperature is set to zero, which minimizes randomness in model outputs and maximizes determinism—the same prompt submitted twice to a temperature-zero model will reliably produce the same response. Maximum output length is capped at 500 tokens, providing sufficient headroom above the expected 250-token response while keeping costs bounded. Because API providers use different parameter names for the same concepts, a translation mapping is maintained to ensure that each API receives its parameters in the format it expects, and that any parameter unsupported by a given provider is silently excluded from the request.</w:t>
      </w:r>
    </w:p>
    <w:p w14:paraId="1F6A09C8" w14:textId="77777777" w:rsidR="000464A2" w:rsidRDefault="00000000">
      <w:pPr>
        <w:pStyle w:val="Heading3"/>
      </w:pPr>
      <w:r>
        <w:t>Execution Planning and Session Management</w:t>
      </w:r>
    </w:p>
    <w:p w14:paraId="4205F2DB" w14:textId="77777777" w:rsidR="000464A2" w:rsidRDefault="00000000">
      <w:pPr>
        <w:spacing w:before="120" w:after="120" w:line="276" w:lineRule="auto"/>
      </w:pPr>
      <w:r>
        <w:t xml:space="preserve">The benchmark produces 5,400 API calls in total: 150 evaluation fragments × 6 model families × 2 prompt conditions × 3 independent runs per combination. Because API providers impose rate limits and calling volumes of this magnitude require careful session management, the batch orchestration system divides this work into discrete sessions of approximately 1,000 calls each, yielding roughly six sessions. Within each session, fragments are processed sequentially. For each fragment, all six models are called under both prompt conditions and all three runs before the system advances to the next fragment. Between runs within the same model-prompt combination, a five-second pause is observed to avoid triggering rate-limit responses from providers. This within-fragment completion-first ordering ensures that incomplete data are distributed randomly rather than concentrated among </w:t>
      </w:r>
      <w:proofErr w:type="gramStart"/>
      <w:r>
        <w:t>particular fragments</w:t>
      </w:r>
      <w:proofErr w:type="gramEnd"/>
      <w:r>
        <w:t xml:space="preserve"> if a session is interrupted.</w:t>
      </w:r>
    </w:p>
    <w:p w14:paraId="7942940C" w14:textId="77777777" w:rsidR="000464A2" w:rsidRDefault="00000000">
      <w:pPr>
        <w:pStyle w:val="Heading3"/>
      </w:pPr>
      <w:r>
        <w:t>Reproducible Execution Ordering</w:t>
      </w:r>
    </w:p>
    <w:p w14:paraId="0A367E0F" w14:textId="77777777" w:rsidR="000464A2" w:rsidRDefault="00000000">
      <w:pPr>
        <w:spacing w:before="120" w:after="120" w:line="276" w:lineRule="auto"/>
      </w:pPr>
      <w:r>
        <w:t xml:space="preserve">To prevent any systematic relationship between the order in which fragments are processed and the gold standard classification sequence, the batch orchestrator applies a reproducible shuffle to the fragment list before processing begins. The shuffle is seeded with a fixed value (42), meaning the identical randomized ordering can be reproduced in any subsequent session or audit. The resulting mapping of original fragment identifiers to execution positions is logged to a CSV file for complete audit traceability. A progress-tracking function reads the live response database and reports the number of successful calls, the number flagged with errors, and the count of fully </w:t>
      </w:r>
      <w:r>
        <w:lastRenderedPageBreak/>
        <w:t>complete fragments, enabling the researcher to monitor session completion without interrupting execution.</w:t>
      </w:r>
    </w:p>
    <w:p w14:paraId="678EB5ED" w14:textId="77777777" w:rsidR="000464A2" w:rsidRDefault="00000000">
      <w:pPr>
        <w:pStyle w:val="Heading2"/>
      </w:pPr>
      <w:proofErr w:type="gramStart"/>
      <w:r>
        <w:t>G.2  Error</w:t>
      </w:r>
      <w:proofErr w:type="gramEnd"/>
      <w:r>
        <w:t xml:space="preserve"> Handling and Retry Logic</w:t>
      </w:r>
    </w:p>
    <w:p w14:paraId="68E632F1" w14:textId="77777777" w:rsidR="000464A2" w:rsidRDefault="00000000">
      <w:pPr>
        <w:spacing w:before="120" w:after="120" w:line="276" w:lineRule="auto"/>
      </w:pPr>
      <w:r>
        <w:t xml:space="preserve">This module manages the inevitability of transient failures when making thousands of web-based API requests. A single failed call, if unrecovered, would create a gap in the dataset that could not easily be repaired. The retry system ensures that transient failures are retried automatically while permanent failures are logged for a separate recovery session. The relevant source file is </w:t>
      </w:r>
      <w:hyperlink r:id="rId6" w:history="1">
        <w:proofErr w:type="spellStart"/>
        <w:r>
          <w:rPr>
            <w:rStyle w:val="Hyperlink"/>
          </w:rPr>
          <w:t>src</w:t>
        </w:r>
        <w:proofErr w:type="spellEnd"/>
        <w:r>
          <w:rPr>
            <w:rStyle w:val="Hyperlink"/>
          </w:rPr>
          <w:t>/</w:t>
        </w:r>
        <w:proofErr w:type="spellStart"/>
        <w:r>
          <w:rPr>
            <w:rStyle w:val="Hyperlink"/>
          </w:rPr>
          <w:t>api_client</w:t>
        </w:r>
        <w:proofErr w:type="spellEnd"/>
        <w:r>
          <w:rPr>
            <w:rStyle w:val="Hyperlink"/>
          </w:rPr>
          <w:t>/ret</w:t>
        </w:r>
        <w:r>
          <w:rPr>
            <w:rStyle w:val="Hyperlink"/>
          </w:rPr>
          <w:t>r</w:t>
        </w:r>
        <w:r>
          <w:rPr>
            <w:rStyle w:val="Hyperlink"/>
          </w:rPr>
          <w:t>y.py</w:t>
        </w:r>
      </w:hyperlink>
      <w:r>
        <w:t>.</w:t>
      </w:r>
    </w:p>
    <w:p w14:paraId="623D2C54" w14:textId="77777777" w:rsidR="000464A2" w:rsidRDefault="00000000">
      <w:pPr>
        <w:pStyle w:val="Heading3"/>
      </w:pPr>
      <w:r>
        <w:t>Error Classification</w:t>
      </w:r>
    </w:p>
    <w:p w14:paraId="5FDA781E" w14:textId="77777777" w:rsidR="000464A2" w:rsidRDefault="00000000">
      <w:pPr>
        <w:spacing w:before="120" w:after="120" w:line="276" w:lineRule="auto"/>
      </w:pPr>
      <w:r>
        <w:t>When an API call fails, the system first classifies the type of failure before deciding how to respond. Six error categories are distinguished: timeout errors (no response within 60 seconds), rate-limit errors (request volume exceeds provider threshold), service-unavailable errors (temporary server-side problems), safety-policy triggers (model declines due to content filters), invalid-response errors (returned data cannot be parsed as expected), and generic API errors covering authentication failures and malformed requests.</w:t>
      </w:r>
    </w:p>
    <w:p w14:paraId="5B3EFC6D" w14:textId="77777777" w:rsidR="000464A2" w:rsidRDefault="00000000">
      <w:pPr>
        <w:pStyle w:val="Heading3"/>
      </w:pPr>
      <w:r>
        <w:t>Retry Schedule</w:t>
      </w:r>
    </w:p>
    <w:p w14:paraId="1A66C029" w14:textId="77777777" w:rsidR="000464A2" w:rsidRDefault="00000000">
      <w:pPr>
        <w:spacing w:before="120" w:after="120" w:line="276" w:lineRule="auto"/>
      </w:pPr>
      <w:r>
        <w:t>Transient errors—timeouts, rate limits, and service unavailability—are treated as retriable. The waiting schedule follows an exponential pattern: the first retry waits 10 seconds, the second waits 30 seconds, and the third waits 90 seconds. This graduated approach gives providers time to recover without flooding them with rapid repeated requests. Each call is allowed a maximum of three total attempts. Permanent errors, such as safety triggers and authentication failures, are not retried because additional attempts would not resolve the underlying problem.</w:t>
      </w:r>
    </w:p>
    <w:p w14:paraId="72E6A136" w14:textId="77777777" w:rsidR="000464A2" w:rsidRDefault="00000000">
      <w:pPr>
        <w:pStyle w:val="Heading3"/>
      </w:pPr>
      <w:r>
        <w:t>Failed Call Logging and Recovery</w:t>
      </w:r>
    </w:p>
    <w:p w14:paraId="14C376ED" w14:textId="77777777" w:rsidR="000464A2" w:rsidRDefault="00000000">
      <w:pPr>
        <w:spacing w:before="120" w:after="120" w:line="276" w:lineRule="auto"/>
      </w:pPr>
      <w:r>
        <w:t xml:space="preserve">Failed calls </w:t>
      </w:r>
      <w:proofErr w:type="gramStart"/>
      <w:r>
        <w:t>are persisted</w:t>
      </w:r>
      <w:proofErr w:type="gramEnd"/>
      <w:r>
        <w:t xml:space="preserve"> to a structured log file so that they can be re-attempted in a dedicated recovery session rather than leaving the primary data collection workflow in an indefinite loop. The log captures the fragment identifier, model, prompt condition, run number, error category, and error message. A recovery function re-submits each failed call through the same retry pipeline with a five-second pause between calls. After a successful recovery session, the log is cleared to prevent accidental re-processing in future sessions. This design ensures that no call is permanently lost due to transient infrastructure failures and that the final response database is as complete as possible.</w:t>
      </w:r>
    </w:p>
    <w:p w14:paraId="29B62190" w14:textId="77777777" w:rsidR="000464A2" w:rsidRDefault="00000000">
      <w:pPr>
        <w:pStyle w:val="Heading2"/>
      </w:pPr>
      <w:proofErr w:type="gramStart"/>
      <w:r>
        <w:t>G.3  Request</w:t>
      </w:r>
      <w:proofErr w:type="gramEnd"/>
      <w:r>
        <w:t xml:space="preserve"> Construction and Response Capture</w:t>
      </w:r>
    </w:p>
    <w:p w14:paraId="4B326562" w14:textId="77777777" w:rsidR="000464A2" w:rsidRDefault="00000000">
      <w:pPr>
        <w:spacing w:before="120" w:after="120" w:line="276" w:lineRule="auto"/>
      </w:pPr>
      <w:r>
        <w:t xml:space="preserve">This module handles the precise mechanics of building an API request, sending it, receiving the response, extracting the relevant content, and immediately saving a structured record to the </w:t>
      </w:r>
      <w:r>
        <w:lastRenderedPageBreak/>
        <w:t xml:space="preserve">response database. It also normalizes and validates model outputs before they are stored. The relevant source files are </w:t>
      </w:r>
      <w:hyperlink r:id="rId7" w:history="1">
        <w:r>
          <w:rPr>
            <w:rStyle w:val="Hyperlink"/>
          </w:rPr>
          <w:t>src/api_client/executor</w:t>
        </w:r>
        <w:r>
          <w:rPr>
            <w:rStyle w:val="Hyperlink"/>
          </w:rPr>
          <w:t>.</w:t>
        </w:r>
        <w:r>
          <w:rPr>
            <w:rStyle w:val="Hyperlink"/>
          </w:rPr>
          <w:t xml:space="preserve">py and </w:t>
        </w:r>
        <w:proofErr w:type="spellStart"/>
        <w:r>
          <w:rPr>
            <w:rStyle w:val="Hyperlink"/>
          </w:rPr>
          <w:t>src</w:t>
        </w:r>
        <w:proofErr w:type="spellEnd"/>
        <w:r>
          <w:rPr>
            <w:rStyle w:val="Hyperlink"/>
          </w:rPr>
          <w:t>/</w:t>
        </w:r>
        <w:proofErr w:type="spellStart"/>
        <w:r>
          <w:rPr>
            <w:rStyle w:val="Hyperlink"/>
          </w:rPr>
          <w:t>api_client</w:t>
        </w:r>
        <w:proofErr w:type="spellEnd"/>
        <w:r>
          <w:rPr>
            <w:rStyle w:val="Hyperlink"/>
          </w:rPr>
          <w:t>/parser.py</w:t>
        </w:r>
      </w:hyperlink>
      <w:r>
        <w:t>.</w:t>
      </w:r>
    </w:p>
    <w:p w14:paraId="676832CC" w14:textId="77777777" w:rsidR="000464A2" w:rsidRDefault="00000000">
      <w:pPr>
        <w:pStyle w:val="Heading3"/>
      </w:pPr>
      <w:r>
        <w:t>Request Construction</w:t>
      </w:r>
    </w:p>
    <w:p w14:paraId="23719FEA" w14:textId="77777777" w:rsidR="000464A2" w:rsidRDefault="00000000">
      <w:pPr>
        <w:spacing w:before="120" w:after="120" w:line="276" w:lineRule="auto"/>
      </w:pPr>
      <w:r>
        <w:t>Before any call is made, the executor loads the appropriate prompt template from the configuration directory, inserting the evaluation fragment text into the designated placeholder position. The zero-shot template contains the task description and assessment instructions; the few-shot template additionally includes four annotated calibration examples (two classified as sound and two as not sound) before the target fragment. Once the prompt is rendered, HTTP authentication headers are constructed for the target provider. The request body is assembled in the format each provider expects, with parameter filtering ensuring that unsupported options are excluded for each provider. API latency is measured precisely for each call as the elapsed time between sending the request and receiving the response, and this value is stored with the response record.</w:t>
      </w:r>
    </w:p>
    <w:p w14:paraId="5910ABBF" w14:textId="77777777" w:rsidR="000464A2" w:rsidRDefault="00000000">
      <w:pPr>
        <w:pStyle w:val="Heading3"/>
      </w:pPr>
      <w:r>
        <w:t>Response Capture and Parsing</w:t>
      </w:r>
    </w:p>
    <w:p w14:paraId="6F99B31F" w14:textId="77777777" w:rsidR="000464A2" w:rsidRDefault="00000000">
      <w:pPr>
        <w:spacing w:before="120" w:after="120" w:line="276" w:lineRule="auto"/>
      </w:pPr>
      <w:r>
        <w:t>After a successful API call, the returned response is parsed in two stages. First, the raw text content is extracted from the provider-specific response envelope—three response formats are handled corresponding to the OpenAI-compatible, Anthropic, and Google Gemini API structures. Second, the extracted text is parsed to recover the model’s classification (“sound” or “not sound”) and its written rationale. The parser attempts structured extraction first; if that fails because a model returned free text instead, it falls back to pattern matching that searches for classification keywords and labeled rationale fields. The phrase “not sound” is always searched before the bare word “sound” to prevent false matches where “sound” appears as a substring.</w:t>
      </w:r>
    </w:p>
    <w:p w14:paraId="7679AC50" w14:textId="77777777" w:rsidR="000464A2" w:rsidRDefault="00000000">
      <w:pPr>
        <w:pStyle w:val="Heading3"/>
      </w:pPr>
      <w:r>
        <w:t>Classification Normalization and Immediate Persistence</w:t>
      </w:r>
    </w:p>
    <w:p w14:paraId="34D4633D" w14:textId="77777777" w:rsidR="000464A2" w:rsidRDefault="00000000">
      <w:pPr>
        <w:spacing w:before="120" w:after="120" w:line="276" w:lineRule="auto"/>
      </w:pPr>
      <w:r>
        <w:t>Raw classification strings are normalized to one of two canonical values: “sound” or “</w:t>
      </w:r>
      <w:proofErr w:type="spellStart"/>
      <w:r>
        <w:t>not_sound</w:t>
      </w:r>
      <w:proofErr w:type="spellEnd"/>
      <w:r>
        <w:t>.” The normalization routine handles common variant phrasings, again prioritizing not-sound variants in the matching sequence to prevent erroneous sound matches. A rationale is considered valid if it contains at least ten words and includes at least two keywords from a controlled list of domain-reasoning terms such as “evidence,” “synthesis,” “judgment,” or “analysis.” Each response record is appended to the response database CSV file immediately after processing rather than accumulated in memory, ensuring that a session interruption can lose at most a single in-flight call rather than an entire session’s worth of data.</w:t>
      </w:r>
    </w:p>
    <w:p w14:paraId="52EFDD79" w14:textId="77777777" w:rsidR="000464A2" w:rsidRDefault="00000000">
      <w:pPr>
        <w:pStyle w:val="Heading2"/>
      </w:pPr>
      <w:proofErr w:type="gramStart"/>
      <w:r>
        <w:t>G.4  Internal</w:t>
      </w:r>
      <w:proofErr w:type="gramEnd"/>
      <w:r>
        <w:t xml:space="preserve"> Coherence Validation</w:t>
      </w:r>
    </w:p>
    <w:p w14:paraId="57103B47" w14:textId="00F70677" w:rsidR="000464A2" w:rsidRDefault="00000000">
      <w:pPr>
        <w:spacing w:before="120" w:after="120" w:line="276" w:lineRule="auto"/>
      </w:pPr>
      <w:r>
        <w:t xml:space="preserve">This module implements the first substantive step of the automated scoring pipeline: assessing whether each model response demonstrates internal logical consistency. A response is considered internally coherent if the written rationale logically supports the stated classification. A model that classifies a fragment as “sound” while writing a rationale that describes weaknesses has produced an internally inconsistent response, and no amount of accidental correctness against the </w:t>
      </w:r>
      <w:r>
        <w:lastRenderedPageBreak/>
        <w:t xml:space="preserve">gold standard can make such a response analytically meaningful. The relevant source files are </w:t>
      </w:r>
      <w:hyperlink r:id="rId8" w:history="1">
        <w:r>
          <w:rPr>
            <w:rStyle w:val="Hyperlink"/>
          </w:rPr>
          <w:t xml:space="preserve">src/scoring/coherence.py and </w:t>
        </w:r>
        <w:proofErr w:type="spellStart"/>
        <w:r>
          <w:rPr>
            <w:rStyle w:val="Hyperlink"/>
          </w:rPr>
          <w:t>src</w:t>
        </w:r>
        <w:proofErr w:type="spellEnd"/>
        <w:r>
          <w:rPr>
            <w:rStyle w:val="Hyperlink"/>
          </w:rPr>
          <w:t>/scoring/c</w:t>
        </w:r>
        <w:r>
          <w:rPr>
            <w:rStyle w:val="Hyperlink"/>
          </w:rPr>
          <w:t>o</w:t>
        </w:r>
        <w:r>
          <w:rPr>
            <w:rStyle w:val="Hyperlink"/>
          </w:rPr>
          <w:t>nfig.py</w:t>
        </w:r>
      </w:hyperlink>
      <w:r>
        <w:t>.</w:t>
      </w:r>
    </w:p>
    <w:p w14:paraId="24BF0835" w14:textId="77777777" w:rsidR="000464A2" w:rsidRDefault="00000000">
      <w:pPr>
        <w:pStyle w:val="Heading3"/>
      </w:pPr>
      <w:r>
        <w:t>Tiered Validation Design</w:t>
      </w:r>
    </w:p>
    <w:p w14:paraId="4FAAA4EE" w14:textId="77777777" w:rsidR="000464A2" w:rsidRDefault="00000000">
      <w:pPr>
        <w:spacing w:before="120" w:after="120" w:line="276" w:lineRule="auto"/>
      </w:pPr>
      <w:r>
        <w:t xml:space="preserve">Coherence validation employs a two-tier architecture that balances speed, cost, and accuracy. </w:t>
      </w:r>
      <w:proofErr w:type="gramStart"/>
      <w:r>
        <w:t>The majority of</w:t>
      </w:r>
      <w:proofErr w:type="gramEnd"/>
      <w:r>
        <w:t xml:space="preserve"> responses can be classified confidently using a faster, cost-free rule-based method; only genuinely ambiguous cases require the more expensive LLM screening step.</w:t>
      </w:r>
    </w:p>
    <w:p w14:paraId="608629D5" w14:textId="77777777" w:rsidR="000464A2" w:rsidRDefault="00000000">
      <w:pPr>
        <w:spacing w:before="120" w:after="120" w:line="276" w:lineRule="auto"/>
      </w:pPr>
      <w:r>
        <w:t>Tier 1 counts how many strength-indicator words and weakness-indicator words appear in the rationale text. Strength indicators include adjectives and verbs associated with positive evaluation quality; weakness indicators include terms associated with identified problems. A coherence signal is determined by the relationship between the classification and the dominant indicator type: a “sound” classification with strength-dominated language is coherent; a “not sound” classification with weakness-dominated language is coherent. Any mismatch produces an incoherent signal. When the absolute difference between indicator counts reaches or exceeds a confidence threshold of three, the Tier 1 judgment is accepted as final. When the difference falls below this threshold, the response is routed to Tier 2.</w:t>
      </w:r>
    </w:p>
    <w:p w14:paraId="15FFB563" w14:textId="77777777" w:rsidR="000464A2" w:rsidRDefault="00000000">
      <w:pPr>
        <w:spacing w:before="120" w:after="120" w:line="276" w:lineRule="auto"/>
      </w:pPr>
      <w:r>
        <w:t>Tier 2 submits the response to a lightweight screening model at temperature zero, asking it to judge whether the rationale logically supports the classification. Critically, the Tier 2 prompt provides only the classification and rationale text—it does not include the evaluation fragment being assessed, the gold standard classification, or any information about the study. This design preserves the independence of the coherence check from the benchmarked task, preventing circular reasoning. If Tier 1 and Tier 2 disagree, the response is flagged as ambiguous and marked for manual researcher review.</w:t>
      </w:r>
    </w:p>
    <w:p w14:paraId="0DDE44C0" w14:textId="77777777" w:rsidR="000464A2" w:rsidRDefault="00000000">
      <w:pPr>
        <w:pStyle w:val="Heading3"/>
      </w:pPr>
      <w:r>
        <w:t>RC2 Reliability Check</w:t>
      </w:r>
    </w:p>
    <w:p w14:paraId="23002C8E" w14:textId="4B713DCF" w:rsidR="000464A2" w:rsidRDefault="00000000">
      <w:pPr>
        <w:spacing w:before="120" w:after="120" w:line="276" w:lineRule="auto"/>
      </w:pPr>
      <w:r>
        <w:t xml:space="preserve">To validate that the automated coherence pipeline agrees acceptably with human judgment, the module supports an RC2 reliability check. A stratified sample of responses is selected for manual review—including responses classified as coherent, incoherent, and ambiguous by the pipeline. The researcher independently judges each sampled response, and Cohen’s kappa is calculated between the pipeline’s final determinations and the researcher’s manual judgments. The study targets a kappa of at least 0.80; if this threshold is not met, </w:t>
      </w:r>
      <w:r w:rsidR="004B4213">
        <w:t>the coherence pipeline must be recalibrated and responses reprocessed locally before analysis proceeds; this does not require additional API calls, as the response database is already complete</w:t>
      </w:r>
      <w:r>
        <w:t>.</w:t>
      </w:r>
    </w:p>
    <w:p w14:paraId="58B9FCE8" w14:textId="77777777" w:rsidR="000464A2" w:rsidRDefault="00000000">
      <w:pPr>
        <w:pStyle w:val="Heading2"/>
      </w:pPr>
      <w:proofErr w:type="gramStart"/>
      <w:r>
        <w:t>G.5  Scoring</w:t>
      </w:r>
      <w:proofErr w:type="gramEnd"/>
      <w:r>
        <w:t xml:space="preserve"> Pipeline and Accuracy Algorithms</w:t>
      </w:r>
    </w:p>
    <w:p w14:paraId="72282865" w14:textId="77777777" w:rsidR="000464A2" w:rsidRDefault="00000000">
      <w:pPr>
        <w:spacing w:before="120" w:after="120" w:line="276" w:lineRule="auto"/>
      </w:pPr>
      <w:r>
        <w:t xml:space="preserve">This module implements the remaining three steps of the four-step automated scoring pipeline and provides the functions that make the full pipeline runnable as a single coordinated operation. The relevant source files are </w:t>
      </w:r>
      <w:hyperlink r:id="rId9" w:history="1">
        <w:proofErr w:type="spellStart"/>
        <w:r>
          <w:rPr>
            <w:rStyle w:val="Hyperlink"/>
          </w:rPr>
          <w:t>src</w:t>
        </w:r>
        <w:proofErr w:type="spellEnd"/>
        <w:r>
          <w:rPr>
            <w:rStyle w:val="Hyperlink"/>
          </w:rPr>
          <w:t xml:space="preserve">/scoring/accuracy.py, </w:t>
        </w:r>
        <w:proofErr w:type="spellStart"/>
        <w:r>
          <w:rPr>
            <w:rStyle w:val="Hyperlink"/>
          </w:rPr>
          <w:t>src</w:t>
        </w:r>
        <w:proofErr w:type="spellEnd"/>
        <w:r>
          <w:rPr>
            <w:rStyle w:val="Hyperlink"/>
          </w:rPr>
          <w:t xml:space="preserve">/scoring/edge_cases.py, and </w:t>
        </w:r>
        <w:proofErr w:type="spellStart"/>
        <w:r>
          <w:rPr>
            <w:rStyle w:val="Hyperlink"/>
          </w:rPr>
          <w:t>src</w:t>
        </w:r>
        <w:proofErr w:type="spellEnd"/>
        <w:r>
          <w:rPr>
            <w:rStyle w:val="Hyperlink"/>
          </w:rPr>
          <w:t>/scoring/pipeline.py</w:t>
        </w:r>
      </w:hyperlink>
      <w:r>
        <w:t>.</w:t>
      </w:r>
    </w:p>
    <w:p w14:paraId="09A29BE9" w14:textId="77777777" w:rsidR="000464A2" w:rsidRDefault="00000000">
      <w:pPr>
        <w:pStyle w:val="Heading3"/>
      </w:pPr>
      <w:r>
        <w:lastRenderedPageBreak/>
        <w:t>Pre-Step: Edge Case Detection</w:t>
      </w:r>
    </w:p>
    <w:p w14:paraId="3E43FECE" w14:textId="77777777" w:rsidR="000464A2" w:rsidRDefault="00000000">
      <w:pPr>
        <w:spacing w:before="120" w:after="120" w:line="276" w:lineRule="auto"/>
      </w:pPr>
      <w:r>
        <w:t>Before coherence validation begins, each response passes through an edge case detection screen. This pre-step categorizes responses that fall outside the normal processing path. Technical timeouts are identified first and excluded from the analysis entirely, since a timeout represents an infrastructure failure rather than a model reasoning failure. Substantive refusals, responses with missing classifications or insufficient rationale length, rationales with excessively repetitive language, unresolved hedging without a clear final classification, and contradictory responses asserting both “sound” and “not sound” are each detected and handled according to pre-specified rules.</w:t>
      </w:r>
    </w:p>
    <w:p w14:paraId="5192F169" w14:textId="77777777" w:rsidR="000464A2" w:rsidRDefault="00000000">
      <w:pPr>
        <w:pStyle w:val="Heading3"/>
      </w:pPr>
      <w:r>
        <w:t>Step 2: Classification Accuracy</w:t>
      </w:r>
    </w:p>
    <w:p w14:paraId="0D443B6A" w14:textId="77777777" w:rsidR="000464A2" w:rsidRDefault="00000000">
      <w:pPr>
        <w:spacing w:before="120" w:after="120" w:line="276" w:lineRule="auto"/>
      </w:pPr>
      <w:r>
        <w:t>Once coherence is established, coherent responses are compared to the locked gold standard expert classifications. Only responses where the automated pipeline determined the rationale to be coherent are evaluated for accuracy. Incoherent responses automatically receive a failing outcome regardless of whether their classification happens to match the gold standard, because an incoherent response cannot be treated as a reliable judgment.</w:t>
      </w:r>
    </w:p>
    <w:p w14:paraId="0DA80510" w14:textId="77777777" w:rsidR="000464A2" w:rsidRDefault="00000000">
      <w:pPr>
        <w:pStyle w:val="Heading3"/>
      </w:pPr>
      <w:r>
        <w:t>Step 3: Run-Level Outcome Assignment</w:t>
      </w:r>
    </w:p>
    <w:p w14:paraId="01D6E918" w14:textId="77777777" w:rsidR="000464A2" w:rsidRDefault="00000000">
      <w:pPr>
        <w:spacing w:before="120" w:after="120" w:line="276" w:lineRule="auto"/>
      </w:pPr>
      <w:r>
        <w:t>Each of the 5,400 individual runs receives a binary Pass or Fail outcome based on the combination of its coherence status and classification accuracy. A run passes only if it is both internally coherent and correct against the gold standard. Failed runs are additionally classified into one of three failure types. Type 1 failures—coherent but incorrect—represent the analytically most significant category: the model maintained logical consistency in its reasoning but arrived at the wrong conclusion. Type 1 failures are the only category eligible for the detailed failure mode coding analysis described in Appendix H.3. Type 2 failures (incoherent but accidentally matching the gold standard) and Type 3 failures (incoherent and incorrect) are documented quantitatively but receive no further qualitative analysis.</w:t>
      </w:r>
    </w:p>
    <w:p w14:paraId="2CB8ECA0" w14:textId="77777777" w:rsidR="000464A2" w:rsidRDefault="00000000">
      <w:pPr>
        <w:pStyle w:val="Heading3"/>
      </w:pPr>
      <w:r>
        <w:t>Step 4: Fragment-Level Adjudication</w:t>
      </w:r>
    </w:p>
    <w:p w14:paraId="4D5A84BA" w14:textId="77777777" w:rsidR="000464A2" w:rsidRDefault="00000000">
      <w:pPr>
        <w:spacing w:before="120" w:after="120" w:line="276" w:lineRule="auto"/>
      </w:pPr>
      <w:r>
        <w:t xml:space="preserve">The three independent runs for each fragment-model-prompt combination are adjudicated using majority rule: a combination passes if at least two of its three runs </w:t>
      </w:r>
      <w:proofErr w:type="gramStart"/>
      <w:r>
        <w:t>pass, and</w:t>
      </w:r>
      <w:proofErr w:type="gramEnd"/>
      <w:r>
        <w:t xml:space="preserve"> fails if at least two of its three runs fail. The system additionally tracks whether all three runs agree, with unanimous passes and unanimous failures noted separately as indicators of response consistency. The result is a dataset of 1,800 adjudicated outcomes (150 fragments × 6 models × 2 prompt conditions), each representing the definitive judgment for that combination. These adjudicated outcomes serve as the primary unit of analysis for the statistical tests in Appendix H.2.</w:t>
      </w:r>
    </w:p>
    <w:p w14:paraId="0C3A0888" w14:textId="77777777" w:rsidR="00CF39BE" w:rsidRDefault="00CF39BE">
      <w:pPr>
        <w:rPr>
          <w:b/>
          <w:bCs/>
          <w:color w:val="000000"/>
          <w:sz w:val="28"/>
          <w:szCs w:val="28"/>
        </w:rPr>
      </w:pPr>
      <w:r>
        <w:br w:type="page"/>
      </w:r>
    </w:p>
    <w:p w14:paraId="24A2B2CE" w14:textId="7EEE04C5" w:rsidR="000464A2" w:rsidRDefault="00000000">
      <w:pPr>
        <w:pStyle w:val="Heading1"/>
      </w:pPr>
      <w:r>
        <w:lastRenderedPageBreak/>
        <w:t>Appendix H: Analysis Infrastructure</w:t>
      </w:r>
    </w:p>
    <w:p w14:paraId="25BA0172" w14:textId="6ACA14C1" w:rsidR="000464A2" w:rsidRDefault="00000000">
      <w:pPr>
        <w:spacing w:before="120" w:after="120" w:line="276" w:lineRule="auto"/>
      </w:pPr>
      <w:r>
        <w:t>This appendix documents the software modules used to analyze the scored dataset produced by the pipeline described in Appendix G. Five subsections correspond to the five primary analysis activities: generating the performance matrix (H.1), running the pre-specified statistical tests (H.2), synthesizing GPT 5.2 failure patterns from the manually coded failure dataset (H.3), identifying challenge cases in the fragment corpus (H.4), and conducting the meta-evaluation and validity assessment (H.5).</w:t>
      </w:r>
      <w:r w:rsidR="00CF39BE">
        <w:t xml:space="preserve"> </w:t>
      </w:r>
      <w:r>
        <w:t xml:space="preserve">All analysis source files are located in the </w:t>
      </w:r>
      <w:hyperlink r:id="rId10" w:history="1">
        <w:proofErr w:type="spellStart"/>
        <w:r>
          <w:rPr>
            <w:rStyle w:val="Hyperlink"/>
          </w:rPr>
          <w:t>src</w:t>
        </w:r>
        <w:proofErr w:type="spellEnd"/>
        <w:r>
          <w:rPr>
            <w:rStyle w:val="Hyperlink"/>
          </w:rPr>
          <w:t>/a</w:t>
        </w:r>
        <w:r>
          <w:rPr>
            <w:rStyle w:val="Hyperlink"/>
          </w:rPr>
          <w:t>n</w:t>
        </w:r>
        <w:r>
          <w:rPr>
            <w:rStyle w:val="Hyperlink"/>
          </w:rPr>
          <w:t>alysis/</w:t>
        </w:r>
      </w:hyperlink>
      <w:r>
        <w:t xml:space="preserve"> directory of the repository.</w:t>
      </w:r>
    </w:p>
    <w:p w14:paraId="6BD6353F" w14:textId="77777777" w:rsidR="000464A2" w:rsidRDefault="00000000">
      <w:pPr>
        <w:pStyle w:val="Heading2"/>
      </w:pPr>
      <w:proofErr w:type="gramStart"/>
      <w:r>
        <w:t>H.1  Performance</w:t>
      </w:r>
      <w:proofErr w:type="gramEnd"/>
      <w:r>
        <w:t xml:space="preserve"> Matrix Generation</w:t>
      </w:r>
    </w:p>
    <w:p w14:paraId="13C5B2FE" w14:textId="77777777" w:rsidR="000464A2" w:rsidRDefault="00000000">
      <w:pPr>
        <w:spacing w:before="120" w:after="120" w:line="276" w:lineRule="auto"/>
      </w:pPr>
      <w:r>
        <w:t xml:space="preserve">This module assembles and exports the primary performance tables that form the quantitative foundation of the study’s findings. The relevant source file is </w:t>
      </w:r>
      <w:hyperlink r:id="rId11" w:history="1">
        <w:proofErr w:type="spellStart"/>
        <w:r>
          <w:rPr>
            <w:rStyle w:val="Hyperlink"/>
          </w:rPr>
          <w:t>src</w:t>
        </w:r>
        <w:proofErr w:type="spellEnd"/>
        <w:r>
          <w:rPr>
            <w:rStyle w:val="Hyperlink"/>
          </w:rPr>
          <w:t>/analysis/perf</w:t>
        </w:r>
        <w:r>
          <w:rPr>
            <w:rStyle w:val="Hyperlink"/>
          </w:rPr>
          <w:t>o</w:t>
        </w:r>
        <w:r>
          <w:rPr>
            <w:rStyle w:val="Hyperlink"/>
          </w:rPr>
          <w:t>rmance.py</w:t>
        </w:r>
      </w:hyperlink>
      <w:r>
        <w:t>.</w:t>
      </w:r>
    </w:p>
    <w:p w14:paraId="22706C8D" w14:textId="77777777" w:rsidR="000464A2" w:rsidRDefault="00000000">
      <w:pPr>
        <w:pStyle w:val="Heading3"/>
      </w:pPr>
      <w:r>
        <w:t>The 12-Cell Performance Matrix</w:t>
      </w:r>
    </w:p>
    <w:p w14:paraId="4E01327E" w14:textId="77777777" w:rsidR="000464A2" w:rsidRDefault="00000000">
      <w:pPr>
        <w:spacing w:before="120" w:after="120" w:line="276" w:lineRule="auto"/>
      </w:pPr>
      <w:r>
        <w:t>The central output of this module is a performance matrix presenting fragment-level pass rates for each of the twelve model-prompt combinations (six model families × two prompt conditions). Each cell reports the observed pass rate along with a 95% confidence interval calculated using the Wilson score method. The Wilson score interval is preferred because it produces accurate coverage even for small samples and extreme proportions—situations where a model achieves very high or very low pass rates—unlike the more familiar normal-approximation interval. The matrix is generated in a fixed canonical order (closed models first, then open models; zero-shot before few-shot) regardless of the order in which data appear in the underlying dataset, ensuring consistent output tables across runs.</w:t>
      </w:r>
    </w:p>
    <w:p w14:paraId="1EFADA60" w14:textId="77777777" w:rsidR="000464A2" w:rsidRDefault="00000000">
      <w:pPr>
        <w:pStyle w:val="Heading3"/>
      </w:pPr>
      <w:r>
        <w:t>Collapsed Summaries</w:t>
      </w:r>
    </w:p>
    <w:p w14:paraId="18985D1C" w14:textId="77777777" w:rsidR="000464A2" w:rsidRDefault="00000000">
      <w:pPr>
        <w:spacing w:before="120" w:after="120" w:line="276" w:lineRule="auto"/>
      </w:pPr>
      <w:r>
        <w:t xml:space="preserve">Alongside the full matrix, three collapsed summary tables are generated: one collapsing across prompt conditions to report each model’s average pass rate, one collapsing across models to report average pass rates by condition, and one collapsing by architectural category to report aggregate pass rates for </w:t>
      </w:r>
      <w:proofErr w:type="gramStart"/>
      <w:r>
        <w:t>open-source</w:t>
      </w:r>
      <w:proofErr w:type="gramEnd"/>
      <w:r>
        <w:t xml:space="preserve"> versus closed proprietary models with confidence intervals. The architecture classification is maintained centrally in the configuration file rather than defined locally within each analysis function, ensuring consistency across all modules that reference this distinction. All tables are exported as CSV files to the results directory.</w:t>
      </w:r>
    </w:p>
    <w:p w14:paraId="2838B28C" w14:textId="77777777" w:rsidR="000464A2" w:rsidRDefault="00000000">
      <w:pPr>
        <w:pStyle w:val="Heading2"/>
      </w:pPr>
      <w:proofErr w:type="gramStart"/>
      <w:r>
        <w:t>H.2  Statistical</w:t>
      </w:r>
      <w:proofErr w:type="gramEnd"/>
      <w:r>
        <w:t xml:space="preserve"> Tests</w:t>
      </w:r>
    </w:p>
    <w:p w14:paraId="22266141" w14:textId="77777777" w:rsidR="000464A2" w:rsidRDefault="00000000">
      <w:pPr>
        <w:spacing w:before="120" w:after="120" w:line="276" w:lineRule="auto"/>
      </w:pPr>
      <w:r>
        <w:t xml:space="preserve">This module implements the three inferential statistical tests specified in the study protocol. The relevant source file is </w:t>
      </w:r>
      <w:hyperlink r:id="rId12" w:history="1">
        <w:proofErr w:type="spellStart"/>
        <w:r>
          <w:rPr>
            <w:rStyle w:val="Hyperlink"/>
          </w:rPr>
          <w:t>src</w:t>
        </w:r>
        <w:proofErr w:type="spellEnd"/>
        <w:r>
          <w:rPr>
            <w:rStyle w:val="Hyperlink"/>
          </w:rPr>
          <w:t>/analysis/statis</w:t>
        </w:r>
        <w:r>
          <w:rPr>
            <w:rStyle w:val="Hyperlink"/>
          </w:rPr>
          <w:t>t</w:t>
        </w:r>
        <w:r>
          <w:rPr>
            <w:rStyle w:val="Hyperlink"/>
          </w:rPr>
          <w:t>ics.py</w:t>
        </w:r>
      </w:hyperlink>
      <w:r>
        <w:t>.</w:t>
      </w:r>
    </w:p>
    <w:p w14:paraId="356DBD86" w14:textId="77777777" w:rsidR="000464A2" w:rsidRDefault="00000000">
      <w:pPr>
        <w:pStyle w:val="Heading3"/>
      </w:pPr>
      <w:r>
        <w:t>Test 1: McNemar’s Test for Prompt Condition Effects</w:t>
      </w:r>
    </w:p>
    <w:p w14:paraId="4E0C9F63" w14:textId="77777777" w:rsidR="000464A2" w:rsidRDefault="00000000">
      <w:pPr>
        <w:spacing w:before="120" w:after="120" w:line="276" w:lineRule="auto"/>
      </w:pPr>
      <w:r>
        <w:t xml:space="preserve">The first test evaluates whether the prompt condition—zero-shot versus few-shot—produces a statistically significant difference in pass rates. Because each evaluation fragment is assessed </w:t>
      </w:r>
      <w:r>
        <w:lastRenderedPageBreak/>
        <w:t xml:space="preserve">under both conditions, the data have a natural paired structure, and McNemar’s test is designed precisely for paired binary data of this kind. It focuses on discordant pairs—those where the two conditions produced different outcomes—and asks whether the discordance is systematically tilted in one direction. When the number of discordant pairs is small (fewer than 25), the test uses an exact binomial probability calculation; otherwise, a chi-squared approximation with continuity correction is applied. The test also calculates an odds ratio providing a readily interpretable effect size, with per-model breakdowns computed to assess whether the prompt-condition effect is uniform or concentrated </w:t>
      </w:r>
      <w:proofErr w:type="gramStart"/>
      <w:r>
        <w:t>in particular architectures</w:t>
      </w:r>
      <w:proofErr w:type="gramEnd"/>
      <w:r>
        <w:t>.</w:t>
      </w:r>
    </w:p>
    <w:p w14:paraId="554B6D68" w14:textId="77777777" w:rsidR="000464A2" w:rsidRDefault="00000000">
      <w:pPr>
        <w:pStyle w:val="Heading3"/>
      </w:pPr>
      <w:r>
        <w:t>Test 2: Chi-Squared Test for Model Family Differences</w:t>
      </w:r>
    </w:p>
    <w:p w14:paraId="49B123D2" w14:textId="77777777" w:rsidR="000464A2" w:rsidRDefault="00000000">
      <w:pPr>
        <w:spacing w:before="120" w:after="120" w:line="276" w:lineRule="auto"/>
      </w:pPr>
      <w:r>
        <w:t>The second test evaluates whether the six model families differ significantly in their overall pass rates. A contingency table crossing model family against pass/fail outcome is constructed from the fragment-level outcomes, and a chi-squared test of independence is applied. If the omnibus test reaches significance, pairwise comparisons are conducted for all fifteen model-pair combinations with a Bonferroni correction applied to control the family-wise error rate. Effect size is quantified using Cramér’s V.</w:t>
      </w:r>
    </w:p>
    <w:p w14:paraId="2BB7FE7D" w14:textId="77777777" w:rsidR="000464A2" w:rsidRDefault="00000000">
      <w:pPr>
        <w:pStyle w:val="Heading3"/>
      </w:pPr>
      <w:r>
        <w:t>Test 3: Z-Test for Architecture Comparison</w:t>
      </w:r>
    </w:p>
    <w:p w14:paraId="4CAADB06" w14:textId="77777777" w:rsidR="000464A2" w:rsidRDefault="00000000">
      <w:pPr>
        <w:spacing w:before="120" w:after="120" w:line="276" w:lineRule="auto"/>
      </w:pPr>
      <w:r>
        <w:t>The third test compares the aggregate pass rates of closed proprietary models (GPT 5.2, Claude Opus 4.6, and Gemini 3 Pro) against open-source models (DeepSeek V3, Kimi K2, and GLM 4.7) using a two-group z-test for independent proportions based on the pooled proportion under the null hypothesis of no difference. Effect size is quantified using Cohen’s h, a measure specifically designed for proportions where values below 0.2 indicate small effects, values between 0.2 and 0.5 indicate medium effects, and values above 0.5 indicate large effects. All three test results are exported as a structured file to the results directory.</w:t>
      </w:r>
    </w:p>
    <w:p w14:paraId="51A1584F" w14:textId="77777777" w:rsidR="000464A2" w:rsidRDefault="00000000">
      <w:pPr>
        <w:pStyle w:val="Heading2"/>
      </w:pPr>
      <w:proofErr w:type="gramStart"/>
      <w:r>
        <w:t>H.3  Failure</w:t>
      </w:r>
      <w:proofErr w:type="gramEnd"/>
      <w:r>
        <w:t xml:space="preserve"> Pattern Synthesis for GPT 5.2</w:t>
      </w:r>
    </w:p>
    <w:p w14:paraId="35C5B474" w14:textId="77777777" w:rsidR="000464A2" w:rsidRDefault="00000000">
      <w:pPr>
        <w:spacing w:before="120" w:after="120" w:line="276" w:lineRule="auto"/>
      </w:pPr>
      <w:r>
        <w:t xml:space="preserve">This module synthesizes the manually coded failure modes for the primary diagnostic model (GPT 5.2) into quantitative patterns. It operates on a dataset of failure codes assigned by the researcher during the Phase 3 qualitative analysis, using the six-domain Integrated Evaluative Reasoning Checklist framework. The relevant source file is </w:t>
      </w:r>
      <w:hyperlink r:id="rId13" w:history="1">
        <w:proofErr w:type="spellStart"/>
        <w:r>
          <w:rPr>
            <w:rStyle w:val="Hyperlink"/>
          </w:rPr>
          <w:t>src</w:t>
        </w:r>
        <w:proofErr w:type="spellEnd"/>
        <w:r>
          <w:rPr>
            <w:rStyle w:val="Hyperlink"/>
          </w:rPr>
          <w:t>/analysis/failure_pa</w:t>
        </w:r>
        <w:r>
          <w:rPr>
            <w:rStyle w:val="Hyperlink"/>
          </w:rPr>
          <w:t>t</w:t>
        </w:r>
        <w:r>
          <w:rPr>
            <w:rStyle w:val="Hyperlink"/>
          </w:rPr>
          <w:t>terns.py</w:t>
        </w:r>
      </w:hyperlink>
      <w:r>
        <w:t>.</w:t>
      </w:r>
    </w:p>
    <w:p w14:paraId="7CA8933D" w14:textId="77777777" w:rsidR="000464A2" w:rsidRDefault="00000000">
      <w:pPr>
        <w:pStyle w:val="Heading3"/>
      </w:pPr>
      <w:r>
        <w:t>Within-Domain Analysis</w:t>
      </w:r>
    </w:p>
    <w:p w14:paraId="6A2587D7" w14:textId="77777777" w:rsidR="000464A2" w:rsidRDefault="00000000">
      <w:pPr>
        <w:spacing w:before="120" w:after="120" w:line="276" w:lineRule="auto"/>
      </w:pPr>
      <w:r>
        <w:t>For each of the six evaluative reasoning domains—Evaluative Framing, Evidence Base, Argument Structure, Synthesis and Integration, Evaluative Conclusion, and Qualifications and Transparency—the module calculates the count and percentage of GPT 5.2 Type 1 failures whose primary code belongs to that domain. It also identifies the most frequently violated specific checkpoints within each domain and computes the number of failures in each domain under zero-shot versus few-shot conditions, yielding a prompt differential that indicates whether domain failures are sensitive to calibration examples or appear prompt-resistant.</w:t>
      </w:r>
    </w:p>
    <w:p w14:paraId="3CD92689" w14:textId="77777777" w:rsidR="000464A2" w:rsidRDefault="00000000">
      <w:pPr>
        <w:pStyle w:val="Heading3"/>
      </w:pPr>
      <w:r>
        <w:lastRenderedPageBreak/>
        <w:t>Cross-Domain Co-occurrence</w:t>
      </w:r>
    </w:p>
    <w:p w14:paraId="71A83108" w14:textId="77777777" w:rsidR="000464A2" w:rsidRDefault="00000000">
      <w:pPr>
        <w:spacing w:before="120" w:after="120" w:line="276" w:lineRule="auto"/>
      </w:pPr>
      <w:r>
        <w:t>Because each coded failure case may receive up to three codes (a primary code and optionally secondary and tertiary codes reflecting compounding problems), the module builds a co-occurrence matrix counting how often failures from each pair of domains appear together in the same case. When two domains co-occur frequently, it suggests that failures in those areas compound each other and may share an underlying cause. All pairwise combinations of up to three codes per case are considered, ensuring that compounding failures captured in secondary and tertiary codes are not overlooked.</w:t>
      </w:r>
    </w:p>
    <w:p w14:paraId="5C6DE2E3" w14:textId="77777777" w:rsidR="000464A2" w:rsidRDefault="00000000">
      <w:pPr>
        <w:pStyle w:val="Heading3"/>
      </w:pPr>
      <w:r>
        <w:t>Emergent Code Analysis and Diagnostic Profile</w:t>
      </w:r>
    </w:p>
    <w:p w14:paraId="7EA5F65A" w14:textId="77777777" w:rsidR="000464A2" w:rsidRDefault="00000000">
      <w:pPr>
        <w:spacing w:before="120" w:after="120" w:line="276" w:lineRule="auto"/>
      </w:pPr>
      <w:r>
        <w:t>The failure coding protocol permits the researcher to generate inductive codes for failure patterns not anticipated by the pre-specified framework. The module quantifies the proportion of failures receiving inductive codes: if fewer than 20% of failures require them, the framework is assessed as adequately covering the observed failure space. The module also assembles a structured diagnostic summary of GPT 5.2’s failure profile, identifying the domains in which it fails most frequently, the most common specific checkpoint violations, and the domains most sensitive or most resistant to prompt condition. These elements are exported as CSV and JSON files to the results directory.</w:t>
      </w:r>
    </w:p>
    <w:p w14:paraId="3FE8DD5F" w14:textId="77777777" w:rsidR="000464A2" w:rsidRDefault="00000000">
      <w:pPr>
        <w:pStyle w:val="Heading2"/>
      </w:pPr>
      <w:proofErr w:type="gramStart"/>
      <w:r>
        <w:t>H.4  Challenge</w:t>
      </w:r>
      <w:proofErr w:type="gramEnd"/>
      <w:r>
        <w:t xml:space="preserve"> Case Identification</w:t>
      </w:r>
    </w:p>
    <w:p w14:paraId="638156F5" w14:textId="77777777" w:rsidR="000464A2" w:rsidRDefault="00000000">
      <w:pPr>
        <w:spacing w:before="120" w:after="120" w:line="276" w:lineRule="auto"/>
      </w:pPr>
      <w:r>
        <w:t xml:space="preserve">This module identifies fragments that warrant special analytical attention as challenge cases—those that prove systematically difficult across multiple dimensions of the study. The relevant source file is </w:t>
      </w:r>
      <w:hyperlink r:id="rId14" w:history="1">
        <w:proofErr w:type="spellStart"/>
        <w:r>
          <w:rPr>
            <w:rStyle w:val="Hyperlink"/>
          </w:rPr>
          <w:t>src</w:t>
        </w:r>
        <w:proofErr w:type="spellEnd"/>
        <w:r>
          <w:rPr>
            <w:rStyle w:val="Hyperlink"/>
          </w:rPr>
          <w:t>/analysis/challenge</w:t>
        </w:r>
        <w:r>
          <w:rPr>
            <w:rStyle w:val="Hyperlink"/>
          </w:rPr>
          <w:t>_</w:t>
        </w:r>
        <w:r>
          <w:rPr>
            <w:rStyle w:val="Hyperlink"/>
          </w:rPr>
          <w:t>cases.py</w:t>
        </w:r>
      </w:hyperlink>
      <w:r>
        <w:t>.</w:t>
      </w:r>
    </w:p>
    <w:p w14:paraId="73F1DFD9" w14:textId="77777777" w:rsidR="000464A2" w:rsidRDefault="00000000">
      <w:pPr>
        <w:pStyle w:val="Heading3"/>
      </w:pPr>
      <w:r>
        <w:t>Criterion 1: Systematic Cross-Model Disagreement</w:t>
      </w:r>
    </w:p>
    <w:p w14:paraId="212588C9" w14:textId="77777777" w:rsidR="000464A2" w:rsidRDefault="00000000">
      <w:pPr>
        <w:spacing w:before="120" w:after="120" w:line="276" w:lineRule="auto"/>
      </w:pPr>
      <w:r>
        <w:t>The first criterion identifies fragment-prompt combinations where GPT 5.2 failed and at least two of the five comparison models also failed on the same combination. Fragments meeting this criterion represent cases where multiple models across different architectures and training regimes struggled, suggesting that the difficulty originates in the evaluation fragment itself rather than in idiosyncratic weaknesses of a single model.</w:t>
      </w:r>
    </w:p>
    <w:p w14:paraId="37FD51B9" w14:textId="77777777" w:rsidR="000464A2" w:rsidRDefault="00000000">
      <w:pPr>
        <w:pStyle w:val="Heading3"/>
      </w:pPr>
      <w:r>
        <w:t>Criterion 2: Recurring Failure Mode</w:t>
      </w:r>
    </w:p>
    <w:p w14:paraId="0C3503B9" w14:textId="77777777" w:rsidR="000464A2" w:rsidRDefault="00000000">
      <w:pPr>
        <w:spacing w:before="120" w:after="120" w:line="276" w:lineRule="auto"/>
      </w:pPr>
      <w:r>
        <w:t>The second criterion identifies specific failure codes that account for at least ten percent of all GPT 5.2 Type 1 failures. A failure code meeting this threshold represents a systematic reasoning weakness that recurs across multiple fragments rather than being unique to individual cases.</w:t>
      </w:r>
    </w:p>
    <w:p w14:paraId="68DC77B1" w14:textId="77777777" w:rsidR="000464A2" w:rsidRDefault="00000000">
      <w:pPr>
        <w:pStyle w:val="Heading3"/>
      </w:pPr>
      <w:r>
        <w:t>Overlap Analysis</w:t>
      </w:r>
    </w:p>
    <w:p w14:paraId="6CE8B6F0" w14:textId="77777777" w:rsidR="000464A2" w:rsidRDefault="00000000">
      <w:pPr>
        <w:spacing w:before="120" w:after="120" w:line="276" w:lineRule="auto"/>
      </w:pPr>
      <w:r>
        <w:t xml:space="preserve">After applying both criteria independently, the module examines the overlap between the sets of fragment-prompt combinations they identify. High overlap suggests that challenge cases reflect genuinely difficult fragments that are hard for models to reason about correctly across multiple dimensions. Low overlap suggests that the two criteria capture different aspects of difficulty: </w:t>
      </w:r>
      <w:r>
        <w:lastRenderedPageBreak/>
        <w:t>Criterion 1 may identify fragments with inherently ambiguous evaluative content, while Criterion 2 may identify fragments that specifically expose a systematic gap in GPT 5.2’s reasoning repertoire.</w:t>
      </w:r>
    </w:p>
    <w:p w14:paraId="36BEF5C5" w14:textId="77777777" w:rsidR="000464A2" w:rsidRDefault="00000000">
      <w:pPr>
        <w:pStyle w:val="Heading2"/>
      </w:pPr>
      <w:proofErr w:type="gramStart"/>
      <w:r>
        <w:t>H.5  Meta</w:t>
      </w:r>
      <w:proofErr w:type="gramEnd"/>
      <w:r>
        <w:t>-Evaluation and Validity Assessment</w:t>
      </w:r>
    </w:p>
    <w:p w14:paraId="56E765A6" w14:textId="77777777" w:rsidR="000464A2" w:rsidRDefault="00000000">
      <w:pPr>
        <w:spacing w:before="120" w:after="120" w:line="276" w:lineRule="auto"/>
      </w:pPr>
      <w:r>
        <w:t xml:space="preserve">This module provides the structured framework for assessing the validity of the study’s conclusions. It synthesizes reliability check results, evaluates the defensibility of the gold standard, organizes the construct validity evidence, and catalogs pre-specified methodological limitations. The relevant source file is </w:t>
      </w:r>
      <w:hyperlink r:id="rId15" w:history="1">
        <w:proofErr w:type="spellStart"/>
        <w:r>
          <w:rPr>
            <w:rStyle w:val="Hyperlink"/>
          </w:rPr>
          <w:t>src</w:t>
        </w:r>
        <w:proofErr w:type="spellEnd"/>
        <w:r>
          <w:rPr>
            <w:rStyle w:val="Hyperlink"/>
          </w:rPr>
          <w:t>/analysis/meta_eva</w:t>
        </w:r>
        <w:r>
          <w:rPr>
            <w:rStyle w:val="Hyperlink"/>
          </w:rPr>
          <w:t>l</w:t>
        </w:r>
        <w:r>
          <w:rPr>
            <w:rStyle w:val="Hyperlink"/>
          </w:rPr>
          <w:t>uation.py</w:t>
        </w:r>
      </w:hyperlink>
      <w:r>
        <w:t>.</w:t>
      </w:r>
    </w:p>
    <w:p w14:paraId="06337E67" w14:textId="77777777" w:rsidR="000464A2" w:rsidRDefault="00000000">
      <w:pPr>
        <w:pStyle w:val="Heading3"/>
      </w:pPr>
      <w:r>
        <w:t>Construct Validity Triangulation</w:t>
      </w:r>
    </w:p>
    <w:p w14:paraId="0084FAE1" w14:textId="77777777" w:rsidR="000464A2" w:rsidRDefault="00000000">
      <w:pPr>
        <w:spacing w:before="120" w:after="120" w:line="276" w:lineRule="auto"/>
      </w:pPr>
      <w:r>
        <w:t>Three structured questions are posed to triangulate the construct validity of the evaluative reasoning measure. The first asks whether GPT 5.2 struggles more with Synthesis and Integration than with Evidence Identification, consistent with the theoretical expectation that higher-order integration tasks are harder than recognizing the presence of evidence. The second asks whether few-shot calibration provides proportionally greater benefit for domains that rely on tacit evaluative judgment, where calibration examples may communicate implicit standards that cannot be articulated as explicit rules. The third asks whether challenge cases cluster around evaluation criteria requiring complex counterfactual reasoning. These questions serve as structured prompts for post-data-collection interpretation; the module scaffolds the collection of findings but does not compute them automatically.</w:t>
      </w:r>
    </w:p>
    <w:p w14:paraId="08994BD4" w14:textId="77777777" w:rsidR="000464A2" w:rsidRDefault="00000000">
      <w:pPr>
        <w:pStyle w:val="Heading3"/>
      </w:pPr>
      <w:r>
        <w:t>Gold Standard Defensibility and Reliability Synthesis</w:t>
      </w:r>
    </w:p>
    <w:p w14:paraId="7BFEBF6E" w14:textId="77777777" w:rsidR="000464A2" w:rsidRDefault="00000000">
      <w:pPr>
        <w:spacing w:before="120" w:after="120" w:line="276" w:lineRule="auto"/>
      </w:pPr>
      <w:r>
        <w:t>The module identifies fragments flagged as challenge cases under Criterion 1 and notes these as candidates for analytical reflection against the gold standard, which remains locked and cannot be revised. Three reliability checks are synthesized: RC1 assesses the expert’s temporal consistency through re-classification a minimum of two weeks after the original classification; RC2 assesses the automated coherence pipeline’s agreement with manual judgment (as described in Appendix G.4); and RC3 assesses the researcher’s consistency in applying the failure mode coding protocol through re-coding of a sample after an interval. All three checks target a kappa of at least 0.80. The overall validity verdict is withheld until all three checks have been completed.</w:t>
      </w:r>
    </w:p>
    <w:p w14:paraId="7702EC3C" w14:textId="77777777" w:rsidR="000464A2" w:rsidRDefault="00000000">
      <w:pPr>
        <w:pStyle w:val="Heading3"/>
      </w:pPr>
      <w:r>
        <w:t>Methodological Limitations</w:t>
      </w:r>
    </w:p>
    <w:p w14:paraId="462DB966" w14:textId="77777777" w:rsidR="000464A2" w:rsidRDefault="00000000">
      <w:pPr>
        <w:spacing w:before="120" w:after="120" w:line="276" w:lineRule="auto"/>
      </w:pPr>
      <w:r>
        <w:t xml:space="preserve">Five pre-specified methodological limitations are cataloged with their associated threats, mitigations, and residual risks: (1) the representativeness of conclusion sections as samples of evaluative reasoning; (2) the corpus scope’s restriction to UN evaluation reports; (3) the reliance on a single expert for gold standard classifications rather than a consensus panel; (4) the use of a fixed prompt formulation per condition rather than optimized prompt engineering; and (5) the concentration of detailed failure mode coding on the single primary diagnostic model. The </w:t>
      </w:r>
      <w:r>
        <w:lastRenderedPageBreak/>
        <w:t>module exports both a structured JSON version and a readable Markdown narrative version of the full meta-evaluation report to the results directory.</w:t>
      </w:r>
    </w:p>
    <w:sectPr w:rsidR="000464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034F0"/>
    <w:multiLevelType w:val="hybridMultilevel"/>
    <w:tmpl w:val="582861E0"/>
    <w:lvl w:ilvl="0" w:tplc="36164D42">
      <w:start w:val="1"/>
      <w:numFmt w:val="bullet"/>
      <w:lvlText w:val="●"/>
      <w:lvlJc w:val="left"/>
      <w:pPr>
        <w:ind w:left="720" w:hanging="360"/>
      </w:pPr>
    </w:lvl>
    <w:lvl w:ilvl="1" w:tplc="583EA4F6">
      <w:start w:val="1"/>
      <w:numFmt w:val="bullet"/>
      <w:lvlText w:val="○"/>
      <w:lvlJc w:val="left"/>
      <w:pPr>
        <w:ind w:left="1440" w:hanging="360"/>
      </w:pPr>
    </w:lvl>
    <w:lvl w:ilvl="2" w:tplc="1AD8194A">
      <w:start w:val="1"/>
      <w:numFmt w:val="bullet"/>
      <w:lvlText w:val="■"/>
      <w:lvlJc w:val="left"/>
      <w:pPr>
        <w:ind w:left="2160" w:hanging="360"/>
      </w:pPr>
    </w:lvl>
    <w:lvl w:ilvl="3" w:tplc="8D8CC208">
      <w:start w:val="1"/>
      <w:numFmt w:val="bullet"/>
      <w:lvlText w:val="●"/>
      <w:lvlJc w:val="left"/>
      <w:pPr>
        <w:ind w:left="2880" w:hanging="360"/>
      </w:pPr>
    </w:lvl>
    <w:lvl w:ilvl="4" w:tplc="37EA59B4">
      <w:start w:val="1"/>
      <w:numFmt w:val="bullet"/>
      <w:lvlText w:val="○"/>
      <w:lvlJc w:val="left"/>
      <w:pPr>
        <w:ind w:left="3600" w:hanging="360"/>
      </w:pPr>
    </w:lvl>
    <w:lvl w:ilvl="5" w:tplc="EB48C292">
      <w:start w:val="1"/>
      <w:numFmt w:val="bullet"/>
      <w:lvlText w:val="■"/>
      <w:lvlJc w:val="left"/>
      <w:pPr>
        <w:ind w:left="4320" w:hanging="360"/>
      </w:pPr>
    </w:lvl>
    <w:lvl w:ilvl="6" w:tplc="0A9C4E1C">
      <w:start w:val="1"/>
      <w:numFmt w:val="bullet"/>
      <w:lvlText w:val="●"/>
      <w:lvlJc w:val="left"/>
      <w:pPr>
        <w:ind w:left="5040" w:hanging="360"/>
      </w:pPr>
    </w:lvl>
    <w:lvl w:ilvl="7" w:tplc="1340D1BA">
      <w:start w:val="1"/>
      <w:numFmt w:val="bullet"/>
      <w:lvlText w:val="●"/>
      <w:lvlJc w:val="left"/>
      <w:pPr>
        <w:ind w:left="5760" w:hanging="360"/>
      </w:pPr>
    </w:lvl>
    <w:lvl w:ilvl="8" w:tplc="8CD41B34">
      <w:start w:val="1"/>
      <w:numFmt w:val="bullet"/>
      <w:lvlText w:val="●"/>
      <w:lvlJc w:val="left"/>
      <w:pPr>
        <w:ind w:left="6480" w:hanging="360"/>
      </w:pPr>
    </w:lvl>
  </w:abstractNum>
  <w:num w:numId="1" w16cid:durableId="64601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4A2"/>
    <w:rsid w:val="000464A2"/>
    <w:rsid w:val="00112A21"/>
    <w:rsid w:val="003262F0"/>
    <w:rsid w:val="004B4213"/>
    <w:rsid w:val="00BC72EA"/>
    <w:rsid w:val="00C9522D"/>
    <w:rsid w:val="00CF3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4BDF2"/>
  <w15:docId w15:val="{B0F26D23-B778-EC49-B0AA-466D8CC5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FollowedHyperlink">
    <w:name w:val="FollowedHyperlink"/>
    <w:basedOn w:val="DefaultParagraphFont"/>
    <w:uiPriority w:val="99"/>
    <w:semiHidden/>
    <w:unhideWhenUsed/>
    <w:rsid w:val="003262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zachtilton/eval-reasoning-benchmark/tree/main/src/scoring" TargetMode="External"/><Relationship Id="rId13" Type="http://schemas.openxmlformats.org/officeDocument/2006/relationships/hyperlink" Target="https://github.com/zachtilton/eval-reasoning-benchmark/blob/main/src/analysis/failure_patterns.py" TargetMode="External"/><Relationship Id="rId3" Type="http://schemas.openxmlformats.org/officeDocument/2006/relationships/settings" Target="settings.xml"/><Relationship Id="rId7" Type="http://schemas.openxmlformats.org/officeDocument/2006/relationships/hyperlink" Target="https://github.com/zachtilton/eval-reasoning-benchmark/tree/main/src/api_client" TargetMode="External"/><Relationship Id="rId12" Type="http://schemas.openxmlformats.org/officeDocument/2006/relationships/hyperlink" Target="https://github.com/zachtilton/eval-reasoning-benchmark/blob/main/src/analysis/statistics.p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zachtilton/eval-reasoning-benchmark/blob/main/src/api_client/retry.py" TargetMode="External"/><Relationship Id="rId11" Type="http://schemas.openxmlformats.org/officeDocument/2006/relationships/hyperlink" Target="https://github.com/zachtilton/eval-reasoning-benchmark/blob/main/src/analysis/performance.py" TargetMode="External"/><Relationship Id="rId5" Type="http://schemas.openxmlformats.org/officeDocument/2006/relationships/hyperlink" Target="https://github.com/zachtilton/eval-reasoning-benchmark/tree/main/config" TargetMode="External"/><Relationship Id="rId15" Type="http://schemas.openxmlformats.org/officeDocument/2006/relationships/hyperlink" Target="https://github.com/zachtilton/eval-reasoning-benchmark/blob/main/src/analysis/meta_evaluation.py" TargetMode="External"/><Relationship Id="rId10" Type="http://schemas.openxmlformats.org/officeDocument/2006/relationships/hyperlink" Target="https://github.com/zachtilton/eval-reasoning-benchmark/tree/main/src/analysis" TargetMode="External"/><Relationship Id="rId4" Type="http://schemas.openxmlformats.org/officeDocument/2006/relationships/webSettings" Target="webSettings.xml"/><Relationship Id="rId9" Type="http://schemas.openxmlformats.org/officeDocument/2006/relationships/hyperlink" Target="https://github.com/zachtilton/eval-reasoning-benchmark/tree/main/src/scoring" TargetMode="External"/><Relationship Id="rId14" Type="http://schemas.openxmlformats.org/officeDocument/2006/relationships/hyperlink" Target="https://github.com/zachtilton/eval-reasoning-benchmark/blob/main/src/analysis/challenge_cas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4258</Words>
  <Characters>26102</Characters>
  <Application>Microsoft Office Word</Application>
  <DocSecurity>0</DocSecurity>
  <Lines>372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David Tilton</cp:lastModifiedBy>
  <cp:revision>2</cp:revision>
  <dcterms:created xsi:type="dcterms:W3CDTF">2026-02-26T23:26:00Z</dcterms:created>
  <dcterms:modified xsi:type="dcterms:W3CDTF">2026-02-26T23:26:00Z</dcterms:modified>
</cp:coreProperties>
</file>