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Arial" w:cs="Arial" w:eastAsia="Arial" w:hAnsi="Arial"/>
          <w:b/>
          <w:bCs/>
          <w:color w:val="1E2761"/>
          <w:sz w:val="40"/>
          <w:szCs w:val="40"/>
        </w:rPr>
        <w:t xml:space="preserve">NOTE EXPLICATIVE</w:t>
      </w:r>
    </w:p>
    <w:p>
      <w:pPr>
        <w:spacing w:after="60"/>
        <w:jc w:val="center"/>
      </w:pPr>
      <w:r>
        <w:rPr>
          <w:rFonts w:ascii="Arial" w:cs="Arial" w:eastAsia="Arial" w:hAnsi="Arial"/>
          <w:color w:val="0891B2"/>
          <w:sz w:val="30"/>
          <w:szCs w:val="30"/>
        </w:rPr>
        <w:t xml:space="preserve">Migration ClassExpert → SchoolArt</w:t>
      </w:r>
    </w:p>
    <w:p>
      <w:pPr>
        <w:spacing w:after="60"/>
        <w:jc w:val="center"/>
      </w:pPr>
      <w:r>
        <w:rPr>
          <w:rFonts w:ascii="Arial" w:cs="Arial" w:eastAsia="Arial" w:hAnsi="Arial"/>
          <w:i/>
          <w:iCs/>
          <w:color w:val="475569"/>
          <w:sz w:val="24"/>
          <w:szCs w:val="24"/>
        </w:rPr>
        <w:t xml:space="preserve">Pourquoi utiliser l’intelligence artificielle ?</w:t>
      </w:r>
    </w:p>
    <w:p>
      <w:pPr>
        <w:spacing w:after="300"/>
        <w:jc w:val="center"/>
      </w:pPr>
      <w:r>
        <w:rPr>
          <w:rFonts w:ascii="Arial" w:cs="Arial" w:eastAsia="Arial" w:hAnsi="Arial"/>
          <w:color w:val="475569"/>
          <w:sz w:val="20"/>
          <w:szCs w:val="20"/>
        </w:rPr>
        <w:t xml:space="preserve">Groupe ISM — Mars 2026</w:t>
      </w:r>
    </w:p>
    <w:p>
      <w:pPr>
        <w:pBdr>
          <w:bottom w:val="single" w:color="0891B2" w:sz="6" w:space="1"/>
        </w:pBdr>
        <w:spacing w:after="300"/>
      </w:pPr>
    </w:p>
    <w:p>
      <w:pPr>
        <w:pStyle w:val="Heading1"/>
      </w:pPr>
      <w:r>
        <w:t xml:space="preserve">1. Le contexte</w:t>
      </w:r>
    </w:p>
    <w:p>
      <w:pPr>
        <w:spacing w:after="140" w:line="300"/>
      </w:pPr>
      <w:r>
        <w:rPr>
          <w:rFonts w:ascii="Arial" w:cs="Arial" w:eastAsia="Arial" w:hAnsi="Arial"/>
          <w:color w:val="1E293B"/>
          <w:sz w:val="22"/>
          <w:szCs w:val="22"/>
        </w:rPr>
        <w:t xml:space="preserve">Le Groupe ISM utilise depuis plusieurs années la plateforme ClassExpert pour gérer ses données académiques : étudiants, notes, matières, classes, assiduité. Nous migrons actuellement vers notre propre solution, SchoolArt, développée en interne.</w:t>
      </w:r>
    </w:p>
    <w:p>
      <w:pPr>
        <w:spacing w:after="140" w:line="300"/>
      </w:pPr>
      <w:r>
        <w:rPr>
          <w:rFonts w:ascii="Arial" w:cs="Arial" w:eastAsia="Arial" w:hAnsi="Arial"/>
          <w:color w:val="1E293B"/>
          <w:sz w:val="22"/>
          <w:szCs w:val="22"/>
        </w:rPr>
        <w:t xml:space="preserve">Cette migration implique de transférer un volume considérable de données accumulées sur plusieurs années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55 925 étudiants uniques</w:t>
            </w:r>
          </w:p>
        </w:tc>
        <w:tc>
          <w:tcPr>
            <w:tcW w:type="dxa" w:w="45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2 190 classes</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293B"/>
                <w:sz w:val="24"/>
                <w:szCs w:val="24"/>
              </w:rPr>
              <w:t xml:space="preserve">104 669 occurrences de matières</w:t>
            </w:r>
          </w:p>
        </w:tc>
        <w:tc>
          <w:tcPr>
            <w:tcW w:type="dxa" w:w="45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293B"/>
                <w:sz w:val="24"/>
                <w:szCs w:val="24"/>
              </w:rPr>
              <w:t xml:space="preserve">52 548 fichiers de notes</w:t>
            </w:r>
          </w:p>
        </w:tc>
      </w:tr>
      <w:tr>
        <w:tc>
          <w:tcPr>
            <w:tcW w:type="dxa" w:w="45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65 licences / formations</w:t>
            </w:r>
          </w:p>
        </w:tc>
        <w:tc>
          <w:tcPr>
            <w:tcW w:type="dxa" w:w="45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10+ années de données</w:t>
            </w:r>
          </w:p>
        </w:tc>
      </w:tr>
    </w:tbl>
    <w:p>
      <w:pPr>
        <w:spacing w:after="200"/>
      </w:pPr>
    </w:p>
    <w:p>
      <w:pPr>
        <w:pStyle w:val="Heading1"/>
      </w:pPr>
      <w:r>
        <w:t xml:space="preserve">2. Le problème : des données en mauvais état</w:t>
      </w:r>
    </w:p>
    <w:p>
      <w:pPr>
        <w:spacing w:after="140" w:line="300"/>
      </w:pPr>
      <w:r>
        <w:rPr>
          <w:rFonts w:ascii="Arial" w:cs="Arial" w:eastAsia="Arial" w:hAnsi="Arial"/>
          <w:color w:val="1E293B"/>
          <w:sz w:val="22"/>
          <w:szCs w:val="22"/>
        </w:rPr>
        <w:t xml:space="preserve">L’audit approfondi que nous avons réalisé révèle que les données de ClassExpert souffrent de nombreuses incohérences. Ce ne sont pas de simples erreurs isolées : elles sont massives et systémiques.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891B2" w:sz="18"/>
              <w:bottom w:val="none" w:sz="0"/>
              <w:right w:val="none" w:sz="0"/>
            </w:tcBorders>
            <w:shd w:fill="F0F9FF" w:val="clear"/>
            <w:tcMar>
              <w:top w:type="dxa" w:w="100"/>
              <w:left w:type="dxa" w:w="200"/>
              <w:bottom w:type="dxa" w:w="100"/>
              <w:right w:type="dxa" w:w="200"/>
            </w:tcMar>
          </w:tcPr>
          <w:p>
            <w:pPr>
              <w:spacing w:after="0" w:line="300"/>
            </w:pPr>
            <w:r>
              <w:rPr>
                <w:rFonts w:ascii="Arial" w:cs="Arial" w:eastAsia="Arial" w:hAnsi="Arial"/>
                <w:i/>
                <w:iCs/>
                <w:color w:val="1E293B"/>
                <w:sz w:val="22"/>
                <w:szCs w:val="22"/>
              </w:rPr>
              <w:t xml:space="preserve">220 484 anomalies détectées, dont 96 345 jugées critiques. Il est impossible de migrer ces données en l’état.</w:t>
            </w:r>
          </w:p>
        </w:tc>
      </w:tr>
    </w:tbl>
    <w:p>
      <w:pPr>
        <w:spacing w:after="100"/>
      </w:pPr>
    </w:p>
    <w:p>
      <w:pPr>
        <w:spacing w:after="140" w:line="300"/>
      </w:pPr>
      <w:r>
        <w:rPr>
          <w:rFonts w:ascii="Arial" w:cs="Arial" w:eastAsia="Arial" w:hAnsi="Arial"/>
          <w:color w:val="1E293B"/>
          <w:sz w:val="22"/>
          <w:szCs w:val="22"/>
        </w:rPr>
        <w:t xml:space="preserve">Voici les principales catégories de problèmes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Problème</w:t>
            </w:r>
          </w:p>
        </w:tc>
        <w:tc>
          <w:tcPr>
            <w:tcW w:type="dxa" w:w="5526"/>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Exemple concret</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Doublons de matières</w:t>
            </w:r>
          </w:p>
        </w:tc>
        <w:tc>
          <w:tcPr>
            <w:tcW w:type="dxa" w:w="55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557 groupes de doublons : « Business English », « business english », « BUSINESS ENGLISH » sont 3 entrées différentes pour la même matière</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Nationalités incohérentes</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331 valeurs au lieu de ~50 : fautes de frappe, numéros de téléphone, villes enregistrées comme nationalités</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UE vides (47%)</w:t>
            </w:r>
          </w:p>
        </w:tc>
        <w:tc>
          <w:tcPr>
            <w:tcW w:type="dxa" w:w="55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Près de la moitié des matières ne sont rattachées à aucune unité d’enseignement</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Notes suspectes</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36 classes entières avec exactement la même note pour tous les étudiants (souvent 0,00)</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Périodes anormales</w:t>
            </w:r>
          </w:p>
        </w:tc>
        <w:tc>
          <w:tcPr>
            <w:tcW w:type="dxa" w:w="55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50 classes avec plus de 4 sessions par an, alors que le modèle prévoit 2 semestres × 2 sessions</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Données étudiantes incomplètes</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13% sans nationalité, 21% sans email, 26% sans téléphone, 8% sans date de naissance</w:t>
            </w:r>
          </w:p>
        </w:tc>
      </w:tr>
    </w:tbl>
    <w:p>
      <w:pPr>
        <w:spacing w:after="200"/>
      </w:pPr>
    </w:p>
    <w:p>
      <w:pPr>
        <w:spacing w:after="140" w:line="300"/>
      </w:pPr>
      <w:r>
        <w:rPr>
          <w:rFonts w:ascii="Arial" w:cs="Arial" w:eastAsia="Arial" w:hAnsi="Arial"/>
          <w:color w:val="1E293B"/>
          <w:sz w:val="22"/>
          <w:szCs w:val="22"/>
        </w:rPr>
        <w:t xml:space="preserve">Transférer ces données telles quelles vers SchoolArt reviendrait à </w:t>
      </w:r>
      <w:r>
        <w:rPr>
          <w:rFonts w:ascii="Arial" w:cs="Arial" w:eastAsia="Arial" w:hAnsi="Arial"/>
          <w:b/>
          <w:bCs/>
          <w:color w:val="1E293B"/>
          <w:sz w:val="22"/>
          <w:szCs w:val="22"/>
        </w:rPr>
        <w:t xml:space="preserve">importer les problèmes de l’ancien système dans le nouveau</w:t>
      </w:r>
      <w:r>
        <w:rPr>
          <w:rFonts w:ascii="Arial" w:cs="Arial" w:eastAsia="Arial" w:hAnsi="Arial"/>
          <w:color w:val="1E293B"/>
          <w:sz w:val="22"/>
          <w:szCs w:val="22"/>
        </w:rPr>
        <w:t xml:space="preserve">. Le nettoyage est donc un préalable indispensable.</w:t>
      </w:r>
    </w:p>
    <w:p>
      <w:pPr>
        <w:spacing w:after="200"/>
      </w:pPr>
    </w:p>
    <w:p>
      <w:pPr>
        <w:pStyle w:val="Heading1"/>
      </w:pPr>
      <w:r>
        <w:t xml:space="preserve">3. Pourquoi l’IA est nécessaire ici</w:t>
      </w:r>
    </w:p>
    <w:p>
      <w:pPr>
        <w:pStyle w:val="Heading2"/>
      </w:pPr>
      <w:r>
        <w:t xml:space="preserve">3.1 Ce qu’un script classique sait faire</w:t>
      </w:r>
    </w:p>
    <w:p>
      <w:pPr>
        <w:spacing w:after="140" w:line="300"/>
      </w:pPr>
      <w:r>
        <w:rPr>
          <w:rFonts w:ascii="Arial" w:cs="Arial" w:eastAsia="Arial" w:hAnsi="Arial"/>
          <w:color w:val="1E293B"/>
          <w:sz w:val="22"/>
          <w:szCs w:val="22"/>
        </w:rPr>
        <w:t xml:space="preserve">Certaines corrections sont purement mécaniques et peuvent être automatisées par des scripts traditionnels :</w:t>
      </w:r>
    </w:p>
    <w:p>
      <w:pPr>
        <w:pStyle w:val="ListParagraph"/>
        <w:numPr>
          <w:ilvl w:val="0"/>
          <w:numId w:val="2"/>
        </w:numPr>
        <w:spacing w:after="80" w:line="300"/>
      </w:pPr>
      <w:r>
        <w:rPr>
          <w:rFonts w:ascii="Arial" w:cs="Arial" w:eastAsia="Arial" w:hAnsi="Arial"/>
          <w:color w:val="1E293B"/>
          <w:sz w:val="22"/>
          <w:szCs w:val="22"/>
        </w:rPr>
        <w:t xml:space="preserve">Mettre toutes les nationalités en majuscule standard</w:t>
      </w:r>
    </w:p>
    <w:p>
      <w:pPr>
        <w:pStyle w:val="ListParagraph"/>
        <w:numPr>
          <w:ilvl w:val="0"/>
          <w:numId w:val="2"/>
        </w:numPr>
        <w:spacing w:after="80" w:line="300"/>
      </w:pPr>
      <w:r>
        <w:rPr>
          <w:rFonts w:ascii="Arial" w:cs="Arial" w:eastAsia="Arial" w:hAnsi="Arial"/>
          <w:color w:val="1E293B"/>
          <w:sz w:val="22"/>
          <w:szCs w:val="22"/>
        </w:rPr>
        <w:t xml:space="preserve">Supprimer les espaces en trop, corriger les accents</w:t>
      </w:r>
    </w:p>
    <w:p>
      <w:pPr>
        <w:pStyle w:val="ListParagraph"/>
        <w:numPr>
          <w:ilvl w:val="0"/>
          <w:numId w:val="2"/>
        </w:numPr>
        <w:spacing w:after="80" w:line="300"/>
      </w:pPr>
      <w:r>
        <w:rPr>
          <w:rFonts w:ascii="Arial" w:cs="Arial" w:eastAsia="Arial" w:hAnsi="Arial"/>
          <w:color w:val="1E293B"/>
          <w:sz w:val="22"/>
          <w:szCs w:val="22"/>
        </w:rPr>
        <w:t xml:space="preserve">Reformater les dates de naissance</w:t>
      </w:r>
    </w:p>
    <w:p>
      <w:pPr>
        <w:pStyle w:val="ListParagraph"/>
        <w:numPr>
          <w:ilvl w:val="0"/>
          <w:numId w:val="2"/>
        </w:numPr>
        <w:spacing w:after="80" w:line="300"/>
      </w:pPr>
      <w:r>
        <w:rPr>
          <w:rFonts w:ascii="Arial" w:cs="Arial" w:eastAsia="Arial" w:hAnsi="Arial"/>
          <w:color w:val="1E293B"/>
          <w:sz w:val="22"/>
          <w:szCs w:val="22"/>
        </w:rPr>
        <w:t xml:space="preserve">Supprimer les entrées évidemment invalides (numéros de téléphone enregistrés comme nationalité)</w:t>
      </w:r>
    </w:p>
    <w:p>
      <w:pPr>
        <w:spacing w:after="80"/>
      </w:pPr>
    </w:p>
    <w:p>
      <w:pPr>
        <w:pStyle w:val="Heading2"/>
      </w:pPr>
      <w:r>
        <w:t xml:space="preserve">3.2 Ce qu’un script classique ne sait PAS faire</w:t>
      </w:r>
    </w:p>
    <w:p>
      <w:pPr>
        <w:spacing w:after="140" w:line="300"/>
      </w:pPr>
      <w:r>
        <w:rPr>
          <w:rFonts w:ascii="Arial" w:cs="Arial" w:eastAsia="Arial" w:hAnsi="Arial"/>
          <w:color w:val="1E293B"/>
          <w:sz w:val="22"/>
          <w:szCs w:val="22"/>
        </w:rPr>
        <w:t xml:space="preserve">Le véritable défi réside dans les décisions qui nécessitent du jugement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La question</w:t>
            </w:r>
          </w:p>
        </w:tc>
        <w:tc>
          <w:tcPr>
            <w:tcW w:type="dxa" w:w="45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Pourquoi un script ne suffit pas</w:t>
            </w:r>
          </w:p>
        </w:tc>
      </w:tr>
      <w:tr>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 Comptabilité Générale » et « Compta Générale I » sont-elles la même matière ?</w:t>
            </w:r>
          </w:p>
        </w:tc>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Un script compare des caractères. Il faut comprendre le sens des mots pour décider.</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Deux étudiants s’appellent « Fatou Diallo ». Est-ce la même personne ?</w:t>
            </w:r>
          </w:p>
        </w:tc>
        <w:tc>
          <w:tcPr>
            <w:tcW w:type="dxa" w:w="45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Il faut croiser date de naissance, identifiant, classes fréquentées pour trancher.</w:t>
            </w:r>
          </w:p>
        </w:tc>
      </w:tr>
      <w:tr>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Une matière n’a pas d’UE assignée. À quelle UE la rattacher ?</w:t>
            </w:r>
          </w:p>
        </w:tc>
        <w:tc>
          <w:tcPr>
            <w:tcW w:type="dxa" w:w="45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Il faut analyser le contexte : classe, période, matières voisines, niveau.</w:t>
            </w:r>
          </w:p>
        </w:tc>
      </w:tr>
      <w:tr>
        <w:tc>
          <w:tcPr>
            <w:tcW w:type="dxa" w:w="45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Une classe a 6 périodes. Lesquelles garder ?</w:t>
            </w:r>
          </w:p>
        </w:tc>
        <w:tc>
          <w:tcPr>
            <w:tcW w:type="dxa" w:w="45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Il faut vérifier si les périodes contiennent des notes avant de décider.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891B2" w:sz="18"/>
              <w:bottom w:val="none" w:sz="0"/>
              <w:right w:val="none" w:sz="0"/>
            </w:tcBorders>
            <w:shd w:fill="F0F9FF" w:val="clear"/>
            <w:tcMar>
              <w:top w:type="dxa" w:w="100"/>
              <w:left w:type="dxa" w:w="200"/>
              <w:bottom w:type="dxa" w:w="100"/>
              <w:right w:type="dxa" w:w="200"/>
            </w:tcMar>
          </w:tcPr>
          <w:p>
            <w:pPr>
              <w:spacing w:after="0" w:line="300"/>
            </w:pPr>
            <w:r>
              <w:rPr>
                <w:rFonts w:ascii="Arial" w:cs="Arial" w:eastAsia="Arial" w:hAnsi="Arial"/>
                <w:i/>
                <w:iCs/>
                <w:color w:val="1E293B"/>
                <w:sz w:val="22"/>
                <w:szCs w:val="22"/>
              </w:rPr>
              <w:t xml:space="preserve">Un humain pourrait faire ce travail manuellement… mais pour 220 000 anomalies, il faudrait des mois de travail répétitif. L’IA permet de traiter ces décisions en quelques heures, avec une cohérence impossible à maintenir manuellement.</w:t>
            </w:r>
          </w:p>
        </w:tc>
      </w:tr>
    </w:tbl>
    <w:p>
      <w:pPr>
        <w:spacing w:after="200"/>
      </w:pPr>
    </w:p>
    <w:p>
      <w:pPr>
        <w:pStyle w:val="Heading2"/>
      </w:pPr>
      <w:r>
        <w:t xml:space="preserve">3.3 L’approche hybride : le meilleur des deux mondes</w:t>
      </w:r>
    </w:p>
    <w:p>
      <w:pPr>
        <w:spacing w:after="140" w:line="300"/>
      </w:pPr>
      <w:r>
        <w:rPr>
          <w:rFonts w:ascii="Arial" w:cs="Arial" w:eastAsia="Arial" w:hAnsi="Arial"/>
          <w:color w:val="1E293B"/>
          <w:sz w:val="22"/>
          <w:szCs w:val="22"/>
        </w:rPr>
        <w:t xml:space="preserve">Notre architecture combine trois couches complémentaires :</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4826"/>
      </w:tblGrid>
      <w:tr>
        <w:tc>
          <w:tcPr>
            <w:tcW w:type="dxa" w:w="150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Couche</w:t>
            </w:r>
          </w:p>
        </w:tc>
        <w:tc>
          <w:tcPr>
            <w:tcW w:type="dxa" w:w="270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Quoi</w:t>
            </w:r>
          </w:p>
        </w:tc>
        <w:tc>
          <w:tcPr>
            <w:tcW w:type="dxa" w:w="4826"/>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Comment</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E293B"/>
                <w:sz w:val="21"/>
                <w:szCs w:val="21"/>
              </w:rPr>
              <w:t xml:space="preserve">1</w:t>
            </w:r>
          </w:p>
        </w:tc>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Nettoyage automatique</w:t>
            </w:r>
          </w:p>
        </w:tc>
        <w:tc>
          <w:tcPr>
            <w:tcW w:type="dxa" w:w="48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Scripts classiques pour les corrections mécaniques (casse, format, doublons exacts). Pas d’IA, pas de coût.</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293B"/>
                <w:sz w:val="21"/>
                <w:szCs w:val="21"/>
              </w:rPr>
              <w:t xml:space="preserve">2</w:t>
            </w:r>
          </w:p>
        </w:tc>
        <w:tc>
          <w:tcPr>
            <w:tcW w:type="dxa" w:w="2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Agents IA spécialisés</w:t>
            </w:r>
          </w:p>
        </w:tc>
        <w:tc>
          <w:tcPr>
            <w:tcW w:type="dxa" w:w="48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6 agents intelligents, chacun expert d’un domaine (matières, étudiants, notes…). Ils prennent les décisions contextuelles que les scripts ne savent pas faire.</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E293B"/>
                <w:sz w:val="21"/>
                <w:szCs w:val="21"/>
              </w:rPr>
              <w:t xml:space="preserve">3</w:t>
            </w:r>
          </w:p>
        </w:tc>
        <w:tc>
          <w:tcPr>
            <w:tcW w:type="dxa" w:w="27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Supervision + validation</w:t>
            </w:r>
          </w:p>
        </w:tc>
        <w:tc>
          <w:tcPr>
            <w:tcW w:type="dxa" w:w="48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Un agent superviseur coordonne l’ensemble. Les décisions critiques sont soumises à validation humaine avant application.</w:t>
            </w:r>
          </w:p>
        </w:tc>
      </w:tr>
    </w:tbl>
    <w:p>
      <w:pPr>
        <w:spacing w:after="200"/>
      </w:pPr>
    </w:p>
    <w:p>
      <w:pPr>
        <w:spacing w:after="140" w:line="300"/>
      </w:pPr>
      <w:r>
        <w:rPr>
          <w:rFonts w:ascii="Arial" w:cs="Arial" w:eastAsia="Arial" w:hAnsi="Arial"/>
          <w:b/>
          <w:bCs/>
          <w:color w:val="1E293B"/>
          <w:sz w:val="22"/>
          <w:szCs w:val="22"/>
        </w:rPr>
        <w:t xml:space="preserve">Point clé : </w:t>
      </w:r>
      <w:r>
        <w:rPr>
          <w:rFonts w:ascii="Arial" w:cs="Arial" w:eastAsia="Arial" w:hAnsi="Arial"/>
          <w:color w:val="1E293B"/>
          <w:sz w:val="22"/>
          <w:szCs w:val="22"/>
        </w:rPr>
        <w:t xml:space="preserve">l’IA ne prend jamais de décision irréversible seule. Chaque choix ambigu est présenté à un humain pour validation. L’IA fait le gros du travail d’analyse, l’humain garde le dernier mot.</w:t>
      </w:r>
    </w:p>
    <w:p>
      <w:r>
        <w:br w:type="page"/>
      </w:r>
    </w:p>
    <w:p>
      <w:pPr>
        <w:pStyle w:val="Heading1"/>
      </w:pPr>
      <w:r>
        <w:t xml:space="preserve">4. Bénéfices concrets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Critère</w:t>
            </w:r>
          </w:p>
        </w:tc>
        <w:tc>
          <w:tcPr>
            <w:tcW w:type="dxa" w:w="30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Sans IA (manuel / scripts)</w:t>
            </w:r>
          </w:p>
        </w:tc>
        <w:tc>
          <w:tcPr>
            <w:tcW w:type="dxa" w:w="3013"/>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Avec agents IA</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Durée du nettoyage</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DC2626"/>
                <w:sz w:val="21"/>
                <w:szCs w:val="21"/>
              </w:rPr>
              <w:t xml:space="preserve">3 à 6 mois (1 personne)</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59669"/>
                <w:sz w:val="21"/>
                <w:szCs w:val="21"/>
              </w:rPr>
              <w:t xml:space="preserve">4 à 8 heures d’exécution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Cohérence des décisions</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DC2626"/>
                <w:sz w:val="21"/>
                <w:szCs w:val="21"/>
              </w:rPr>
              <w:t xml:space="preserve">Variable (fatigue humaine)</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59669"/>
                <w:sz w:val="21"/>
                <w:szCs w:val="21"/>
              </w:rPr>
              <w:t xml:space="preserve">100% cohérent (mêmes règles partout)</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Traçabilité</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DC2626"/>
                <w:sz w:val="21"/>
                <w:szCs w:val="21"/>
              </w:rPr>
              <w:t xml:space="preserve">Faible (corrections manuelles)</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59669"/>
                <w:sz w:val="21"/>
                <w:szCs w:val="21"/>
              </w:rPr>
              <w:t xml:space="preserve">Totale (chaque décision IA est loguée)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Possibilité de rollback</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DC2626"/>
                <w:sz w:val="21"/>
                <w:szCs w:val="21"/>
              </w:rPr>
              <w:t xml:space="preserve">Très difficile</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59669"/>
                <w:sz w:val="21"/>
                <w:szCs w:val="21"/>
              </w:rPr>
              <w:t xml:space="preserve">Checkpoints à chaque étape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Réutilisabilité</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DC2626"/>
                <w:sz w:val="21"/>
                <w:szCs w:val="21"/>
              </w:rPr>
              <w:t xml:space="preserve">Aucune (travail jetable)</w:t>
            </w:r>
          </w:p>
        </w:tc>
        <w:tc>
          <w:tcPr>
            <w:tcW w:type="dxa" w:w="3013"/>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059669"/>
                <w:sz w:val="21"/>
                <w:szCs w:val="21"/>
              </w:rPr>
              <w:t xml:space="preserve">Agents réutilisables pour futures migrations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Taux d’automatisation</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D97706"/>
                <w:sz w:val="21"/>
                <w:szCs w:val="21"/>
              </w:rPr>
              <w:t xml:space="preserve">~30% (scripts basiques)</w:t>
            </w:r>
          </w:p>
        </w:tc>
        <w:tc>
          <w:tcPr>
            <w:tcW w:type="dxa" w:w="3013"/>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059669"/>
                <w:sz w:val="21"/>
                <w:szCs w:val="21"/>
              </w:rPr>
              <w:t xml:space="preserve">&gt;90% (&lt; 200 décisions humaines)</w:t>
            </w:r>
          </w:p>
        </w:tc>
      </w:tr>
    </w:tbl>
    <w:p>
      <w:pPr>
        <w:spacing w:after="200"/>
      </w:pPr>
    </w:p>
    <w:p>
      <w:pPr>
        <w:pStyle w:val="Heading1"/>
      </w:pPr>
      <w:r>
        <w:t xml:space="preserve">5. Coûts et délais estimés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Poste</w:t>
            </w:r>
          </w:p>
        </w:tc>
        <w:tc>
          <w:tcPr>
            <w:tcW w:type="dxa" w:w="5526"/>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Estimation</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Développement des agents</w:t>
            </w:r>
          </w:p>
        </w:tc>
        <w:tc>
          <w:tcPr>
            <w:tcW w:type="dxa" w:w="55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~6 semaines (1 développeur)</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Coût API Claude (IA)</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200 à 400 USD pour l’exécution complète du pipeline (~65 millions de tokens)</w:t>
            </w:r>
          </w:p>
        </w:tc>
      </w:tr>
      <w:tr>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Durée d’exécution</w:t>
            </w:r>
          </w:p>
        </w:tc>
        <w:tc>
          <w:tcPr>
            <w:tcW w:type="dxa" w:w="55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4 à 8 heures pour traiter les 65 licences (les agents travaillent en parallèle)</w:t>
            </w:r>
          </w:p>
        </w:tc>
      </w:tr>
      <w:tr>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Validation humaine</w:t>
            </w:r>
          </w:p>
        </w:tc>
        <w:tc>
          <w:tcPr>
            <w:tcW w:type="dxa" w:w="55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Moins de 200 décisions à valider manuellement (quelques heures)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891B2" w:sz="18"/>
              <w:bottom w:val="none" w:sz="0"/>
              <w:right w:val="none" w:sz="0"/>
            </w:tcBorders>
            <w:shd w:fill="F0F9FF" w:val="clear"/>
            <w:tcMar>
              <w:top w:type="dxa" w:w="100"/>
              <w:left w:type="dxa" w:w="200"/>
              <w:bottom w:type="dxa" w:w="100"/>
              <w:right w:type="dxa" w:w="200"/>
            </w:tcMar>
          </w:tcPr>
          <w:p>
            <w:pPr>
              <w:spacing w:after="0" w:line="300"/>
            </w:pPr>
            <w:r>
              <w:rPr>
                <w:rFonts w:ascii="Arial" w:cs="Arial" w:eastAsia="Arial" w:hAnsi="Arial"/>
                <w:i/>
                <w:iCs/>
                <w:color w:val="1E293B"/>
                <w:sz w:val="22"/>
                <w:szCs w:val="22"/>
              </w:rPr>
              <w:t xml:space="preserve">Comparaison : le nettoyage manuel des mêmes données nécessiterait 3 à 6 mois de travail répétitif d’un employé dédié, avec un risque d’erreurs et d’incohérences beaucoup plus élevé.</w:t>
            </w:r>
          </w:p>
        </w:tc>
      </w:tr>
    </w:tbl>
    <w:p>
      <w:pPr>
        <w:spacing w:after="200"/>
      </w:pPr>
    </w:p>
    <w:p>
      <w:pPr>
        <w:pStyle w:val="Heading1"/>
      </w:pPr>
      <w:r>
        <w:t xml:space="preserve">6. Garanties et sécurité</w:t>
      </w:r>
    </w:p>
    <w:p>
      <w:pPr>
        <w:spacing w:after="140" w:line="300"/>
      </w:pPr>
      <w:r>
        <w:rPr>
          <w:rFonts w:ascii="Arial" w:cs="Arial" w:eastAsia="Arial" w:hAnsi="Arial"/>
          <w:color w:val="1E293B"/>
          <w:sz w:val="22"/>
          <w:szCs w:val="22"/>
        </w:rPr>
        <w:t xml:space="preserve">Pour éviter tout risque, l’architecture intègre plusieurs garde-fous :</w:t>
      </w:r>
    </w:p>
    <w:p>
      <w:pPr>
        <w:spacing w:after="60"/>
      </w:pPr>
    </w:p>
    <w:p>
      <w:pPr>
        <w:pStyle w:val="ListParagraph"/>
        <w:numPr>
          <w:ilvl w:val="0"/>
          <w:numId w:val="2"/>
        </w:numPr>
        <w:spacing w:after="80" w:line="300"/>
      </w:pPr>
      <w:r>
        <w:rPr>
          <w:rFonts w:ascii="Arial" w:cs="Arial" w:eastAsia="Arial" w:hAnsi="Arial"/>
          <w:b/>
          <w:bCs/>
          <w:color w:val="1E293B"/>
          <w:sz w:val="22"/>
          <w:szCs w:val="22"/>
        </w:rPr>
        <w:t xml:space="preserve">Validation humaine obligatoire : </w:t>
      </w:r>
      <w:r>
        <w:rPr>
          <w:rFonts w:ascii="Arial" w:cs="Arial" w:eastAsia="Arial" w:hAnsi="Arial"/>
          <w:color w:val="1E293B"/>
          <w:sz w:val="22"/>
          <w:szCs w:val="22"/>
        </w:rPr>
        <w:t xml:space="preserve">tout cas ambigu est présenté à un humain avant d’être appliqué. L’IA ne décide jamais seule sur les cas critiques.</w:t>
      </w:r>
    </w:p>
    <w:p>
      <w:pPr>
        <w:pStyle w:val="ListParagraph"/>
        <w:numPr>
          <w:ilvl w:val="0"/>
          <w:numId w:val="2"/>
        </w:numPr>
        <w:spacing w:after="80" w:line="300"/>
      </w:pPr>
      <w:r>
        <w:rPr>
          <w:rFonts w:ascii="Arial" w:cs="Arial" w:eastAsia="Arial" w:hAnsi="Arial"/>
          <w:b/>
          <w:bCs/>
          <w:color w:val="1E293B"/>
          <w:sz w:val="22"/>
          <w:szCs w:val="22"/>
        </w:rPr>
        <w:t xml:space="preserve">Checkpoints et rollback : </w:t>
      </w:r>
      <w:r>
        <w:rPr>
          <w:rFonts w:ascii="Arial" w:cs="Arial" w:eastAsia="Arial" w:hAnsi="Arial"/>
          <w:color w:val="1E293B"/>
          <w:sz w:val="22"/>
          <w:szCs w:val="22"/>
        </w:rPr>
        <w:t xml:space="preserve">avant chaque étape de transformation, un snapshot des données est sauvegardé. En cas de problème, on peut revenir en arrière instantanément.</w:t>
      </w:r>
    </w:p>
    <w:p>
      <w:pPr>
        <w:pStyle w:val="ListParagraph"/>
        <w:numPr>
          <w:ilvl w:val="0"/>
          <w:numId w:val="2"/>
        </w:numPr>
        <w:spacing w:after="80" w:line="300"/>
      </w:pPr>
      <w:r>
        <w:rPr>
          <w:rFonts w:ascii="Arial" w:cs="Arial" w:eastAsia="Arial" w:hAnsi="Arial"/>
          <w:b/>
          <w:bCs/>
          <w:color w:val="1E293B"/>
          <w:sz w:val="22"/>
          <w:szCs w:val="22"/>
        </w:rPr>
        <w:t xml:space="preserve">Traçabilité complète : </w:t>
      </w:r>
      <w:r>
        <w:rPr>
          <w:rFonts w:ascii="Arial" w:cs="Arial" w:eastAsia="Arial" w:hAnsi="Arial"/>
          <w:color w:val="1E293B"/>
          <w:sz w:val="22"/>
          <w:szCs w:val="22"/>
        </w:rPr>
        <w:t xml:space="preserve">chaque décision prise par l’IA est enregistrée avec sa justification. Un rapport complet est généré à la fin.</w:t>
      </w:r>
    </w:p>
    <w:p>
      <w:pPr>
        <w:pStyle w:val="ListParagraph"/>
        <w:numPr>
          <w:ilvl w:val="0"/>
          <w:numId w:val="2"/>
        </w:numPr>
        <w:spacing w:after="80" w:line="300"/>
      </w:pPr>
      <w:r>
        <w:rPr>
          <w:rFonts w:ascii="Arial" w:cs="Arial" w:eastAsia="Arial" w:hAnsi="Arial"/>
          <w:b/>
          <w:bCs/>
          <w:color w:val="1E293B"/>
          <w:sz w:val="22"/>
          <w:szCs w:val="22"/>
        </w:rPr>
        <w:t xml:space="preserve">Test sur un échantillon d’abord : </w:t>
      </w:r>
      <w:r>
        <w:rPr>
          <w:rFonts w:ascii="Arial" w:cs="Arial" w:eastAsia="Arial" w:hAnsi="Arial"/>
          <w:color w:val="1E293B"/>
          <w:sz w:val="22"/>
          <w:szCs w:val="22"/>
        </w:rPr>
        <w:t xml:space="preserve">le pipeline est testé sur 10 licences pilotes avant d’être appliqué aux 65 formations.</w:t>
      </w:r>
    </w:p>
    <w:p>
      <w:pPr>
        <w:pStyle w:val="ListParagraph"/>
        <w:numPr>
          <w:ilvl w:val="0"/>
          <w:numId w:val="2"/>
        </w:numPr>
        <w:spacing w:after="80" w:line="300"/>
      </w:pPr>
      <w:r>
        <w:rPr>
          <w:rFonts w:ascii="Arial" w:cs="Arial" w:eastAsia="Arial" w:hAnsi="Arial"/>
          <w:b/>
          <w:bCs/>
          <w:color w:val="1E293B"/>
          <w:sz w:val="22"/>
          <w:szCs w:val="22"/>
        </w:rPr>
        <w:t xml:space="preserve">Environnement de staging : </w:t>
      </w:r>
      <w:r>
        <w:rPr>
          <w:rFonts w:ascii="Arial" w:cs="Arial" w:eastAsia="Arial" w:hAnsi="Arial"/>
          <w:color w:val="1E293B"/>
          <w:sz w:val="22"/>
          <w:szCs w:val="22"/>
        </w:rPr>
        <w:t xml:space="preserve">l’injection est d’abord réalisée sur un environnement de test, validée, puis reproduite en production.</w:t>
      </w:r>
    </w:p>
    <w:p>
      <w:pPr>
        <w:pStyle w:val="ListParagraph"/>
        <w:numPr>
          <w:ilvl w:val="0"/>
          <w:numId w:val="2"/>
        </w:numPr>
        <w:spacing w:after="80" w:line="300"/>
      </w:pPr>
      <w:r>
        <w:rPr>
          <w:rFonts w:ascii="Arial" w:cs="Arial" w:eastAsia="Arial" w:hAnsi="Arial"/>
          <w:b/>
          <w:bCs/>
          <w:color w:val="1E293B"/>
          <w:sz w:val="22"/>
          <w:szCs w:val="22"/>
        </w:rPr>
        <w:t xml:space="preserve">Données privées protégées : </w:t>
      </w:r>
      <w:r>
        <w:rPr>
          <w:rFonts w:ascii="Arial" w:cs="Arial" w:eastAsia="Arial" w:hAnsi="Arial"/>
          <w:color w:val="1E293B"/>
          <w:sz w:val="22"/>
          <w:szCs w:val="22"/>
        </w:rPr>
        <w:t xml:space="preserve">les données sont traitées localement sur nos serveurs. Seules les métadonnées (noms de matières, structures) sont envoyées à l’API Claude pour analyse.</w:t>
      </w:r>
    </w:p>
    <w:p>
      <w:pPr>
        <w:spacing w:after="200"/>
      </w:pPr>
    </w:p>
    <w:p>
      <w:pPr>
        <w:pStyle w:val="Heading1"/>
      </w:pPr>
      <w:r>
        <w:t xml:space="preserve">7. Planning prévisionnel</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Semaine</w:t>
            </w:r>
          </w:p>
        </w:tc>
        <w:tc>
          <w:tcPr>
            <w:tcW w:type="dxa" w:w="3200"/>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Phase</w:t>
            </w:r>
          </w:p>
        </w:tc>
        <w:tc>
          <w:tcPr>
            <w:tcW w:type="dxa" w:w="4326"/>
            <w:tcBorders>
              <w:top w:val="single" w:color="CBD5E1" w:sz="1"/>
              <w:left w:val="single" w:color="CBD5E1" w:sz="1"/>
              <w:bottom w:val="single" w:color="CBD5E1" w:sz="1"/>
              <w:right w:val="single" w:color="CBD5E1" w:sz="1"/>
            </w:tcBorders>
            <w:shd w:fill="1E2761" w:val="clear"/>
            <w:tcMar>
              <w:top w:type="dxa" w:w="80"/>
              <w:left w:type="dxa" w:w="120"/>
              <w:bottom w:type="dxa" w:w="80"/>
              <w:right w:type="dxa" w:w="120"/>
            </w:tcMar>
          </w:tcPr>
          <w:p>
            <w:pPr>
              <w:jc w:val="left"/>
            </w:pPr>
            <w:r>
              <w:rPr>
                <w:rFonts w:ascii="Arial" w:cs="Arial" w:eastAsia="Arial" w:hAnsi="Arial"/>
                <w:b/>
                <w:bCs/>
                <w:color w:val="FFFFFF"/>
                <w:sz w:val="21"/>
                <w:szCs w:val="21"/>
              </w:rPr>
              <w:t xml:space="preserve">Détail</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E293B"/>
                <w:sz w:val="21"/>
                <w:szCs w:val="21"/>
              </w:rPr>
              <w:t xml:space="preserve">S1</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Infrastructure</w:t>
            </w:r>
          </w:p>
        </w:tc>
        <w:tc>
          <w:tcPr>
            <w:tcW w:type="dxa" w:w="43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Mise en place du projet, outils partagés, connexion à l’API SchoolArt</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293B"/>
                <w:sz w:val="21"/>
                <w:szCs w:val="21"/>
              </w:rPr>
              <w:t xml:space="preserve">S2–S3</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Agents de nettoyage</w:t>
            </w:r>
          </w:p>
        </w:tc>
        <w:tc>
          <w:tcPr>
            <w:tcW w:type="dxa" w:w="4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Développement des 6 agents spécialisés + tests unitaires</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E293B"/>
                <w:sz w:val="21"/>
                <w:szCs w:val="21"/>
              </w:rPr>
              <w:t xml:space="preserve">S4</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Orchestration</w:t>
            </w:r>
          </w:p>
        </w:tc>
        <w:tc>
          <w:tcPr>
            <w:tcW w:type="dxa" w:w="43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Superviseur, interface de validation, test sur 10 licences pilotes</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center"/>
            </w:pPr>
            <w:r>
              <w:rPr>
                <w:rFonts w:ascii="Arial" w:cs="Arial" w:eastAsia="Arial" w:hAnsi="Arial"/>
                <w:b/>
                <w:bCs/>
                <w:color w:val="1E293B"/>
                <w:sz w:val="21"/>
                <w:szCs w:val="21"/>
              </w:rPr>
              <w:t xml:space="preserve">S5</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bCs/>
                <w:color w:val="1E293B"/>
                <w:sz w:val="21"/>
                <w:szCs w:val="21"/>
              </w:rPr>
              <w:t xml:space="preserve">Injection staging</w:t>
            </w:r>
          </w:p>
        </w:tc>
        <w:tc>
          <w:tcPr>
            <w:tcW w:type="dxa" w:w="4326"/>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Injection des données sur l’environnement de test + validation</w:t>
            </w:r>
          </w:p>
        </w:tc>
      </w:tr>
      <w:tr>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center"/>
            </w:pPr>
            <w:r>
              <w:rPr>
                <w:rFonts w:ascii="Arial" w:cs="Arial" w:eastAsia="Arial" w:hAnsi="Arial"/>
                <w:b/>
                <w:bCs/>
                <w:color w:val="1E293B"/>
                <w:sz w:val="21"/>
                <w:szCs w:val="21"/>
              </w:rPr>
              <w:t xml:space="preserve">S6</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bCs/>
                <w:color w:val="1E293B"/>
                <w:sz w:val="21"/>
                <w:szCs w:val="21"/>
              </w:rPr>
              <w:t xml:space="preserve">Production</w:t>
            </w:r>
          </w:p>
        </w:tc>
        <w:tc>
          <w:tcPr>
            <w:tcW w:type="dxa" w:w="4326"/>
            <w:tcBorders>
              <w:top w:val="single" w:color="CBD5E1" w:sz="1"/>
              <w:left w:val="single" w:color="CBD5E1" w:sz="1"/>
              <w:bottom w:val="single" w:color="CBD5E1" w:sz="1"/>
              <w:right w:val="single" w:color="CBD5E1" w:sz="1"/>
            </w:tcBorders>
            <w:tcMar>
              <w:top w:type="dxa" w:w="80"/>
              <w:left w:type="dxa" w:w="120"/>
              <w:bottom w:type="dxa" w:w="80"/>
              <w:right w:type="dxa" w:w="120"/>
            </w:tcMar>
          </w:tcPr>
          <w:p>
            <w:pPr>
              <w:jc w:val="left"/>
            </w:pPr>
            <w:r>
              <w:rPr>
                <w:rFonts w:ascii="Arial" w:cs="Arial" w:eastAsia="Arial" w:hAnsi="Arial"/>
                <w:b w:val="false"/>
                <w:bCs w:val="false"/>
                <w:color w:val="1E293B"/>
                <w:sz w:val="21"/>
                <w:szCs w:val="21"/>
              </w:rPr>
              <w:t xml:space="preserve">Migration complète des 65 licences + rapport final + documentation</w:t>
            </w:r>
          </w:p>
        </w:tc>
      </w:tr>
    </w:tbl>
    <w:p>
      <w:pPr>
        <w:spacing w:after="200"/>
      </w:pPr>
    </w:p>
    <w:p>
      <w:pPr>
        <w:pStyle w:val="Heading1"/>
      </w:pPr>
      <w:r>
        <w:t xml:space="preserve">8. En résumé</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0891B2" w:sz="18"/>
              <w:bottom w:val="none" w:sz="0"/>
              <w:right w:val="none" w:sz="0"/>
            </w:tcBorders>
            <w:shd w:fill="F0F9FF" w:val="clear"/>
            <w:tcMar>
              <w:top w:type="dxa" w:w="100"/>
              <w:left w:type="dxa" w:w="200"/>
              <w:bottom w:type="dxa" w:w="100"/>
              <w:right w:type="dxa" w:w="200"/>
            </w:tcMar>
          </w:tcPr>
          <w:p>
            <w:pPr>
              <w:spacing w:after="0" w:line="300"/>
            </w:pPr>
            <w:r>
              <w:rPr>
                <w:rFonts w:ascii="Arial" w:cs="Arial" w:eastAsia="Arial" w:hAnsi="Arial"/>
                <w:i/>
                <w:iCs/>
                <w:color w:val="1E293B"/>
                <w:sz w:val="22"/>
                <w:szCs w:val="22"/>
              </w:rPr>
              <w:t xml:space="preserve">L’intelligence artificielle n’est pas utilisée ici comme un gadget, mais comme un outil de productivité indispensable pour traiter un volume de corrections qu’aucune équipe humaine ne pourrait réaliser en un temps raisonnable, avec le niveau de cohérence et de traçabilité exigé.</w:t>
            </w:r>
          </w:p>
        </w:tc>
      </w:tr>
    </w:tbl>
    <w:p>
      <w:pPr>
        <w:spacing w:after="100"/>
      </w:pPr>
    </w:p>
    <w:p>
      <w:pPr>
        <w:spacing w:after="140" w:line="300"/>
      </w:pPr>
      <w:r>
        <w:rPr>
          <w:rFonts w:ascii="Arial" w:cs="Arial" w:eastAsia="Arial" w:hAnsi="Arial"/>
          <w:color w:val="1E293B"/>
          <w:sz w:val="22"/>
          <w:szCs w:val="22"/>
        </w:rPr>
        <w:t xml:space="preserve">L’approche proposée :</w:t>
      </w:r>
    </w:p>
    <w:p>
      <w:pPr>
        <w:pStyle w:val="ListParagraph"/>
        <w:numPr>
          <w:ilvl w:val="0"/>
          <w:numId w:val="2"/>
        </w:numPr>
        <w:spacing w:after="80" w:line="300"/>
      </w:pPr>
      <w:r>
        <w:rPr>
          <w:rFonts w:ascii="Arial" w:cs="Arial" w:eastAsia="Arial" w:hAnsi="Arial"/>
          <w:b/>
          <w:bCs/>
          <w:color w:val="1E293B"/>
          <w:sz w:val="22"/>
          <w:szCs w:val="22"/>
        </w:rPr>
        <w:t xml:space="preserve">Réduit la durée de nettoyage </w:t>
      </w:r>
      <w:r>
        <w:rPr>
          <w:rFonts w:ascii="Arial" w:cs="Arial" w:eastAsia="Arial" w:hAnsi="Arial"/>
          <w:color w:val="1E293B"/>
          <w:sz w:val="22"/>
          <w:szCs w:val="22"/>
        </w:rPr>
        <w:t xml:space="preserve">de plusieurs mois à quelques heures</w:t>
      </w:r>
    </w:p>
    <w:p>
      <w:pPr>
        <w:pStyle w:val="ListParagraph"/>
        <w:numPr>
          <w:ilvl w:val="0"/>
          <w:numId w:val="2"/>
        </w:numPr>
        <w:spacing w:after="80" w:line="300"/>
      </w:pPr>
      <w:r>
        <w:rPr>
          <w:rFonts w:ascii="Arial" w:cs="Arial" w:eastAsia="Arial" w:hAnsi="Arial"/>
          <w:b/>
          <w:bCs/>
          <w:color w:val="1E293B"/>
          <w:sz w:val="22"/>
          <w:szCs w:val="22"/>
        </w:rPr>
        <w:t xml:space="preserve">Garantit la cohérence </w:t>
      </w:r>
      <w:r>
        <w:rPr>
          <w:rFonts w:ascii="Arial" w:cs="Arial" w:eastAsia="Arial" w:hAnsi="Arial"/>
          <w:color w:val="1E293B"/>
          <w:sz w:val="22"/>
          <w:szCs w:val="22"/>
        </w:rPr>
        <w:t xml:space="preserve">des 220 000+ corrections appliquées</w:t>
      </w:r>
    </w:p>
    <w:p>
      <w:pPr>
        <w:pStyle w:val="ListParagraph"/>
        <w:numPr>
          <w:ilvl w:val="0"/>
          <w:numId w:val="2"/>
        </w:numPr>
        <w:spacing w:after="80" w:line="300"/>
      </w:pPr>
      <w:r>
        <w:rPr>
          <w:rFonts w:ascii="Arial" w:cs="Arial" w:eastAsia="Arial" w:hAnsi="Arial"/>
          <w:b/>
          <w:bCs/>
          <w:color w:val="1E293B"/>
          <w:sz w:val="22"/>
          <w:szCs w:val="22"/>
        </w:rPr>
        <w:t xml:space="preserve">Conserve le contrôle humain </w:t>
      </w:r>
      <w:r>
        <w:rPr>
          <w:rFonts w:ascii="Arial" w:cs="Arial" w:eastAsia="Arial" w:hAnsi="Arial"/>
          <w:color w:val="1E293B"/>
          <w:sz w:val="22"/>
          <w:szCs w:val="22"/>
        </w:rPr>
        <w:t xml:space="preserve">sur toutes les décisions critiques</w:t>
      </w:r>
    </w:p>
    <w:p>
      <w:pPr>
        <w:pStyle w:val="ListParagraph"/>
        <w:numPr>
          <w:ilvl w:val="0"/>
          <w:numId w:val="2"/>
        </w:numPr>
        <w:spacing w:after="80" w:line="300"/>
      </w:pPr>
      <w:r>
        <w:rPr>
          <w:rFonts w:ascii="Arial" w:cs="Arial" w:eastAsia="Arial" w:hAnsi="Arial"/>
          <w:b/>
          <w:bCs/>
          <w:color w:val="1E293B"/>
          <w:sz w:val="22"/>
          <w:szCs w:val="22"/>
        </w:rPr>
        <w:t xml:space="preserve">Coûte 200–400 USD en API </w:t>
      </w:r>
      <w:r>
        <w:rPr>
          <w:rFonts w:ascii="Arial" w:cs="Arial" w:eastAsia="Arial" w:hAnsi="Arial"/>
          <w:color w:val="1E293B"/>
          <w:sz w:val="22"/>
          <w:szCs w:val="22"/>
        </w:rPr>
        <w:t xml:space="preserve">contre des mois de salaire en traitement manuel</w:t>
      </w:r>
    </w:p>
    <w:p>
      <w:pPr>
        <w:pStyle w:val="ListParagraph"/>
        <w:numPr>
          <w:ilvl w:val="0"/>
          <w:numId w:val="2"/>
        </w:numPr>
        <w:spacing w:after="80" w:line="300"/>
      </w:pPr>
      <w:r>
        <w:rPr>
          <w:rFonts w:ascii="Arial" w:cs="Arial" w:eastAsia="Arial" w:hAnsi="Arial"/>
          <w:b/>
          <w:bCs/>
          <w:color w:val="1E293B"/>
          <w:sz w:val="22"/>
          <w:szCs w:val="22"/>
        </w:rPr>
        <w:t xml:space="preserve">Produit un référentiel propre et documenté </w:t>
      </w:r>
      <w:r>
        <w:rPr>
          <w:rFonts w:ascii="Arial" w:cs="Arial" w:eastAsia="Arial" w:hAnsi="Arial"/>
          <w:color w:val="1E293B"/>
          <w:sz w:val="22"/>
          <w:szCs w:val="22"/>
        </w:rPr>
        <w:t xml:space="preserve">pour SchoolArt, sans reporter les erreurs de l’ancien système</w:t>
      </w:r>
    </w:p>
    <w:p>
      <w:pPr>
        <w:spacing w:after="200"/>
      </w:pPr>
    </w:p>
    <w:p>
      <w:pPr>
        <w:spacing w:after="80"/>
        <w:jc w:val="right"/>
      </w:pPr>
      <w:r>
        <w:rPr>
          <w:rFonts w:ascii="Arial" w:cs="Arial" w:eastAsia="Arial" w:hAnsi="Arial"/>
          <w:i/>
          <w:iCs/>
          <w:color w:val="475569"/>
          <w:sz w:val="22"/>
          <w:szCs w:val="22"/>
        </w:rPr>
        <w:t xml:space="preserve">Préparé par l’équipe technique</w:t>
      </w:r>
    </w:p>
    <w:p>
      <w:pPr>
        <w:jc w:val="right"/>
      </w:pPr>
      <w:r>
        <w:rPr>
          <w:rFonts w:ascii="Arial" w:cs="Arial" w:eastAsia="Arial" w:hAnsi="Arial"/>
          <w:color w:val="475569"/>
          <w:sz w:val="20"/>
          <w:szCs w:val="20"/>
        </w:rPr>
        <w:t xml:space="preserve">Groupe ISM —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6"/>
        <w:szCs w:val="16"/>
      </w:rPr>
      <w:t xml:space="preserve">Confidentiel — Groupe ISM —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6"/>
        <w:szCs w:val="16"/>
      </w:rPr>
      <w:t xml:space="preserve">Note explicative — Migration ClassExpert → SchoolArt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2026-03-31T19:00:11.379Z</dcterms:created>
  <dcterms:modified xsi:type="dcterms:W3CDTF">2026-03-31T19:00:11.379Z</dcterms:modified>
</cp:coreProperties>
</file>

<file path=docProps/custom.xml><?xml version="1.0" encoding="utf-8"?>
<Properties xmlns="http://schemas.openxmlformats.org/officeDocument/2006/custom-properties" xmlns:vt="http://schemas.openxmlformats.org/officeDocument/2006/docPropsVTypes"/>
</file>