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3A5C"/>
          <w:sz w:val="56"/>
          <w:szCs w:val="56"/>
        </w:rPr>
        <w:t xml:space="preserve">THE MACHINE</w:t>
      </w:r>
    </w:p>
    <w:p>
      <w:pPr>
        <w:spacing w:after="100"/>
        <w:jc w:val="center"/>
      </w:pPr>
      <w:r>
        <w:rPr>
          <w:rFonts w:ascii="Arial" w:cs="Arial" w:eastAsia="Arial" w:hAnsi="Arial"/>
          <w:color w:val="666666"/>
          <w:sz w:val="28"/>
          <w:szCs w:val="28"/>
        </w:rPr>
        <w:t xml:space="preserve">A Structural Analysis of the Epstein Enterprise</w:t>
      </w:r>
    </w:p>
    <w:p>
      <w:pPr>
        <w:spacing w:after="600"/>
        <w:jc w:val="center"/>
      </w:pPr>
      <w:r>
        <w:rPr>
          <w:rFonts w:ascii="Arial" w:cs="Arial" w:eastAsia="Arial" w:hAnsi="Arial"/>
          <w:color w:val="666666"/>
          <w:sz w:val="22"/>
          <w:szCs w:val="22"/>
        </w:rPr>
        <w:t xml:space="preserve">Based on Primary Source Documents from the 2023–2026 Federal Releases</w:t>
      </w: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4000"/>
      </w:tblGrid>
      <w:tr>
        <w:tc>
          <w:tcPr>
            <w:tcW w:type="dxa" w:w="4000"/>
            <w:tcBorders>
              <w:top w:val="none" w:sz="0"/>
              <w:left w:val="none" w:sz="0"/>
              <w:bottom w:val="single" w:color="1B3A5C" w:sz="2"/>
              <w:right w:val="none" w:sz="0"/>
            </w:tcBorders>
          </w:tcPr>
          <w:p/>
        </w:tc>
      </w:tr>
    </w:tbl>
    <w:p>
      <w:pPr>
        <w:spacing w:before="400"/>
      </w:pPr>
    </w:p>
    <w:p>
      <w:pPr>
        <w:spacing w:after="80"/>
        <w:jc w:val="center"/>
      </w:pPr>
      <w:r>
        <w:rPr>
          <w:rFonts w:ascii="Arial" w:cs="Arial" w:eastAsia="Arial" w:hAnsi="Arial"/>
          <w:color w:val="666666"/>
          <w:sz w:val="22"/>
          <w:szCs w:val="22"/>
        </w:rPr>
        <w:t xml:space="preserve">February 2026</w:t>
      </w:r>
    </w:p>
    <w:p>
      <w:pPr>
        <w:spacing w:after="80"/>
        <w:jc w:val="center"/>
      </w:pPr>
      <w:r>
        <w:rPr>
          <w:rFonts w:ascii="Arial" w:cs="Arial" w:eastAsia="Arial" w:hAnsi="Arial"/>
          <w:color w:val="666666"/>
          <w:sz w:val="22"/>
          <w:szCs w:val="22"/>
        </w:rPr>
        <w:t xml:space="preserve">Open Source Intelligence Report</w:t>
      </w:r>
    </w:p>
    <w:p>
      <w:pPr>
        <w:spacing w:after="80"/>
        <w:jc w:val="center"/>
      </w:pPr>
      <w:r>
        <w:rPr>
          <w:rFonts w:ascii="Arial" w:cs="Arial" w:eastAsia="Arial" w:hAnsi="Arial"/>
          <w:i/>
          <w:iCs/>
          <w:color w:val="666666"/>
          <w:sz w:val="20"/>
          <w:szCs w:val="20"/>
        </w:rPr>
        <w:t xml:space="preserve">Sources: DOJ EFTA releases, court filings, investigative journalism, FOIA documents</w:t>
      </w:r>
    </w:p>
    <w:p>
      <w:pPr>
        <w:spacing w:before="1200"/>
        <w:jc w:val="center"/>
      </w:pPr>
      <w:r>
        <w:rPr>
          <w:rFonts w:ascii="Arial" w:cs="Arial" w:eastAsia="Arial" w:hAnsi="Arial"/>
          <w:b/>
          <w:bCs/>
          <w:color w:val="CC0000"/>
          <w:sz w:val="20"/>
          <w:szCs w:val="20"/>
        </w:rPr>
        <w:t xml:space="preserve">WARNING: This report contains descriptions of child sexual abuse, trafficking, and exploitation derived from federal documents. Reader discretion advised.</w:t>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B3A5C"/>
          <w:sz w:val="28"/>
          <w:szCs w:val="28"/>
        </w:rPr>
        <w:t xml:space="preserve">Executive Summary</w:t>
      </w:r>
    </w:p>
    <w:p>
      <w:pPr>
        <w:spacing w:after="160" w:line="276"/>
      </w:pPr>
      <w:r>
        <w:rPr>
          <w:rFonts w:ascii="Arial" w:cs="Arial" w:eastAsia="Arial" w:hAnsi="Arial"/>
          <w:color w:val="000000"/>
          <w:sz w:val="22"/>
          <w:szCs w:val="22"/>
        </w:rPr>
        <w:t xml:space="preserve">This report presents a structural analysis of the Jeffrey Epstein enterprise based on primary source documents released under the Epstein Files Transparency Act (EFTA) of 2024, court filings from the Southern District of New York, investigative journalism from multiple outlets, and FOIA disclosures. Approximately 3.5 million pages have been released as of February 2026, with an additional 2.5 million pages withheld under various privilege claims.</w:t>
      </w:r>
    </w:p>
    <w:p>
      <w:pPr>
        <w:spacing w:after="160" w:line="276"/>
      </w:pPr>
      <w:r>
        <w:rPr>
          <w:rFonts w:ascii="Arial" w:cs="Arial" w:eastAsia="Arial" w:hAnsi="Arial"/>
          <w:color w:val="000000"/>
          <w:sz w:val="22"/>
          <w:szCs w:val="22"/>
        </w:rPr>
        <w:t xml:space="preserve">The evidence reveals not a single criminal acting alone, but a purpose-built machine—a multi-continent, multi-decade enterprise with interlocking components that each served a distinct function. This report identifies and examines ten structural components of that machine: procurement, surveillance, finance, legal protection, intelligence connections, academic cover, media capture, the circumstances of Epstein’s death, the 2026 document release patterns, and the targeting of victims’ faith and humanity.</w:t>
      </w:r>
    </w:p>
    <w:p>
      <w:pPr>
        <w:spacing w:after="160" w:line="276"/>
      </w:pPr>
      <w:r>
        <w:rPr>
          <w:rFonts w:ascii="Arial" w:cs="Arial" w:eastAsia="Arial" w:hAnsi="Arial"/>
          <w:color w:val="000000"/>
          <w:sz w:val="22"/>
          <w:szCs w:val="22"/>
        </w:rPr>
        <w:t xml:space="preserve">The central finding is that the system built to protect this enterprise is still functioning as designed in February 2026. The document release pattern systematically exposes victims while shielding enablers. The DOJ has declared there is insufficient evidence to prosecute anyone. The machine’s principal is dead under statistically improbable circumstances. And the institutional structures that enabled a quarter-century of abuse remain intact.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Key Figures</w:t>
            </w:r>
          </w:p>
        </w:tc>
      </w:tr>
      <w:tr>
        <w:tc>
          <w:tcPr>
            <w:tcW w:type="dxa" w:w="468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1"/>
                <w:szCs w:val="21"/>
              </w:rPr>
              <w:t xml:space="preserve">Confirmed Victims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1,000+ (DOJ estimate)</w:t>
            </w:r>
          </w:p>
        </w:tc>
      </w:tr>
      <w:tr>
        <w:tc>
          <w:tcPr>
            <w:tcW w:type="dxa" w:w="468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1"/>
                <w:szCs w:val="21"/>
              </w:rPr>
              <w:t xml:space="preserve">Duration of Operation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1994–2019 (25 years minimum)</w:t>
            </w:r>
          </w:p>
        </w:tc>
      </w:tr>
      <w:tr>
        <w:tc>
          <w:tcPr>
            <w:tcW w:type="dxa" w:w="468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1"/>
                <w:szCs w:val="21"/>
              </w:rPr>
              <w:t xml:space="preserve">Properties Used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7+ across US, Caribbean, Europe</w:t>
            </w:r>
          </w:p>
        </w:tc>
      </w:tr>
      <w:tr>
        <w:tc>
          <w:tcPr>
            <w:tcW w:type="dxa" w:w="468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1"/>
                <w:szCs w:val="21"/>
              </w:rPr>
              <w:t xml:space="preserve">Documents Released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3.5 million pages of 6 million identified</w:t>
            </w:r>
          </w:p>
        </w:tc>
      </w:tr>
      <w:tr>
        <w:tc>
          <w:tcPr>
            <w:tcW w:type="dxa" w:w="468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1"/>
                <w:szCs w:val="21"/>
              </w:rPr>
              <w:t xml:space="preserve">Documents Withheld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2.5 million pages + 200,000 under privilege</w:t>
            </w:r>
          </w:p>
        </w:tc>
      </w:tr>
      <w:tr>
        <w:tc>
          <w:tcPr>
            <w:tcW w:type="dxa" w:w="468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1"/>
                <w:szCs w:val="21"/>
              </w:rPr>
              <w:t xml:space="preserve">Financial Settlements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$365M+ (JPMorgan $290M, Deutsche Bank $75M)</w:t>
            </w:r>
          </w:p>
        </w:tc>
      </w:tr>
      <w:tr>
        <w:tc>
          <w:tcPr>
            <w:tcW w:type="dxa" w:w="468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1"/>
                <w:szCs w:val="21"/>
              </w:rPr>
              <w:t xml:space="preserve">Estate Value at Death</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$600 million (source unexplained)</w:t>
            </w:r>
          </w:p>
        </w:tc>
      </w:tr>
      <w:tr>
        <w:tc>
          <w:tcPr>
            <w:tcW w:type="dxa" w:w="468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1"/>
                <w:szCs w:val="21"/>
              </w:rPr>
              <w:t xml:space="preserve">Academic Funding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$9.179M to Harvard; $525K+ to MIT; $686K to Church lab</w:t>
            </w:r>
          </w:p>
        </w:tc>
      </w:tr>
      <w:tr>
        <w:tc>
          <w:tcPr>
            <w:tcW w:type="dxa" w:w="468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1"/>
                <w:szCs w:val="21"/>
              </w:rPr>
              <w:t xml:space="preserve">Maxwell Sentence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20 years federal prison (2022)</w:t>
            </w:r>
          </w:p>
        </w:tc>
      </w:tr>
      <w:tr>
        <w:tc>
          <w:tcPr>
            <w:tcW w:type="dxa" w:w="468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21"/>
                <w:szCs w:val="21"/>
              </w:rPr>
              <w:t xml:space="preserve">Plea Deal (2008)</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18 months county, blanket co-conspirator immunity</w:t>
            </w:r>
          </w:p>
        </w:tc>
      </w:tr>
    </w:tbl>
    <w:p>
      <w:pPr>
        <w:spacing w:before="0" w:after="0"/>
      </w:pPr>
      <w:r>
        <w:br/>
      </w:r>
    </w:p>
    <w:p>
      <w:pPr>
        <w:pStyle w:val="Heading1"/>
        <w:spacing w:before="360" w:after="200"/>
      </w:pPr>
      <w:r>
        <w:rPr>
          <w:rFonts w:ascii="Arial" w:cs="Arial" w:eastAsia="Arial" w:hAnsi="Arial"/>
          <w:b/>
          <w:bCs/>
          <w:color w:val="1B3A5C"/>
          <w:sz w:val="28"/>
          <w:szCs w:val="28"/>
        </w:rPr>
        <w:t xml:space="preserve">Component 1: The Procurement Pipeline</w:t>
      </w:r>
    </w:p>
    <w:p>
      <w:pPr>
        <w:spacing w:after="160" w:line="276"/>
      </w:pPr>
      <w:r>
        <w:rPr>
          <w:rFonts w:ascii="Arial" w:cs="Arial" w:eastAsia="Arial" w:hAnsi="Arial"/>
          <w:color w:val="000000"/>
          <w:sz w:val="22"/>
          <w:szCs w:val="22"/>
        </w:rPr>
        <w:t xml:space="preserve">The released emails reveal that Epstein did not operate as a lone predator finding victims himself. The documents describe an organized supply chain with sourcing, screening, preference-matching, and delivery—logistics indistinguishable from those of a commercial enterprise.</w:t>
      </w:r>
    </w:p>
    <w:p>
      <w:pPr>
        <w:pStyle w:val="Heading2"/>
        <w:spacing w:before="280" w:after="160"/>
      </w:pPr>
      <w:r>
        <w:rPr>
          <w:rFonts w:ascii="Arial" w:cs="Arial" w:eastAsia="Arial" w:hAnsi="Arial"/>
          <w:b/>
          <w:bCs/>
          <w:color w:val="1B3A5C"/>
          <w:sz w:val="24"/>
          <w:szCs w:val="24"/>
        </w:rPr>
        <w:t xml:space="preserve">Primary Source Evidence</w:t>
      </w:r>
    </w:p>
    <w:p>
      <w:pPr>
        <w:spacing w:after="160" w:line="276"/>
      </w:pPr>
      <w:r>
        <w:rPr>
          <w:rFonts w:ascii="Arial" w:cs="Arial" w:eastAsia="Arial" w:hAnsi="Arial"/>
          <w:color w:val="000000"/>
          <w:sz w:val="22"/>
          <w:szCs w:val="22"/>
        </w:rPr>
        <w:t xml:space="preserve">The following are direct quotations from emails released under EFTA, with document identifiers where available:</w:t>
      </w:r>
    </w:p>
    <w:p>
      <w:pPr>
        <w:spacing w:after="160" w:line="276"/>
      </w:pPr>
      <w:r>
        <w:rPr>
          <w:rFonts w:ascii="Arial" w:cs="Arial" w:eastAsia="Arial" w:hAnsi="Arial"/>
          <w:i/>
          <w:iCs/>
          <w:color w:val="000000"/>
          <w:sz w:val="22"/>
          <w:szCs w:val="22"/>
        </w:rPr>
        <w:t xml:space="preserve">"This is better than a Chinese cookie!… lets go for pizza and grape soda again. No one else can understand." </w:t>
      </w:r>
      <w:r>
        <w:rPr>
          <w:rFonts w:ascii="Arial" w:cs="Arial" w:eastAsia="Arial" w:hAnsi="Arial"/>
          <w:color w:val="000000"/>
          <w:sz w:val="22"/>
          <w:szCs w:val="22"/>
        </w:rPr>
        <w:t xml:space="preserve">(2018, sender redacted)</w:t>
      </w:r>
    </w:p>
    <w:p>
      <w:pPr>
        <w:spacing w:after="160" w:line="276"/>
      </w:pPr>
      <w:r>
        <w:rPr>
          <w:rFonts w:ascii="Arial" w:cs="Arial" w:eastAsia="Arial" w:hAnsi="Arial"/>
          <w:i/>
          <w:iCs/>
          <w:color w:val="000000"/>
          <w:sz w:val="22"/>
          <w:szCs w:val="22"/>
        </w:rPr>
        <w:t xml:space="preserve">"Thank you for a fun night… Your littlest girl was a little naughty." </w:t>
      </w:r>
      <w:r>
        <w:rPr>
          <w:rFonts w:ascii="Arial" w:cs="Arial" w:eastAsia="Arial" w:hAnsi="Arial"/>
          <w:color w:val="000000"/>
          <w:sz w:val="22"/>
          <w:szCs w:val="22"/>
        </w:rPr>
        <w:t xml:space="preserve">(March 11, 2014, sender redacted — sent to convicted sex offender whose documented crime was systematic abuse of underage girls)</w:t>
      </w:r>
    </w:p>
    <w:p>
      <w:pPr>
        <w:spacing w:after="160" w:line="276"/>
      </w:pPr>
      <w:r>
        <w:rPr>
          <w:rFonts w:ascii="Arial" w:cs="Arial" w:eastAsia="Arial" w:hAnsi="Arial"/>
          <w:i/>
          <w:iCs/>
          <w:color w:val="000000"/>
          <w:sz w:val="22"/>
          <w:szCs w:val="22"/>
        </w:rPr>
        <w:t xml:space="preserve">"Age 10" </w:t>
      </w:r>
      <w:r>
        <w:rPr>
          <w:rFonts w:ascii="Arial" w:cs="Arial" w:eastAsia="Arial" w:hAnsi="Arial"/>
          <w:color w:val="000000"/>
          <w:sz w:val="22"/>
          <w:szCs w:val="22"/>
        </w:rPr>
        <w:t xml:space="preserve">(September 22, 2016, body text of email to Epstein, attached photo file DSC06964.JPG)</w:t>
      </w:r>
    </w:p>
    <w:p>
      <w:pPr>
        <w:spacing w:after="160" w:line="276"/>
      </w:pPr>
      <w:r>
        <w:rPr>
          <w:rFonts w:ascii="Arial" w:cs="Arial" w:eastAsia="Arial" w:hAnsi="Arial"/>
          <w:i/>
          <w:iCs/>
          <w:color w:val="000000"/>
          <w:sz w:val="22"/>
          <w:szCs w:val="22"/>
        </w:rPr>
        <w:t xml:space="preserve">"And this one is (i think) totally your girl." </w:t>
      </w:r>
      <w:r>
        <w:rPr>
          <w:rFonts w:ascii="Arial" w:cs="Arial" w:eastAsia="Arial" w:hAnsi="Arial"/>
          <w:color w:val="000000"/>
          <w:sz w:val="22"/>
          <w:szCs w:val="22"/>
        </w:rPr>
        <w:t xml:space="preserve">(2015, sender redacted, identified by CNN document review)</w:t>
      </w:r>
    </w:p>
    <w:p>
      <w:pPr>
        <w:spacing w:after="160" w:line="276"/>
      </w:pPr>
      <w:r>
        <w:rPr>
          <w:rFonts w:ascii="Arial" w:cs="Arial" w:eastAsia="Arial" w:hAnsi="Arial"/>
          <w:i/>
          <w:iCs/>
          <w:color w:val="000000"/>
          <w:sz w:val="22"/>
          <w:szCs w:val="22"/>
        </w:rPr>
        <w:t xml:space="preserve">"New Brazilian just arrived, sexy and cute, 19YO." </w:t>
      </w:r>
      <w:r>
        <w:rPr>
          <w:rFonts w:ascii="Arial" w:cs="Arial" w:eastAsia="Arial" w:hAnsi="Arial"/>
          <w:color w:val="000000"/>
          <w:sz w:val="22"/>
          <w:szCs w:val="22"/>
        </w:rPr>
        <w:t xml:space="preserve">(2013, Paris modeling agency, sender redacted — notably, this email appears twice in released files: once with agency name redacted, once with agency visible in signature, revealing inconsistent redaction)</w:t>
      </w:r>
    </w:p>
    <w:p>
      <w:pPr>
        <w:spacing w:after="160" w:line="276"/>
      </w:pPr>
      <w:r>
        <w:rPr>
          <w:rFonts w:ascii="Arial" w:cs="Arial" w:eastAsia="Arial" w:hAnsi="Arial"/>
          <w:i/>
          <w:iCs/>
          <w:color w:val="000000"/>
          <w:sz w:val="22"/>
          <w:szCs w:val="22"/>
        </w:rPr>
        <w:t xml:space="preserve">"I found at least 3 very good young poor. Meet this one. Not the beauty queen but we both likes her a lot." </w:t>
      </w:r>
      <w:r>
        <w:rPr>
          <w:rFonts w:ascii="Arial" w:cs="Arial" w:eastAsia="Arial" w:hAnsi="Arial"/>
          <w:color w:val="000000"/>
          <w:sz w:val="22"/>
          <w:szCs w:val="22"/>
        </w:rPr>
        <w:t xml:space="preserve">(2018, sender redacted — “young poor” indicates deliberate targeting by age and economic vulnerability)</w:t>
      </w:r>
    </w:p>
    <w:p>
      <w:pPr>
        <w:pStyle w:val="Heading2"/>
        <w:spacing w:before="280" w:after="160"/>
      </w:pPr>
      <w:r>
        <w:rPr>
          <w:rFonts w:ascii="Arial" w:cs="Arial" w:eastAsia="Arial" w:hAnsi="Arial"/>
          <w:b/>
          <w:bCs/>
          <w:color w:val="1B3A5C"/>
          <w:sz w:val="24"/>
          <w:szCs w:val="24"/>
        </w:rPr>
        <w:t xml:space="preserve">Structural Features</w:t>
      </w:r>
    </w:p>
    <w:p>
      <w:pPr>
        <w:spacing w:after="160" w:line="276"/>
      </w:pPr>
      <w:r>
        <w:rPr>
          <w:rFonts w:ascii="Arial" w:cs="Arial" w:eastAsia="Arial" w:hAnsi="Arial"/>
          <w:color w:val="000000"/>
          <w:sz w:val="22"/>
          <w:szCs w:val="22"/>
        </w:rPr>
        <w:t xml:space="preserve">The procurement system operated as a pyramid. Victims were recruited at $200–$300 per encounter. Many who were originally victims subsequently became recruiters themselves, creating a self-sustaining pipeline. Jean-Luc Brunel operated MC2 Model Management, which functioned as a feeder system providing young women and girls to Epstein. Ghislaine Maxwell’s 58-page Household Manual trained staff explicitly to “see nothing, hear nothing, say nothing.”</w:t>
      </w:r>
    </w:p>
    <w:p>
      <w:pPr>
        <w:spacing w:after="160" w:line="276"/>
      </w:pPr>
      <w:r>
        <w:rPr>
          <w:rFonts w:ascii="Arial" w:cs="Arial" w:eastAsia="Arial" w:hAnsi="Arial"/>
          <w:color w:val="000000"/>
          <w:sz w:val="22"/>
          <w:szCs w:val="22"/>
        </w:rPr>
        <w:t xml:space="preserve">The emails demonstrate operational normalcy. People were communicating about the procurement and assessment of children and young women in barely-veiled language, through routine email channels, with apparent confidence that these communications would never be scrutinized. This confidence was not unfounded—the system had demonstrated for decades that it would protect them.</w:t>
      </w:r>
    </w:p>
    <w:p>
      <w:pPr>
        <w:pStyle w:val="Heading1"/>
        <w:spacing w:before="360" w:after="200"/>
      </w:pPr>
      <w:r>
        <w:rPr>
          <w:rFonts w:ascii="Arial" w:cs="Arial" w:eastAsia="Arial" w:hAnsi="Arial"/>
          <w:b/>
          <w:bCs/>
          <w:color w:val="1B3A5C"/>
          <w:sz w:val="28"/>
          <w:szCs w:val="28"/>
        </w:rPr>
        <w:t xml:space="preserve">Component 2: The Surveillance Architecture</w:t>
      </w:r>
    </w:p>
    <w:p>
      <w:pPr>
        <w:spacing w:after="160" w:line="276"/>
      </w:pPr>
      <w:r>
        <w:rPr>
          <w:rFonts w:ascii="Arial" w:cs="Arial" w:eastAsia="Arial" w:hAnsi="Arial"/>
          <w:color w:val="000000"/>
          <w:sz w:val="22"/>
          <w:szCs w:val="22"/>
        </w:rPr>
        <w:t xml:space="preserve">Every major Epstein property was equipped with surveillance infrastructure beyond any plausible personal security need:</w:t>
      </w:r>
    </w:p>
    <w:p>
      <w:pPr>
        <w:pStyle w:val="ListParagraph"/>
        <w:numPr>
          <w:ilvl w:val="0"/>
          <w:numId w:val="2"/>
        </w:numPr>
        <w:spacing w:after="100" w:line="276"/>
      </w:pPr>
      <w:r>
        <w:rPr>
          <w:rFonts w:ascii="Arial" w:cs="Arial" w:eastAsia="Arial" w:hAnsi="Arial"/>
          <w:sz w:val="22"/>
          <w:szCs w:val="22"/>
        </w:rPr>
        <w:t xml:space="preserve">New York City mansion (9 East 71st Street): Hidden monitoring room with live camera feeds of every room in the residence, discovered during FBI raid.</w:t>
      </w:r>
    </w:p>
    <w:p>
      <w:pPr>
        <w:pStyle w:val="ListParagraph"/>
        <w:numPr>
          <w:ilvl w:val="0"/>
          <w:numId w:val="2"/>
        </w:numPr>
        <w:spacing w:after="100" w:line="276"/>
      </w:pPr>
      <w:r>
        <w:rPr>
          <w:rFonts w:ascii="Arial" w:cs="Arial" w:eastAsia="Arial" w:hAnsi="Arial"/>
          <w:sz w:val="22"/>
          <w:szCs w:val="22"/>
        </w:rPr>
        <w:t xml:space="preserve">Palm Beach estate: At least two hidden cameras confirmed in court testimony.</w:t>
      </w:r>
    </w:p>
    <w:p>
      <w:pPr>
        <w:pStyle w:val="ListParagraph"/>
        <w:numPr>
          <w:ilvl w:val="0"/>
          <w:numId w:val="2"/>
        </w:numPr>
        <w:spacing w:after="100" w:line="276"/>
      </w:pPr>
      <w:r>
        <w:rPr>
          <w:rFonts w:ascii="Arial" w:cs="Arial" w:eastAsia="Arial" w:hAnsi="Arial"/>
          <w:sz w:val="22"/>
          <w:szCs w:val="22"/>
        </w:rPr>
        <w:t xml:space="preserve">Little St. James Island: Cameras throughout the property; underground structures confirmed in DOJ communications.</w:t>
      </w:r>
    </w:p>
    <w:p>
      <w:pPr>
        <w:pStyle w:val="ListParagraph"/>
        <w:numPr>
          <w:ilvl w:val="0"/>
          <w:numId w:val="2"/>
        </w:numPr>
        <w:spacing w:after="100" w:line="276"/>
      </w:pPr>
      <w:r>
        <w:rPr>
          <w:rFonts w:ascii="Arial" w:cs="Arial" w:eastAsia="Arial" w:hAnsi="Arial"/>
          <w:sz w:val="22"/>
          <w:szCs w:val="22"/>
        </w:rPr>
        <w:t xml:space="preserve">Paris apartment: Purpose-built massage room used an estimated 3–4 times daily.</w:t>
      </w:r>
    </w:p>
    <w:p>
      <w:pPr>
        <w:pStyle w:val="ListParagraph"/>
        <w:numPr>
          <w:ilvl w:val="0"/>
          <w:numId w:val="2"/>
        </w:numPr>
        <w:spacing w:after="160" w:line="276"/>
      </w:pPr>
      <w:r>
        <w:rPr>
          <w:rFonts w:ascii="Arial" w:cs="Arial" w:eastAsia="Arial" w:hAnsi="Arial"/>
          <w:sz w:val="22"/>
          <w:szCs w:val="22"/>
        </w:rPr>
        <w:t xml:space="preserve">FBI raid evidence: Safe containing labeled CDs including “Misc nudes 1” and “Girl pics nude.” Lock showed signs of tampering prior to FBI entry.</w:t>
      </w:r>
    </w:p>
    <w:p>
      <w:pPr>
        <w:pStyle w:val="Heading2"/>
        <w:spacing w:before="280" w:after="160"/>
      </w:pPr>
      <w:r>
        <w:rPr>
          <w:rFonts w:ascii="Arial" w:cs="Arial" w:eastAsia="Arial" w:hAnsi="Arial"/>
          <w:b/>
          <w:bCs/>
          <w:color w:val="1B3A5C"/>
          <w:sz w:val="24"/>
          <w:szCs w:val="24"/>
        </w:rPr>
        <w:t xml:space="preserve">Analytical Significance</w:t>
      </w:r>
    </w:p>
    <w:p>
      <w:pPr>
        <w:spacing w:after="160" w:line="276"/>
      </w:pPr>
      <w:r>
        <w:rPr>
          <w:rFonts w:ascii="Arial" w:cs="Arial" w:eastAsia="Arial" w:hAnsi="Arial"/>
          <w:color w:val="000000"/>
          <w:sz w:val="22"/>
          <w:szCs w:val="22"/>
        </w:rPr>
        <w:t xml:space="preserve">A critical question emerges: why would a man who was personally present during abuse need surveillance footage of every room in every property? He was there. He already knew what happened. The surveillance infrastructure was not designed to record his own behavior—it was designed to create records of what other people did in those rooms.</w:t>
      </w:r>
    </w:p>
    <w:p>
      <w:pPr>
        <w:spacing w:after="160" w:line="276"/>
      </w:pPr>
      <w:r>
        <w:rPr>
          <w:rFonts w:ascii="Arial" w:cs="Arial" w:eastAsia="Arial" w:hAnsi="Arial"/>
          <w:color w:val="000000"/>
          <w:sz w:val="22"/>
          <w:szCs w:val="22"/>
        </w:rPr>
        <w:t xml:space="preserve">This is the architecture of a leverage operation, whether or not investigators recovered a neatly labeled folder marked “blackmail.” The absence of a formal “client list” does not indicate the absence of a leverage system. It indicates the leverage was stored as video, photographs, and labeled media—precisely the kind of material found in the NYC safe. The fact that the safe showed signs of tampering before the FBI accessed it suggests material was removed before federal agents arrived.</w:t>
      </w:r>
    </w:p>
    <w:p>
      <w:pPr>
        <w:pStyle w:val="Heading1"/>
        <w:spacing w:before="360" w:after="200"/>
      </w:pPr>
      <w:r>
        <w:rPr>
          <w:rFonts w:ascii="Arial" w:cs="Arial" w:eastAsia="Arial" w:hAnsi="Arial"/>
          <w:b/>
          <w:bCs/>
          <w:color w:val="1B3A5C"/>
          <w:sz w:val="28"/>
          <w:szCs w:val="28"/>
        </w:rPr>
        <w:t xml:space="preserve">Component 3: Financial Opacity</w:t>
      </w:r>
    </w:p>
    <w:p>
      <w:pPr>
        <w:spacing w:after="160" w:line="276"/>
      </w:pPr>
      <w:r>
        <w:rPr>
          <w:rFonts w:ascii="Arial" w:cs="Arial" w:eastAsia="Arial" w:hAnsi="Arial"/>
          <w:color w:val="000000"/>
          <w:sz w:val="22"/>
          <w:szCs w:val="22"/>
        </w:rPr>
        <w:t xml:space="preserve">No satisfactory public explanation exists for the origin of Jeffrey Epstein’s wealth. His estate was valued at approximately $600 million at the time of his death. His one confirmed client was Leslie Wexner, founder of L Brands, who transferred power of attorney and substantial assets to Epstein under circumstances that have never been adequately documented or explained.</w:t>
      </w:r>
    </w:p>
    <w:p>
      <w:pPr>
        <w:spacing w:after="160" w:line="276"/>
      </w:pPr>
      <w:r>
        <w:rPr>
          <w:rFonts w:ascii="Arial" w:cs="Arial" w:eastAsia="Arial" w:hAnsi="Arial"/>
          <w:color w:val="000000"/>
          <w:sz w:val="22"/>
          <w:szCs w:val="22"/>
        </w:rPr>
        <w:t xml:space="preserve">A single client relationship, however lucrative, does not generate a $600 million estate. The financial structure surrounding Epstein was designed for opacity: shell companies, offshore entities, and special-purpose vehicles such as LSJE LLC (which held Little St. James Island). The flow of money into and through these structures has never been fully traced.</w:t>
      </w:r>
    </w:p>
    <w:p>
      <w:pPr>
        <w:pStyle w:val="Heading2"/>
        <w:spacing w:before="280" w:after="160"/>
      </w:pPr>
      <w:r>
        <w:rPr>
          <w:rFonts w:ascii="Arial" w:cs="Arial" w:eastAsia="Arial" w:hAnsi="Arial"/>
          <w:b/>
          <w:bCs/>
          <w:color w:val="1B3A5C"/>
          <w:sz w:val="24"/>
          <w:szCs w:val="24"/>
        </w:rPr>
        <w:t xml:space="preserve">Institutional Complicity</w:t>
      </w:r>
    </w:p>
    <w:p>
      <w:pPr>
        <w:spacing w:after="160" w:line="276"/>
      </w:pPr>
      <w:r>
        <w:rPr>
          <w:rFonts w:ascii="Arial" w:cs="Arial" w:eastAsia="Arial" w:hAnsi="Arial"/>
          <w:color w:val="000000"/>
          <w:sz w:val="22"/>
          <w:szCs w:val="22"/>
        </w:rPr>
        <w:t xml:space="preserve">Major financial institutions maintained Epstein’s accounts with full knowledge of his conviction and the nature of his crimes. JPMorgan Chase settled related claims for $290 million. Deutsche Bank settled for $75 million. These settlements were not admissions of naivety—they were calculations that settlement was less costly than what a full trial would expose. The institutions were not fooled. They were complicit participants in a financial infrastructure they understood.</w:t>
      </w:r>
    </w:p>
    <w:p>
      <w:pPr>
        <w:pStyle w:val="Heading1"/>
        <w:spacing w:before="360" w:after="200"/>
      </w:pPr>
      <w:r>
        <w:rPr>
          <w:rFonts w:ascii="Arial" w:cs="Arial" w:eastAsia="Arial" w:hAnsi="Arial"/>
          <w:b/>
          <w:bCs/>
          <w:color w:val="1B3A5C"/>
          <w:sz w:val="28"/>
          <w:szCs w:val="28"/>
        </w:rPr>
        <w:t xml:space="preserve">Component 4: The Legal Shield</w:t>
      </w:r>
    </w:p>
    <w:p>
      <w:pPr>
        <w:spacing w:after="160" w:line="276"/>
      </w:pPr>
      <w:r>
        <w:rPr>
          <w:rFonts w:ascii="Arial" w:cs="Arial" w:eastAsia="Arial" w:hAnsi="Arial"/>
          <w:color w:val="000000"/>
          <w:sz w:val="22"/>
          <w:szCs w:val="22"/>
        </w:rPr>
        <w:t xml:space="preserve">The 2008 plea deal negotiated in the Southern District of Florida is the structural keystone of the entire enterprise’s protection. Understanding its terms is essential to understanding how the machine functioned.</w:t>
      </w:r>
    </w:p>
    <w:p>
      <w:pPr>
        <w:pStyle w:val="Heading2"/>
        <w:spacing w:before="280" w:after="160"/>
      </w:pPr>
      <w:r>
        <w:rPr>
          <w:rFonts w:ascii="Arial" w:cs="Arial" w:eastAsia="Arial" w:hAnsi="Arial"/>
          <w:b/>
          <w:bCs/>
          <w:color w:val="1B3A5C"/>
          <w:sz w:val="24"/>
          <w:szCs w:val="24"/>
        </w:rPr>
        <w:t xml:space="preserve">What Was Prepared</w:t>
      </w:r>
    </w:p>
    <w:p>
      <w:pPr>
        <w:spacing w:after="160" w:line="276"/>
      </w:pPr>
      <w:r>
        <w:rPr>
          <w:rFonts w:ascii="Arial" w:cs="Arial" w:eastAsia="Arial" w:hAnsi="Arial"/>
          <w:color w:val="000000"/>
          <w:sz w:val="22"/>
          <w:szCs w:val="22"/>
        </w:rPr>
        <w:t xml:space="preserve">Federal prosecutors had assembled a 53-page indictment containing 60 counts. Evidence had been gathered on 34 identified minor victims. A draft federal indictment names three individuals “employed by” Epstein who conspired to “persuade, induce, and entice individuals who had not attained the age of 18 years to engage in prostitution.” All three names remain redacted in the 2026 release.</w:t>
      </w:r>
    </w:p>
    <w:p>
      <w:pPr>
        <w:pStyle w:val="Heading2"/>
        <w:spacing w:before="280" w:after="160"/>
      </w:pPr>
      <w:r>
        <w:rPr>
          <w:rFonts w:ascii="Arial" w:cs="Arial" w:eastAsia="Arial" w:hAnsi="Arial"/>
          <w:b/>
          <w:bCs/>
          <w:color w:val="1B3A5C"/>
          <w:sz w:val="24"/>
          <w:szCs w:val="24"/>
        </w:rPr>
        <w:t xml:space="preserve">What Was Delivered</w:t>
      </w:r>
    </w:p>
    <w:p>
      <w:pPr>
        <w:spacing w:after="160" w:line="276"/>
      </w:pPr>
      <w:r>
        <w:rPr>
          <w:rFonts w:ascii="Arial" w:cs="Arial" w:eastAsia="Arial" w:hAnsi="Arial"/>
          <w:color w:val="000000"/>
          <w:sz w:val="22"/>
          <w:szCs w:val="22"/>
        </w:rPr>
        <w:t xml:space="preserve">The 60-count federal indictment was replaced with a state plea resulting in 18 months in county jail with 12-hour daily work release. The deal included blanket immunity for all co-conspirators, named and unnamed. It was kept secret from the victims, in direct violation of the Crime Victims’ Rights Act, a finding later confirmed by federal courts. The deal was negotiated by attorneys Kenneth Starr and Alan Dershowitz of Kirkland &amp; Ellis.</w:t>
      </w:r>
    </w:p>
    <w:p>
      <w:pPr>
        <w:pStyle w:val="Heading2"/>
        <w:spacing w:before="280" w:after="160"/>
      </w:pPr>
      <w:r>
        <w:rPr>
          <w:rFonts w:ascii="Arial" w:cs="Arial" w:eastAsia="Arial" w:hAnsi="Arial"/>
          <w:b/>
          <w:bCs/>
          <w:color w:val="1B3A5C"/>
          <w:sz w:val="24"/>
          <w:szCs w:val="24"/>
        </w:rPr>
        <w:t xml:space="preserve">The Immunity Clause</w:t>
      </w:r>
    </w:p>
    <w:p>
      <w:pPr>
        <w:spacing w:after="160" w:line="276"/>
      </w:pPr>
      <w:r>
        <w:rPr>
          <w:rFonts w:ascii="Arial" w:cs="Arial" w:eastAsia="Arial" w:hAnsi="Arial"/>
          <w:color w:val="000000"/>
          <w:sz w:val="22"/>
          <w:szCs w:val="22"/>
        </w:rPr>
        <w:t xml:space="preserve">The blanket immunity provision is the hinge of the entire legal architecture. It does not merely protect Epstein—it protects everyone connected to his operation, “named and unnamed.” This provision functioned as a legal firewall around the entire network. Its effects persist: the three co-conspirators named in the draft indictment are still redacted in 2026, protected by a deal struck eighteen years earlier.</w:t>
      </w:r>
    </w:p>
    <w:p>
      <w:pPr>
        <w:pStyle w:val="Heading2"/>
        <w:spacing w:before="280" w:after="160"/>
      </w:pPr>
      <w:r>
        <w:rPr>
          <w:rFonts w:ascii="Arial" w:cs="Arial" w:eastAsia="Arial" w:hAnsi="Arial"/>
          <w:b/>
          <w:bCs/>
          <w:color w:val="1B3A5C"/>
          <w:sz w:val="24"/>
          <w:szCs w:val="24"/>
        </w:rPr>
        <w:t xml:space="preserve">The Acosta Statement</w:t>
      </w:r>
    </w:p>
    <w:p>
      <w:pPr>
        <w:spacing w:after="160" w:line="276"/>
      </w:pPr>
      <w:r>
        <w:rPr>
          <w:rFonts w:ascii="Arial" w:cs="Arial" w:eastAsia="Arial" w:hAnsi="Arial"/>
          <w:color w:val="000000"/>
          <w:sz w:val="22"/>
          <w:szCs w:val="22"/>
        </w:rPr>
        <w:t xml:space="preserve">When Alexander Acosta, the U.S. Attorney who approved the plea deal, was later questioned about its extraordinary leniency, reporter Vicky Ward reported that he stated: “I was told Epstein belonged to intelligence, and to leave it alone.” Acosta denied this statement under oath during 2025 congressional testimony. However, the terms of the deal itself are consistent with the protection of an intelligence asset rather than the prosecution of a criminal.</w:t>
      </w:r>
    </w:p>
    <w:p>
      <w:pPr>
        <w:pStyle w:val="Heading1"/>
        <w:spacing w:before="360" w:after="200"/>
      </w:pPr>
      <w:r>
        <w:rPr>
          <w:rFonts w:ascii="Arial" w:cs="Arial" w:eastAsia="Arial" w:hAnsi="Arial"/>
          <w:b/>
          <w:bCs/>
          <w:color w:val="1B3A5C"/>
          <w:sz w:val="28"/>
          <w:szCs w:val="28"/>
        </w:rPr>
        <w:t xml:space="preserve">Component 5: Intelligence Connections</w:t>
      </w:r>
    </w:p>
    <w:p>
      <w:pPr>
        <w:spacing w:after="160" w:line="276"/>
      </w:pPr>
      <w:r>
        <w:rPr>
          <w:rFonts w:ascii="Arial" w:cs="Arial" w:eastAsia="Arial" w:hAnsi="Arial"/>
          <w:color w:val="000000"/>
          <w:sz w:val="22"/>
          <w:szCs w:val="22"/>
        </w:rPr>
        <w:t xml:space="preserve">No definitive proof exists in the released documents that Jeffrey Epstein was an intelligence asset. However, the circumstantial indicators are substantial enough that the question cannot be responsibly dismissed. The following facts are documented:</w:t>
      </w:r>
    </w:p>
    <w:p>
      <w:pPr>
        <w:pStyle w:val="ListParagraph"/>
        <w:numPr>
          <w:ilvl w:val="0"/>
          <w:numId w:val="2"/>
        </w:numPr>
        <w:spacing w:after="100" w:line="276"/>
      </w:pPr>
      <w:r>
        <w:rPr>
          <w:rFonts w:ascii="Arial" w:cs="Arial" w:eastAsia="Arial" w:hAnsi="Arial"/>
          <w:sz w:val="22"/>
          <w:szCs w:val="22"/>
        </w:rPr>
        <w:t xml:space="preserve">Acosta’s reported statement that Epstein “belonged to intelligence.”</w:t>
      </w:r>
    </w:p>
    <w:p>
      <w:pPr>
        <w:pStyle w:val="ListParagraph"/>
        <w:numPr>
          <w:ilvl w:val="0"/>
          <w:numId w:val="2"/>
        </w:numPr>
        <w:spacing w:after="100" w:line="276"/>
      </w:pPr>
      <w:r>
        <w:rPr>
          <w:rFonts w:ascii="Arial" w:cs="Arial" w:eastAsia="Arial" w:hAnsi="Arial"/>
          <w:sz w:val="22"/>
          <w:szCs w:val="22"/>
        </w:rPr>
        <w:t xml:space="preserve">Robert Maxwell—Ghislaine’s father—had documented relationships with Mossad, MI6, and the KGB prior to his mysterious death at sea in 1991.</w:t>
      </w:r>
    </w:p>
    <w:p>
      <w:pPr>
        <w:pStyle w:val="ListParagraph"/>
        <w:numPr>
          <w:ilvl w:val="0"/>
          <w:numId w:val="2"/>
        </w:numPr>
        <w:spacing w:after="100" w:line="276"/>
      </w:pPr>
      <w:r>
        <w:rPr>
          <w:rFonts w:ascii="Arial" w:cs="Arial" w:eastAsia="Arial" w:hAnsi="Arial"/>
          <w:sz w:val="22"/>
          <w:szCs w:val="22"/>
        </w:rPr>
        <w:t xml:space="preserve">Ghislaine moved directly from her father’s intelligence-adjacent world into Epstein’s operation.</w:t>
      </w:r>
    </w:p>
    <w:p>
      <w:pPr>
        <w:pStyle w:val="ListParagraph"/>
        <w:numPr>
          <w:ilvl w:val="0"/>
          <w:numId w:val="2"/>
        </w:numPr>
        <w:spacing w:after="100" w:line="276"/>
      </w:pPr>
      <w:r>
        <w:rPr>
          <w:rFonts w:ascii="Arial" w:cs="Arial" w:eastAsia="Arial" w:hAnsi="Arial"/>
          <w:sz w:val="22"/>
          <w:szCs w:val="22"/>
        </w:rPr>
        <w:t xml:space="preserve">The surveillance infrastructure on Epstein’s properties mirrors intelligence tradecraft for compromise operations.</w:t>
      </w:r>
    </w:p>
    <w:p>
      <w:pPr>
        <w:pStyle w:val="ListParagraph"/>
        <w:numPr>
          <w:ilvl w:val="0"/>
          <w:numId w:val="2"/>
        </w:numPr>
        <w:spacing w:after="100" w:line="276"/>
      </w:pPr>
      <w:r>
        <w:rPr>
          <w:rFonts w:ascii="Arial" w:cs="Arial" w:eastAsia="Arial" w:hAnsi="Arial"/>
          <w:sz w:val="22"/>
          <w:szCs w:val="22"/>
        </w:rPr>
        <w:t xml:space="preserve">The financial opacity mirrors known intelligence front operation structures.</w:t>
      </w:r>
    </w:p>
    <w:p>
      <w:pPr>
        <w:pStyle w:val="ListParagraph"/>
        <w:numPr>
          <w:ilvl w:val="0"/>
          <w:numId w:val="2"/>
        </w:numPr>
        <w:spacing w:after="100" w:line="276"/>
      </w:pPr>
      <w:r>
        <w:rPr>
          <w:rFonts w:ascii="Arial" w:cs="Arial" w:eastAsia="Arial" w:hAnsi="Arial"/>
          <w:sz w:val="22"/>
          <w:szCs w:val="22"/>
        </w:rPr>
        <w:t xml:space="preserve">No credible explanation exists for how a college dropout became a billionaire managing money for the ultra-wealthy.</w:t>
      </w:r>
    </w:p>
    <w:p>
      <w:pPr>
        <w:pStyle w:val="ListParagraph"/>
        <w:numPr>
          <w:ilvl w:val="0"/>
          <w:numId w:val="2"/>
        </w:numPr>
        <w:spacing w:after="160" w:line="276"/>
      </w:pPr>
      <w:r>
        <w:rPr>
          <w:rFonts w:ascii="Arial" w:cs="Arial" w:eastAsia="Arial" w:hAnsi="Arial"/>
          <w:sz w:val="22"/>
          <w:szCs w:val="22"/>
        </w:rPr>
        <w:t xml:space="preserve">Peter Mandelson—found in released files transmitting UK government market-sensitive information to Epstein, including Prime Minister Gordon Brown’s pseudonym and secure email address. This constitutes an intelligence conduit, not a social relationship.</w:t>
      </w:r>
    </w:p>
    <w:p>
      <w:pPr>
        <w:spacing w:after="160" w:line="276"/>
      </w:pPr>
      <w:r>
        <w:rPr>
          <w:rFonts w:ascii="Arial" w:cs="Arial" w:eastAsia="Arial" w:hAnsi="Arial"/>
          <w:color w:val="000000"/>
          <w:sz w:val="22"/>
          <w:szCs w:val="22"/>
        </w:rPr>
        <w:t xml:space="preserve">Individually, each indicator has alternative explanations. Collectively, they describe a pattern consistent with an intelligence-linked operation using sexual compromise material as leverage against powerful figures across multiple governments.</w:t>
      </w:r>
    </w:p>
    <w:p>
      <w:pPr>
        <w:pStyle w:val="Heading1"/>
        <w:spacing w:before="360" w:after="200"/>
      </w:pPr>
      <w:r>
        <w:rPr>
          <w:rFonts w:ascii="Arial" w:cs="Arial" w:eastAsia="Arial" w:hAnsi="Arial"/>
          <w:b/>
          <w:bCs/>
          <w:color w:val="1B3A5C"/>
          <w:sz w:val="28"/>
          <w:szCs w:val="28"/>
        </w:rPr>
        <w:t xml:space="preserve">Component 6: The Academic and Scientific Network</w:t>
      </w:r>
    </w:p>
    <w:p>
      <w:pPr>
        <w:spacing w:after="160" w:line="276"/>
      </w:pPr>
      <w:r>
        <w:rPr>
          <w:rFonts w:ascii="Arial" w:cs="Arial" w:eastAsia="Arial" w:hAnsi="Arial"/>
          <w:color w:val="000000"/>
          <w:sz w:val="22"/>
          <w:szCs w:val="22"/>
        </w:rPr>
        <w:t xml:space="preserve">Epstein’s relationships with major research institutions served multiple simultaneous functions: social legitimacy, access to genetic and transhumanist research aligned with his eugenic interests, and the creation of financial dependencies that bound elite institutions to him.</w:t>
      </w:r>
    </w:p>
    <w:p>
      <w:pPr>
        <w:pStyle w:val="Heading2"/>
        <w:spacing w:before="280" w:after="160"/>
      </w:pPr>
      <w:r>
        <w:rPr>
          <w:rFonts w:ascii="Arial" w:cs="Arial" w:eastAsia="Arial" w:hAnsi="Arial"/>
          <w:b/>
          <w:bCs/>
          <w:color w:val="1B3A5C"/>
          <w:sz w:val="24"/>
          <w:szCs w:val="24"/>
        </w:rPr>
        <w:t xml:space="preserve">Documented Financial Relationships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Institution / Researcher</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Amount</w:t>
            </w:r>
          </w:p>
        </w:tc>
        <w:tc>
          <w:tcPr>
            <w:tcW w:type="dxa" w:w="3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1"/>
                <w:szCs w:val="21"/>
              </w:rPr>
              <w:t xml:space="preserve">Notable Details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Harvard University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$9.179 million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Includes $6.5M for Nowak’s Evolutionary Dynamics program</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Martin Nowak (Harvard)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Weekly calls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 post-conviction office visits; office called “Jeffrey’s Office”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MIT Media Lab</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$525K+ direct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$7.5M channeled through Gates and others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George Church (Harvard)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$686,000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Regular meetings; discussed gene editing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Lawrence Krauss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$250,000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Publicly defended Epstein post-conviction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Edge Foundation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$638,000+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Gateway to “Billionaires’ Dinners”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2006 Island Conference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Undisclosed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Stephen Hawking, 3 Nobel laureates, 22 physicists</w:t>
            </w:r>
          </w:p>
        </w:tc>
      </w:tr>
    </w:tbl>
    <w:p>
      <w:pPr>
        <w:spacing w:after="80"/>
      </w:pPr>
    </w:p>
    <w:p>
      <w:pPr>
        <w:pStyle w:val="Heading2"/>
        <w:spacing w:before="280" w:after="160"/>
      </w:pPr>
      <w:r>
        <w:rPr>
          <w:rFonts w:ascii="Arial" w:cs="Arial" w:eastAsia="Arial" w:hAnsi="Arial"/>
          <w:b/>
          <w:bCs/>
          <w:color w:val="1B3A5C"/>
          <w:sz w:val="24"/>
          <w:szCs w:val="24"/>
        </w:rPr>
        <w:t xml:space="preserve">Eugenic and Transhumanist Interests</w:t>
      </w:r>
    </w:p>
    <w:p>
      <w:pPr>
        <w:spacing w:after="160" w:line="276"/>
      </w:pPr>
      <w:r>
        <w:rPr>
          <w:rFonts w:ascii="Arial" w:cs="Arial" w:eastAsia="Arial" w:hAnsi="Arial"/>
          <w:color w:val="000000"/>
          <w:sz w:val="22"/>
          <w:szCs w:val="22"/>
        </w:rPr>
        <w:t xml:space="preserve">Epstein’s interest in science was not philanthropic. Documents and reporting reveal he discussed plans to “seed the human race” with his DNA using his New Mexico ranch, explored cryogenic preservation of his head and penis, and held conversations about human cloning. In one documented exchange with Prince Andrew, Epstein discussed whether a clone with consciousness could be killed for spare parts. Andrew reportedly asked what would happen if the clone had a conscience. Epstein’s response: “I’ll make it without a head.”</w:t>
      </w:r>
    </w:p>
    <w:p>
      <w:pPr>
        <w:spacing w:after="160" w:line="276"/>
      </w:pPr>
      <w:r>
        <w:rPr>
          <w:rFonts w:ascii="Arial" w:cs="Arial" w:eastAsia="Arial" w:hAnsi="Arial"/>
          <w:color w:val="000000"/>
          <w:sz w:val="22"/>
          <w:szCs w:val="22"/>
        </w:rPr>
        <w:t xml:space="preserve">At least six Scientific American board members had ties to Epstein. Martin Nowak emailed Epstein about joining Scientific American’s board of advisers. Al Seckel was documented actively editing Epstein’s Wikipedia page to remove “sex offender” designations and replace his mugshot.</w:t>
      </w:r>
    </w:p>
    <w:p>
      <w:pPr>
        <w:pStyle w:val="Heading2"/>
        <w:spacing w:before="280" w:after="160"/>
      </w:pPr>
      <w:r>
        <w:rPr>
          <w:rFonts w:ascii="Arial" w:cs="Arial" w:eastAsia="Arial" w:hAnsi="Arial"/>
          <w:b/>
          <w:bCs/>
          <w:color w:val="1B3A5C"/>
          <w:sz w:val="24"/>
          <w:szCs w:val="24"/>
        </w:rPr>
        <w:t xml:space="preserve">Institutional Response Timeline</w:t>
      </w:r>
    </w:p>
    <w:p>
      <w:pPr>
        <w:spacing w:after="160" w:line="276"/>
      </w:pPr>
      <w:r>
        <w:rPr>
          <w:rFonts w:ascii="Arial" w:cs="Arial" w:eastAsia="Arial" w:hAnsi="Arial"/>
          <w:color w:val="000000"/>
          <w:sz w:val="22"/>
          <w:szCs w:val="22"/>
        </w:rPr>
        <w:t xml:space="preserve">Harvard shut down Nowak’s program in 2021—twelve years after Epstein’s conviction. MIT’s Joi Ito resigned in 2019, only after investigative journalism forced the issue. These institutions were not unaware. They calculated that the money was worth the association with a convicted sex offender, and maintained those calculations until external pressure made them untenable.</w:t>
      </w:r>
    </w:p>
    <w:p>
      <w:pPr>
        <w:pStyle w:val="Heading1"/>
        <w:spacing w:before="360" w:after="200"/>
      </w:pPr>
      <w:r>
        <w:rPr>
          <w:rFonts w:ascii="Arial" w:cs="Arial" w:eastAsia="Arial" w:hAnsi="Arial"/>
          <w:b/>
          <w:bCs/>
          <w:color w:val="1B3A5C"/>
          <w:sz w:val="28"/>
          <w:szCs w:val="28"/>
        </w:rPr>
        <w:t xml:space="preserve">Component 7: Media Capture</w:t>
      </w:r>
    </w:p>
    <w:p>
      <w:pPr>
        <w:spacing w:after="160" w:line="276"/>
      </w:pPr>
      <w:r>
        <w:rPr>
          <w:rFonts w:ascii="Arial" w:cs="Arial" w:eastAsia="Arial" w:hAnsi="Arial"/>
          <w:color w:val="000000"/>
          <w:sz w:val="22"/>
          <w:szCs w:val="22"/>
        </w:rPr>
        <w:t xml:space="preserve">The 2026 document releases contain direct evidence of Epstein exercising control over media coverage—moving this from the realm of suspicion to documented fact.</w:t>
      </w:r>
    </w:p>
    <w:p>
      <w:pPr>
        <w:pStyle w:val="Heading2"/>
        <w:spacing w:before="280" w:after="160"/>
      </w:pPr>
      <w:r>
        <w:rPr>
          <w:rFonts w:ascii="Arial" w:cs="Arial" w:eastAsia="Arial" w:hAnsi="Arial"/>
          <w:b/>
          <w:bCs/>
          <w:color w:val="1B3A5C"/>
          <w:sz w:val="24"/>
          <w:szCs w:val="24"/>
        </w:rPr>
        <w:t xml:space="preserve">Primary Source Evidence</w:t>
      </w:r>
    </w:p>
    <w:p>
      <w:pPr>
        <w:spacing w:after="160" w:line="276"/>
      </w:pPr>
      <w:r>
        <w:rPr>
          <w:rFonts w:ascii="Arial" w:cs="Arial" w:eastAsia="Arial" w:hAnsi="Arial"/>
          <w:color w:val="000000"/>
          <w:sz w:val="22"/>
          <w:szCs w:val="22"/>
        </w:rPr>
        <w:t xml:space="preserve">Al Jazeera reporting based on released emails documents the following: Epstein directly emailed Mortimer Zuckerman, owner of the New York Daily News, his “proposed answers” to journalist questions. Zuckerman responded that the paper was “doing major editing over huge objections” and would “take ghislaine out”—removing Ghislaine Maxwell’s name from the story. The story was delayed and substantially sanitized.</w:t>
      </w:r>
    </w:p>
    <w:p>
      <w:pPr>
        <w:spacing w:after="160" w:line="276"/>
      </w:pPr>
      <w:r>
        <w:rPr>
          <w:rFonts w:ascii="Arial" w:cs="Arial" w:eastAsia="Arial" w:hAnsi="Arial"/>
          <w:color w:val="000000"/>
          <w:sz w:val="22"/>
          <w:szCs w:val="22"/>
        </w:rPr>
        <w:t xml:space="preserve">A structural detail deepens this connection: Zuckerman purchased the New York Daily News from Maxwell Newspapers Inc.—the media company of Robert Maxwell, Ghislaine’s father. The networks connecting intelligence, media, and Epstein’s operation share overlapping nodes.</w:t>
      </w:r>
    </w:p>
    <w:p>
      <w:pPr>
        <w:pStyle w:val="Heading2"/>
        <w:spacing w:before="280" w:after="160"/>
      </w:pPr>
      <w:r>
        <w:rPr>
          <w:rFonts w:ascii="Arial" w:cs="Arial" w:eastAsia="Arial" w:hAnsi="Arial"/>
          <w:b/>
          <w:bCs/>
          <w:color w:val="1B3A5C"/>
          <w:sz w:val="24"/>
          <w:szCs w:val="24"/>
        </w:rPr>
        <w:t xml:space="preserve">Broader Media Relationships</w:t>
      </w:r>
    </w:p>
    <w:p>
      <w:pPr>
        <w:spacing w:after="160" w:line="276"/>
      </w:pPr>
      <w:r>
        <w:rPr>
          <w:rFonts w:ascii="Arial" w:cs="Arial" w:eastAsia="Arial" w:hAnsi="Arial"/>
          <w:color w:val="000000"/>
          <w:sz w:val="22"/>
          <w:szCs w:val="22"/>
        </w:rPr>
        <w:t xml:space="preserve">Epstein maintained financial entanglements with Zuckerman worth tens of millions of dollars in proposed wealth management fees ($21–30 million). Al Seckel was editing Epstein’s Wikipedia page. Documents reference relationships with Scientific American, Forbes, New Scientist, and Seed magazine. Over 260 document references exist to Scientific American alone, including attempts to place articles with Epstein’s name.</w:t>
      </w:r>
    </w:p>
    <w:p>
      <w:pPr>
        <w:pStyle w:val="Heading2"/>
        <w:spacing w:before="280" w:after="160"/>
      </w:pPr>
      <w:r>
        <w:rPr>
          <w:rFonts w:ascii="Arial" w:cs="Arial" w:eastAsia="Arial" w:hAnsi="Arial"/>
          <w:b/>
          <w:bCs/>
          <w:color w:val="1B3A5C"/>
          <w:sz w:val="24"/>
          <w:szCs w:val="24"/>
        </w:rPr>
        <w:t xml:space="preserve">Coverage of the 2026 Release</w:t>
      </w:r>
    </w:p>
    <w:p>
      <w:pPr>
        <w:spacing w:after="160" w:line="276"/>
      </w:pPr>
      <w:r>
        <w:rPr>
          <w:rFonts w:ascii="Arial" w:cs="Arial" w:eastAsia="Arial" w:hAnsi="Arial"/>
          <w:color w:val="000000"/>
          <w:sz w:val="22"/>
          <w:szCs w:val="22"/>
        </w:rPr>
        <w:t xml:space="preserve">The release of 3.5 million pages of documents relating to the most significant trafficking operation in modern American history received approximately 48 hours of cautious mainstream coverage before being displaced by entertainment news. Independent outlets—DropSite News, Democracy Now, Zeteo, and others—have conducted the substantial document review. As one media analyst noted, a “Category 5 political scandal got 48 hours cautious coverage before Grammy previews.”</w:t>
      </w:r>
    </w:p>
    <w:p>
      <w:pPr>
        <w:pStyle w:val="Heading1"/>
        <w:spacing w:before="360" w:after="200"/>
      </w:pPr>
      <w:r>
        <w:rPr>
          <w:rFonts w:ascii="Arial" w:cs="Arial" w:eastAsia="Arial" w:hAnsi="Arial"/>
          <w:b/>
          <w:bCs/>
          <w:color w:val="1B3A5C"/>
          <w:sz w:val="28"/>
          <w:szCs w:val="28"/>
        </w:rPr>
        <w:t xml:space="preserve">Component 8: The Death</w:t>
      </w:r>
    </w:p>
    <w:p>
      <w:pPr>
        <w:spacing w:after="160" w:line="276"/>
      </w:pPr>
      <w:r>
        <w:rPr>
          <w:rFonts w:ascii="Arial" w:cs="Arial" w:eastAsia="Arial" w:hAnsi="Arial"/>
          <w:color w:val="000000"/>
          <w:sz w:val="22"/>
          <w:szCs w:val="22"/>
        </w:rPr>
        <w:t xml:space="preserve">Jeffrey Epstein was found dead in his cell at the Metropolitan Correctional Center on August 10, 2019, while awaiting trial on federal sex trafficking charges. The official ruling was suicide by hanging. The circumstances surrounding his death involve a concentration of simultaneous system failures that strain statistical probability.</w:t>
      </w:r>
    </w:p>
    <w:p>
      <w:pPr>
        <w:pStyle w:val="Heading2"/>
        <w:spacing w:before="280" w:after="160"/>
      </w:pPr>
      <w:r>
        <w:rPr>
          <w:rFonts w:ascii="Arial" w:cs="Arial" w:eastAsia="Arial" w:hAnsi="Arial"/>
          <w:b/>
          <w:bCs/>
          <w:color w:val="1B3A5C"/>
          <w:sz w:val="24"/>
          <w:szCs w:val="24"/>
        </w:rPr>
        <w:t xml:space="preserve">Documented Failures</w:t>
      </w:r>
    </w:p>
    <w:p>
      <w:pPr>
        <w:pStyle w:val="ListParagraph"/>
        <w:numPr>
          <w:ilvl w:val="0"/>
          <w:numId w:val="2"/>
        </w:numPr>
        <w:spacing w:after="100" w:line="276"/>
      </w:pPr>
      <w:r>
        <w:rPr>
          <w:rFonts w:ascii="Arial" w:cs="Arial" w:eastAsia="Arial" w:hAnsi="Arial"/>
          <w:sz w:val="22"/>
          <w:szCs w:val="22"/>
        </w:rPr>
        <w:t xml:space="preserve">Epstein’s cellmate was transferred out days before his death, leaving him alone despite his status as the highest-profile detainee in federal custody.</w:t>
      </w:r>
    </w:p>
    <w:p>
      <w:pPr>
        <w:pStyle w:val="ListParagraph"/>
        <w:numPr>
          <w:ilvl w:val="0"/>
          <w:numId w:val="2"/>
        </w:numPr>
        <w:spacing w:after="100" w:line="276"/>
      </w:pPr>
      <w:r>
        <w:rPr>
          <w:rFonts w:ascii="Arial" w:cs="Arial" w:eastAsia="Arial" w:hAnsi="Arial"/>
          <w:sz w:val="22"/>
          <w:szCs w:val="22"/>
        </w:rPr>
        <w:t xml:space="preserve">Both guards assigned to Epstein’s unit fell asleep simultaneously during their shift and subsequently falsified their logs.</w:t>
      </w:r>
    </w:p>
    <w:p>
      <w:pPr>
        <w:pStyle w:val="ListParagraph"/>
        <w:numPr>
          <w:ilvl w:val="0"/>
          <w:numId w:val="2"/>
        </w:numPr>
        <w:spacing w:after="100" w:line="276"/>
      </w:pPr>
      <w:r>
        <w:rPr>
          <w:rFonts w:ascii="Arial" w:cs="Arial" w:eastAsia="Arial" w:hAnsi="Arial"/>
          <w:sz w:val="22"/>
          <w:szCs w:val="22"/>
        </w:rPr>
        <w:t xml:space="preserve">Both cameras covering his cell malfunctioned simultaneously.</w:t>
      </w:r>
    </w:p>
    <w:p>
      <w:pPr>
        <w:pStyle w:val="ListParagraph"/>
        <w:numPr>
          <w:ilvl w:val="0"/>
          <w:numId w:val="2"/>
        </w:numPr>
        <w:spacing w:after="100" w:line="276"/>
      </w:pPr>
      <w:r>
        <w:rPr>
          <w:rFonts w:ascii="Arial" w:cs="Arial" w:eastAsia="Arial" w:hAnsi="Arial"/>
          <w:sz w:val="22"/>
          <w:szCs w:val="22"/>
        </w:rPr>
        <w:t xml:space="preserve">Excess bedlinen had been provided to his cell despite the recent removal of suicide watch.</w:t>
      </w:r>
    </w:p>
    <w:p>
      <w:pPr>
        <w:pStyle w:val="ListParagraph"/>
        <w:numPr>
          <w:ilvl w:val="0"/>
          <w:numId w:val="2"/>
        </w:numPr>
        <w:spacing w:after="100" w:line="276"/>
      </w:pPr>
      <w:r>
        <w:rPr>
          <w:rFonts w:ascii="Arial" w:cs="Arial" w:eastAsia="Arial" w:hAnsi="Arial"/>
          <w:sz w:val="22"/>
          <w:szCs w:val="22"/>
        </w:rPr>
        <w:t xml:space="preserve">An investigator noted that Epstein’s final communication “did not appear to be a suicide note.”</w:t>
      </w:r>
    </w:p>
    <w:p>
      <w:pPr>
        <w:pStyle w:val="ListParagraph"/>
        <w:numPr>
          <w:ilvl w:val="0"/>
          <w:numId w:val="2"/>
        </w:numPr>
        <w:spacing w:after="100" w:line="276"/>
      </w:pPr>
      <w:r>
        <w:rPr>
          <w:rFonts w:ascii="Arial" w:cs="Arial" w:eastAsia="Arial" w:hAnsi="Arial"/>
          <w:sz w:val="22"/>
          <w:szCs w:val="22"/>
        </w:rPr>
        <w:t xml:space="preserve">Epstein signed a 32-page trust naming 40 beneficiaries two days before his death. His lawyer signed the trust 8 days after death; his accountant signed 10 days after.</w:t>
      </w:r>
    </w:p>
    <w:p>
      <w:pPr>
        <w:pStyle w:val="ListParagraph"/>
        <w:numPr>
          <w:ilvl w:val="0"/>
          <w:numId w:val="2"/>
        </w:numPr>
        <w:spacing w:after="160" w:line="276"/>
      </w:pPr>
      <w:r>
        <w:rPr>
          <w:rFonts w:ascii="Arial" w:cs="Arial" w:eastAsia="Arial" w:hAnsi="Arial"/>
          <w:sz w:val="22"/>
          <w:szCs w:val="22"/>
        </w:rPr>
        <w:t xml:space="preserve">The guards assigned to his unit avoided prison through a plea deal.</w:t>
      </w:r>
    </w:p>
    <w:p>
      <w:pPr>
        <w:pStyle w:val="Heading2"/>
        <w:spacing w:before="280" w:after="160"/>
      </w:pPr>
      <w:r>
        <w:rPr>
          <w:rFonts w:ascii="Arial" w:cs="Arial" w:eastAsia="Arial" w:hAnsi="Arial"/>
          <w:b/>
          <w:bCs/>
          <w:color w:val="1B3A5C"/>
          <w:sz w:val="24"/>
          <w:szCs w:val="24"/>
        </w:rPr>
        <w:t xml:space="preserve">The Decoy Van</w:t>
      </w:r>
    </w:p>
    <w:p>
      <w:pPr>
        <w:spacing w:after="160" w:line="276"/>
      </w:pPr>
      <w:r>
        <w:rPr>
          <w:rFonts w:ascii="Arial" w:cs="Arial" w:eastAsia="Arial" w:hAnsi="Arial"/>
          <w:color w:val="000000"/>
          <w:sz w:val="22"/>
          <w:szCs w:val="22"/>
        </w:rPr>
        <w:t xml:space="preserve">A detail that has received insufficient attention: the removal of Epstein’s body involved a deception operation. Staff loaded a decoy into a white Medical Examiner’s van for reporters to follow, while the actual body was removed in a separate black vehicle that departed “unnoticed.” The institution that was supposedly responsible for Epstein’s safety actively conducted an operational deception around the removal of his remains. This is not negligence. This is operational security.</w:t>
      </w:r>
    </w:p>
    <w:p>
      <w:pPr>
        <w:spacing w:after="160" w:line="276"/>
      </w:pPr>
      <w:r>
        <w:rPr>
          <w:rFonts w:ascii="Arial" w:cs="Arial" w:eastAsia="Arial" w:hAnsi="Arial"/>
          <w:color w:val="000000"/>
          <w:sz w:val="22"/>
          <w:szCs w:val="22"/>
        </w:rPr>
        <w:t xml:space="preserve">The DOJ Inspector General’s report concluded there were “numerous and serious failures” but found “no evidence of foul play.”</w:t>
      </w:r>
    </w:p>
    <w:p>
      <w:pPr>
        <w:pStyle w:val="Heading1"/>
        <w:spacing w:before="360" w:after="200"/>
      </w:pPr>
      <w:r>
        <w:rPr>
          <w:rFonts w:ascii="Arial" w:cs="Arial" w:eastAsia="Arial" w:hAnsi="Arial"/>
          <w:b/>
          <w:bCs/>
          <w:color w:val="1B3A5C"/>
          <w:sz w:val="28"/>
          <w:szCs w:val="28"/>
        </w:rPr>
        <w:t xml:space="preserve">Component 9: The 2026 Document Release Pattern</w:t>
      </w:r>
    </w:p>
    <w:p>
      <w:pPr>
        <w:spacing w:after="160" w:line="276"/>
      </w:pPr>
      <w:r>
        <w:rPr>
          <w:rFonts w:ascii="Arial" w:cs="Arial" w:eastAsia="Arial" w:hAnsi="Arial"/>
          <w:color w:val="000000"/>
          <w:sz w:val="22"/>
          <w:szCs w:val="22"/>
        </w:rPr>
        <w:t xml:space="preserve">The Epstein Files Transparency Act (EFTA) mandated the release of federal documents related to the Epstein investigation. As of February 2026, approximately 3.5 million pages of 6 million identified documents have been released. Analysis of the release reveals a directional pattern in what was exposed and what was protected.</w:t>
      </w:r>
    </w:p>
    <w:p>
      <w:pPr>
        <w:pStyle w:val="Heading2"/>
        <w:spacing w:before="280" w:after="160"/>
      </w:pPr>
      <w:r>
        <w:rPr>
          <w:rFonts w:ascii="Arial" w:cs="Arial" w:eastAsia="Arial" w:hAnsi="Arial"/>
          <w:b/>
          <w:bCs/>
          <w:color w:val="1B3A5C"/>
          <w:sz w:val="24"/>
          <w:szCs w:val="24"/>
        </w:rPr>
        <w:t xml:space="preserve">What Was Exposed: Victims</w:t>
      </w:r>
    </w:p>
    <w:p>
      <w:pPr>
        <w:pStyle w:val="ListParagraph"/>
        <w:numPr>
          <w:ilvl w:val="0"/>
          <w:numId w:val="2"/>
        </w:numPr>
        <w:spacing w:after="100" w:line="276"/>
      </w:pPr>
      <w:r>
        <w:rPr>
          <w:rFonts w:ascii="Arial" w:cs="Arial" w:eastAsia="Arial" w:hAnsi="Arial"/>
          <w:sz w:val="22"/>
          <w:szCs w:val="22"/>
        </w:rPr>
        <w:t xml:space="preserve">At least 43 victims’ full names are visible in released documents, some appearing over 100 times.</w:t>
      </w:r>
    </w:p>
    <w:p>
      <w:pPr>
        <w:pStyle w:val="ListParagraph"/>
        <w:numPr>
          <w:ilvl w:val="0"/>
          <w:numId w:val="2"/>
        </w:numPr>
        <w:spacing w:after="100" w:line="276"/>
      </w:pPr>
      <w:r>
        <w:rPr>
          <w:rFonts w:ascii="Arial" w:cs="Arial" w:eastAsia="Arial" w:hAnsi="Arial"/>
          <w:sz w:val="22"/>
          <w:szCs w:val="22"/>
        </w:rPr>
        <w:t xml:space="preserve">Nude photographs of victims with faces visible were included in the release.</w:t>
      </w:r>
    </w:p>
    <w:p>
      <w:pPr>
        <w:pStyle w:val="ListParagraph"/>
        <w:numPr>
          <w:ilvl w:val="0"/>
          <w:numId w:val="2"/>
        </w:numPr>
        <w:spacing w:after="100" w:line="276"/>
      </w:pPr>
      <w:r>
        <w:rPr>
          <w:rFonts w:ascii="Arial" w:cs="Arial" w:eastAsia="Arial" w:hAnsi="Arial"/>
          <w:sz w:val="22"/>
          <w:szCs w:val="22"/>
        </w:rPr>
        <w:t xml:space="preserve">One victim’s banking information appeared 51 times across released documents. She subsequently received death threats.</w:t>
      </w:r>
    </w:p>
    <w:p>
      <w:pPr>
        <w:pStyle w:val="ListParagraph"/>
        <w:numPr>
          <w:ilvl w:val="0"/>
          <w:numId w:val="2"/>
        </w:numPr>
        <w:spacing w:after="160" w:line="276"/>
      </w:pPr>
      <w:r>
        <w:rPr>
          <w:rFonts w:ascii="Arial" w:cs="Arial" w:eastAsia="Arial" w:hAnsi="Arial"/>
          <w:sz w:val="22"/>
          <w:szCs w:val="22"/>
        </w:rPr>
        <w:t xml:space="preserve">Names, addresses, and phone numbers of survivors were released without adequate redaction.</w:t>
      </w:r>
    </w:p>
    <w:p>
      <w:pPr>
        <w:pStyle w:val="Heading2"/>
        <w:spacing w:before="280" w:after="160"/>
      </w:pPr>
      <w:r>
        <w:rPr>
          <w:rFonts w:ascii="Arial" w:cs="Arial" w:eastAsia="Arial" w:hAnsi="Arial"/>
          <w:b/>
          <w:bCs/>
          <w:color w:val="1B3A5C"/>
          <w:sz w:val="24"/>
          <w:szCs w:val="24"/>
        </w:rPr>
        <w:t xml:space="preserve">What Was Redacted: Enablers and Co-conspirators</w:t>
      </w:r>
    </w:p>
    <w:p>
      <w:pPr>
        <w:pStyle w:val="ListParagraph"/>
        <w:numPr>
          <w:ilvl w:val="0"/>
          <w:numId w:val="2"/>
        </w:numPr>
        <w:spacing w:after="100" w:line="276"/>
      </w:pPr>
      <w:r>
        <w:rPr>
          <w:rFonts w:ascii="Arial" w:cs="Arial" w:eastAsia="Arial" w:hAnsi="Arial"/>
          <w:sz w:val="22"/>
          <w:szCs w:val="22"/>
        </w:rPr>
        <w:t xml:space="preserve">All senders in procurement emails (“your littlest girl,” “Age 10,” “3 very good young poor”) are redacted.</w:t>
      </w:r>
    </w:p>
    <w:p>
      <w:pPr>
        <w:pStyle w:val="ListParagraph"/>
        <w:numPr>
          <w:ilvl w:val="0"/>
          <w:numId w:val="2"/>
        </w:numPr>
        <w:spacing w:after="100" w:line="276"/>
      </w:pPr>
      <w:r>
        <w:rPr>
          <w:rFonts w:ascii="Arial" w:cs="Arial" w:eastAsia="Arial" w:hAnsi="Arial"/>
          <w:sz w:val="22"/>
          <w:szCs w:val="22"/>
        </w:rPr>
        <w:t xml:space="preserve">A draft federal indictment naming three co-conspirators who “persuade[d], induce[d], and entice[d]” minors has all three names redacted.</w:t>
      </w:r>
    </w:p>
    <w:p>
      <w:pPr>
        <w:pStyle w:val="ListParagraph"/>
        <w:numPr>
          <w:ilvl w:val="0"/>
          <w:numId w:val="2"/>
        </w:numPr>
        <w:spacing w:after="100" w:line="276"/>
      </w:pPr>
      <w:r>
        <w:rPr>
          <w:rFonts w:ascii="Arial" w:cs="Arial" w:eastAsia="Arial" w:hAnsi="Arial"/>
          <w:sz w:val="22"/>
          <w:szCs w:val="22"/>
        </w:rPr>
        <w:t xml:space="preserve">Trump’s face in a news article screenshot was blacked out with a box.</w:t>
      </w:r>
    </w:p>
    <w:p>
      <w:pPr>
        <w:pStyle w:val="ListParagraph"/>
        <w:numPr>
          <w:ilvl w:val="0"/>
          <w:numId w:val="2"/>
        </w:numPr>
        <w:spacing w:after="100" w:line="276"/>
      </w:pPr>
      <w:r>
        <w:rPr>
          <w:rFonts w:ascii="Arial" w:cs="Arial" w:eastAsia="Arial" w:hAnsi="Arial"/>
          <w:sz w:val="22"/>
          <w:szCs w:val="22"/>
        </w:rPr>
        <w:t xml:space="preserve">Several individuals in the FBI’s Epstein “inner circle” diagram are blacked out.</w:t>
      </w:r>
    </w:p>
    <w:p>
      <w:pPr>
        <w:pStyle w:val="ListParagraph"/>
        <w:numPr>
          <w:ilvl w:val="0"/>
          <w:numId w:val="2"/>
        </w:numPr>
        <w:spacing w:after="160" w:line="276"/>
      </w:pPr>
      <w:r>
        <w:rPr>
          <w:rFonts w:ascii="Arial" w:cs="Arial" w:eastAsia="Arial" w:hAnsi="Arial"/>
          <w:sz w:val="22"/>
          <w:szCs w:val="22"/>
        </w:rPr>
        <w:t xml:space="preserve">Inconsistent redaction: a Paris modeling agency’s name is visible in one copy of an email and redacted in another, revealing either incompetence or selective application.</w:t>
      </w:r>
    </w:p>
    <w:p>
      <w:pPr>
        <w:pStyle w:val="ListParagraph"/>
        <w:numPr>
          <w:ilvl w:val="0"/>
          <w:numId w:val="2"/>
        </w:numPr>
        <w:spacing w:after="100" w:line="276"/>
      </w:pPr>
      <w:r>
        <w:rPr>
          <w:rFonts w:ascii="Arial" w:cs="Arial" w:eastAsia="Arial" w:hAnsi="Arial"/>
          <w:sz w:val="22"/>
          <w:szCs w:val="22"/>
        </w:rPr>
        <w:t xml:space="preserve">Amateur sleuths used Photoshop to reverse digital redactions in the first round of files, revealing information officials intended to withhold—the DOJ had failed to properly flatten its redaction layers.</w:t>
      </w:r>
    </w:p>
    <w:p>
      <w:pPr>
        <w:pStyle w:val="ListParagraph"/>
        <w:numPr>
          <w:ilvl w:val="0"/>
          <w:numId w:val="2"/>
        </w:numPr>
        <w:spacing w:after="160" w:line="276"/>
      </w:pPr>
      <w:r>
        <w:rPr>
          <w:rFonts w:ascii="Arial" w:cs="Arial" w:eastAsia="Arial" w:hAnsi="Arial"/>
          <w:sz w:val="22"/>
          <w:szCs w:val="22"/>
        </w:rPr>
        <w:t xml:space="preserve">Despite claiming to protect victims, the final batch included approximately 40 unredacted nude images of young women, exposing seven individuals in direct violation of EFTA requirements (per the New York Times).</w:t>
      </w:r>
    </w:p>
    <w:p>
      <w:pPr>
        <w:pStyle w:val="Heading2"/>
        <w:spacing w:before="280" w:after="160"/>
      </w:pPr>
      <w:r>
        <w:rPr>
          <w:rFonts w:ascii="Arial" w:cs="Arial" w:eastAsia="Arial" w:hAnsi="Arial"/>
          <w:b/>
          <w:bCs/>
          <w:color w:val="1B3A5C"/>
          <w:sz w:val="24"/>
          <w:szCs w:val="24"/>
        </w:rPr>
        <w:t xml:space="preserve">The FBI Redaction Email</w:t>
      </w:r>
    </w:p>
    <w:p>
      <w:pPr>
        <w:spacing w:after="160" w:line="276"/>
      </w:pPr>
      <w:r>
        <w:rPr>
          <w:rFonts w:ascii="Arial" w:cs="Arial" w:eastAsia="Arial" w:hAnsi="Arial"/>
          <w:color w:val="000000"/>
          <w:sz w:val="22"/>
          <w:szCs w:val="22"/>
        </w:rPr>
        <w:t xml:space="preserve">A March 2025 internal FBI email—discovered within the January 30, 2026 release itself—shows personnel under FBI Director Kash Patel requesting “clear and specific guidance” on how to redact images involving “victims, unknown-unidentified females and males, former U.S. Presidents, Secretary of State, and other celebrities.” This directly contradicts Deputy AG Blanche’s public statement that “we didn’t protect or not protect anybody.” The guidance explicitly grouped victims and powerful figures together as categories requiring protection—the same structural conflation visible throughout the release.</w:t>
      </w:r>
    </w:p>
    <w:p>
      <w:pPr>
        <w:spacing w:after="160" w:line="276"/>
      </w:pPr>
      <w:r>
        <w:rPr>
          <w:rFonts w:ascii="Arial" w:cs="Arial" w:eastAsia="Arial" w:hAnsi="Arial"/>
          <w:color w:val="000000"/>
          <w:sz w:val="22"/>
          <w:szCs w:val="22"/>
        </w:rPr>
        <w:t xml:space="preserve">A watchdog complaint filed in early February 2026 (reported by Axios) noted that only a “handful” of communications from Attorney General Pam Bondi, Deputy AG Blanche, and FBI Director Patel appear in the released files, despite these three officials being at the center of the release process. The complaint stated: “The obvious conclusion is that these communications have been withheld, destroyed, or redacted to the point that they are not traceable in the Epstein Library.”</w:t>
      </w:r>
    </w:p>
    <w:p>
      <w:pPr>
        <w:pStyle w:val="Heading2"/>
        <w:spacing w:before="280" w:after="160"/>
      </w:pPr>
      <w:r>
        <w:rPr>
          <w:rFonts w:ascii="Arial" w:cs="Arial" w:eastAsia="Arial" w:hAnsi="Arial"/>
          <w:b/>
          <w:bCs/>
          <w:color w:val="1B3A5C"/>
          <w:sz w:val="24"/>
          <w:szCs w:val="24"/>
        </w:rPr>
        <w:t xml:space="preserve">DOJ Justifications</w:t>
      </w:r>
    </w:p>
    <w:p>
      <w:pPr>
        <w:spacing w:after="160" w:line="276"/>
      </w:pPr>
      <w:r>
        <w:rPr>
          <w:rFonts w:ascii="Arial" w:cs="Arial" w:eastAsia="Arial" w:hAnsi="Arial"/>
          <w:color w:val="000000"/>
          <w:sz w:val="22"/>
          <w:szCs w:val="22"/>
        </w:rPr>
        <w:t xml:space="preserve">The DOJ publicly stated: “We did not redact any names of men, only female victims.” However, this claim is undercut by the draft indictment redactions, which could include men described by role. Separately, the DOJ stated: “In many instances, those who were originally victims became participants and co-conspirators.” This creates a legal loophole permitting the redaction of anyone involved in procurement by classifying them as former victims.</w:t>
      </w:r>
    </w:p>
    <w:p>
      <w:pPr>
        <w:spacing w:after="160" w:line="276"/>
      </w:pPr>
      <w:r>
        <w:rPr>
          <w:rFonts w:ascii="Arial" w:cs="Arial" w:eastAsia="Arial" w:hAnsi="Arial"/>
          <w:color w:val="000000"/>
          <w:sz w:val="22"/>
          <w:szCs w:val="22"/>
        </w:rPr>
        <w:t xml:space="preserve">Deputy Attorney General Todd Blanche stated: “There’s nothing in there that would allow us to prosecute anybody.” The case is essentially closed.</w:t>
      </w:r>
    </w:p>
    <w:p>
      <w:pPr>
        <w:spacing w:after="160" w:line="276"/>
      </w:pPr>
      <w:r>
        <w:rPr>
          <w:rFonts w:ascii="Arial" w:cs="Arial" w:eastAsia="Arial" w:hAnsi="Arial"/>
          <w:color w:val="000000"/>
          <w:sz w:val="22"/>
          <w:szCs w:val="22"/>
        </w:rPr>
        <w:t xml:space="preserve">An additional 200,000 pages are withheld under “deliberative process privilege, work-product doctrine, and attorney-client privilege.” The remaining 2.5 million unprocessed pages have no announced release timeline.</w:t>
      </w:r>
    </w:p>
    <w:p>
      <w:pPr>
        <w:pStyle w:val="Heading2"/>
        <w:spacing w:before="280" w:after="160"/>
      </w:pPr>
      <w:r>
        <w:rPr>
          <w:rFonts w:ascii="Arial" w:cs="Arial" w:eastAsia="Arial" w:hAnsi="Arial"/>
          <w:b/>
          <w:bCs/>
          <w:color w:val="1B3A5C"/>
          <w:sz w:val="24"/>
          <w:szCs w:val="24"/>
        </w:rPr>
        <w:t xml:space="preserve">Survivor Response</w:t>
      </w:r>
    </w:p>
    <w:p>
      <w:pPr>
        <w:spacing w:after="160" w:line="276"/>
        <w:ind w:left="720" w:right="720"/>
      </w:pPr>
      <w:r>
        <w:rPr>
          <w:rFonts w:ascii="Arial" w:cs="Arial" w:eastAsia="Arial" w:hAnsi="Arial"/>
          <w:i/>
          <w:iCs/>
          <w:color w:val="444444"/>
          <w:sz w:val="21"/>
          <w:szCs w:val="21"/>
        </w:rPr>
        <w:t xml:space="preserve">"Publishing images of victims while shielding predators is just a failure of complete justice." — Sharlene Rochard, Epstein survivor</w:t>
      </w:r>
    </w:p>
    <w:p>
      <w:pPr>
        <w:spacing w:after="160" w:line="276"/>
        <w:ind w:left="720" w:right="720"/>
      </w:pPr>
      <w:r>
        <w:rPr>
          <w:rFonts w:ascii="Arial" w:cs="Arial" w:eastAsia="Arial" w:hAnsi="Arial"/>
          <w:i/>
          <w:iCs/>
          <w:color w:val="444444"/>
          <w:sz w:val="21"/>
          <w:szCs w:val="21"/>
        </w:rPr>
        <w:t xml:space="preserve">"The DOJ has protected the Epstein class with blanket redactions in some areas while failing to protect the identities of survivors in other areas." — Rep. Ro Khanna</w:t>
      </w:r>
    </w:p>
    <w:p>
      <w:pPr>
        <w:pStyle w:val="Heading1"/>
        <w:spacing w:before="360" w:after="200"/>
      </w:pPr>
      <w:r>
        <w:rPr>
          <w:rFonts w:ascii="Arial" w:cs="Arial" w:eastAsia="Arial" w:hAnsi="Arial"/>
          <w:b/>
          <w:bCs/>
          <w:color w:val="1B3A5C"/>
          <w:sz w:val="28"/>
          <w:szCs w:val="28"/>
        </w:rPr>
        <w:t xml:space="preserve">Component 10: The Targeting of the Sacred</w:t>
      </w:r>
    </w:p>
    <w:p>
      <w:pPr>
        <w:spacing w:after="160" w:line="276"/>
      </w:pPr>
      <w:r>
        <w:rPr>
          <w:rFonts w:ascii="Arial" w:cs="Arial" w:eastAsia="Arial" w:hAnsi="Arial"/>
          <w:color w:val="000000"/>
          <w:sz w:val="22"/>
          <w:szCs w:val="22"/>
        </w:rPr>
        <w:t xml:space="preserve">Among the most disturbing primary source documents is an email exchange that reveals not merely abuse, but the deliberate targeting of a child’s spiritual faith as a vector for exploitation.</w:t>
      </w:r>
    </w:p>
    <w:p>
      <w:pPr>
        <w:pStyle w:val="Heading2"/>
        <w:spacing w:before="280" w:after="160"/>
      </w:pPr>
      <w:r>
        <w:rPr>
          <w:rFonts w:ascii="Arial" w:cs="Arial" w:eastAsia="Arial" w:hAnsi="Arial"/>
          <w:b/>
          <w:bCs/>
          <w:color w:val="1B3A5C"/>
          <w:sz w:val="24"/>
          <w:szCs w:val="24"/>
        </w:rPr>
        <w:t xml:space="preserve">Primary Source Document</w:t>
      </w:r>
    </w:p>
    <w:p>
      <w:pPr>
        <w:spacing w:after="160" w:line="276"/>
      </w:pPr>
      <w:r>
        <w:rPr>
          <w:rFonts w:ascii="Arial" w:cs="Arial" w:eastAsia="Arial" w:hAnsi="Arial"/>
          <w:color w:val="000000"/>
          <w:sz w:val="22"/>
          <w:szCs w:val="22"/>
        </w:rPr>
        <w:t xml:space="preserve">Email dated July 19, 2011 (Document ID: EFTA_R1_00259560, EFTA01859988):</w:t>
      </w:r>
    </w:p>
    <w:p>
      <w:pPr>
        <w:spacing w:after="160" w:line="276"/>
      </w:pPr>
      <w:r>
        <w:rPr>
          <w:rFonts w:ascii="Arial" w:cs="Arial" w:eastAsia="Arial" w:hAnsi="Arial"/>
          <w:b/>
          <w:bCs/>
          <w:color w:val="000000"/>
          <w:sz w:val="22"/>
          <w:szCs w:val="22"/>
        </w:rPr>
        <w:t xml:space="preserve">Epstein to redacted recipient: </w:t>
      </w:r>
      <w:r>
        <w:rPr>
          <w:rFonts w:ascii="Arial" w:cs="Arial" w:eastAsia="Arial" w:hAnsi="Arial"/>
          <w:i/>
          <w:iCs/>
          <w:color w:val="000000"/>
          <w:sz w:val="22"/>
          <w:szCs w:val="22"/>
        </w:rPr>
        <w:t xml:space="preserve">"[redacted name] said that she felt gods presence next to her when she was in bed.. she knows that jesus watches over her. and he helped save her life. Whoops"</w:t>
      </w:r>
    </w:p>
    <w:p>
      <w:pPr>
        <w:spacing w:after="160" w:line="276"/>
      </w:pPr>
      <w:r>
        <w:rPr>
          <w:rFonts w:ascii="Arial" w:cs="Arial" w:eastAsia="Arial" w:hAnsi="Arial"/>
          <w:b/>
          <w:bCs/>
          <w:color w:val="000000"/>
          <w:sz w:val="22"/>
          <w:szCs w:val="22"/>
        </w:rPr>
        <w:t xml:space="preserve">Reply: </w:t>
      </w:r>
      <w:r>
        <w:rPr>
          <w:rFonts w:ascii="Arial" w:cs="Arial" w:eastAsia="Arial" w:hAnsi="Arial"/>
          <w:i/>
          <w:iCs/>
          <w:color w:val="000000"/>
          <w:sz w:val="22"/>
          <w:szCs w:val="22"/>
        </w:rPr>
        <w:t xml:space="preserve">"you should dress up as him when you see her"</w:t>
      </w:r>
    </w:p>
    <w:p>
      <w:pPr>
        <w:pStyle w:val="Heading2"/>
        <w:spacing w:before="280" w:after="160"/>
      </w:pPr>
      <w:r>
        <w:rPr>
          <w:rFonts w:ascii="Arial" w:cs="Arial" w:eastAsia="Arial" w:hAnsi="Arial"/>
          <w:b/>
          <w:bCs/>
          <w:color w:val="1B3A5C"/>
          <w:sz w:val="24"/>
          <w:szCs w:val="24"/>
        </w:rPr>
        <w:t xml:space="preserve">Analysis</w:t>
      </w:r>
    </w:p>
    <w:p>
      <w:pPr>
        <w:spacing w:after="160" w:line="276"/>
      </w:pPr>
      <w:r>
        <w:rPr>
          <w:rFonts w:ascii="Arial" w:cs="Arial" w:eastAsia="Arial" w:hAnsi="Arial"/>
          <w:color w:val="000000"/>
          <w:sz w:val="22"/>
          <w:szCs w:val="22"/>
        </w:rPr>
        <w:t xml:space="preserve">A child is describing feeling God’s presence beside her in bed. She believes Jesus watches over her. He helped save her life. Her religious faith is her protective mechanism—possibly the only source of safety available to her. Epstein forwards this to an associate with “Whoops.” The associate’s response—“you should dress up as him when you see her”—proposes weaponizing the child’s faith, impersonating the figure she trusts for protection in order to gain access to her.</w:t>
      </w:r>
    </w:p>
    <w:p>
      <w:pPr>
        <w:spacing w:after="160" w:line="276"/>
      </w:pPr>
      <w:r>
        <w:rPr>
          <w:rFonts w:ascii="Arial" w:cs="Arial" w:eastAsia="Arial" w:hAnsi="Arial"/>
          <w:color w:val="000000"/>
          <w:sz w:val="22"/>
          <w:szCs w:val="22"/>
        </w:rPr>
        <w:t xml:space="preserve">This email bears an attorney-client privilege disclaimer: “attorney-client privileged, may constitute inside information.” A convicted sex offender was building legal shields around communications about the exploitation of a child’s religious faith.</w:t>
      </w:r>
    </w:p>
    <w:p>
      <w:pPr>
        <w:spacing w:after="160" w:line="276"/>
      </w:pPr>
      <w:r>
        <w:rPr>
          <w:rFonts w:ascii="Arial" w:cs="Arial" w:eastAsia="Arial" w:hAnsi="Arial"/>
          <w:color w:val="000000"/>
          <w:sz w:val="22"/>
          <w:szCs w:val="22"/>
        </w:rPr>
        <w:t xml:space="preserve">The word “Whoops” appears over 400 times in the released files and has been flagged by researchers as a recurring term in Epstein’s communications.</w:t>
      </w:r>
    </w:p>
    <w:p>
      <w:pPr>
        <w:pStyle w:val="Heading2"/>
        <w:spacing w:before="280" w:after="160"/>
      </w:pPr>
      <w:r>
        <w:rPr>
          <w:rFonts w:ascii="Arial" w:cs="Arial" w:eastAsia="Arial" w:hAnsi="Arial"/>
          <w:b/>
          <w:bCs/>
          <w:color w:val="1B3A5C"/>
          <w:sz w:val="24"/>
          <w:szCs w:val="24"/>
        </w:rPr>
        <w:t xml:space="preserve">Connection to Transhumanist Ideology</w:t>
      </w:r>
    </w:p>
    <w:p>
      <w:pPr>
        <w:spacing w:after="160" w:line="276"/>
      </w:pPr>
      <w:r>
        <w:rPr>
          <w:rFonts w:ascii="Arial" w:cs="Arial" w:eastAsia="Arial" w:hAnsi="Arial"/>
          <w:color w:val="000000"/>
          <w:sz w:val="22"/>
          <w:szCs w:val="22"/>
        </w:rPr>
        <w:t xml:space="preserve">This email is consistent with a broader pattern visible in Epstein’s documented ideology. The cloning conversations, the eugenics plans, the “I’ll make it without a head” statement—these reveal a worldview in which other human beings have no inherent worth. People are material. Consciousness is an inconvenience to be engineered around. A child’s faith is not sacred—it is a vulnerability to be exploited. The “Whoops” is the sound of someone who finds a child’s belief in divine protection amusing.</w:t>
      </w:r>
    </w:p>
    <w:p>
      <w:pPr>
        <w:pStyle w:val="Heading1"/>
        <w:spacing w:before="360" w:after="200"/>
      </w:pPr>
      <w:r>
        <w:rPr>
          <w:rFonts w:ascii="Arial" w:cs="Arial" w:eastAsia="Arial" w:hAnsi="Arial"/>
          <w:b/>
          <w:bCs/>
          <w:color w:val="1B3A5C"/>
          <w:sz w:val="28"/>
          <w:szCs w:val="28"/>
        </w:rPr>
        <w:t xml:space="preserve">Appendix A: The Coded Language Question</w:t>
      </w:r>
    </w:p>
    <w:p>
      <w:pPr>
        <w:spacing w:after="160" w:line="276"/>
      </w:pPr>
      <w:r>
        <w:rPr>
          <w:rFonts w:ascii="Arial" w:cs="Arial" w:eastAsia="Arial" w:hAnsi="Arial"/>
          <w:color w:val="000000"/>
          <w:sz w:val="22"/>
          <w:szCs w:val="22"/>
        </w:rPr>
        <w:t xml:space="preserve">Significant public attention has focused on whether Epstein’s circle used food-related code words (pizza, cheese, hot dogs, etc.) as substitutes for references to children and abuse. This question warrants careful examination.</w:t>
      </w:r>
    </w:p>
    <w:p>
      <w:pPr>
        <w:pStyle w:val="Heading2"/>
        <w:spacing w:before="280" w:after="160"/>
      </w:pPr>
      <w:r>
        <w:rPr>
          <w:rFonts w:ascii="Arial" w:cs="Arial" w:eastAsia="Arial" w:hAnsi="Arial"/>
          <w:b/>
          <w:bCs/>
          <w:color w:val="1B3A5C"/>
          <w:sz w:val="24"/>
          <w:szCs w:val="24"/>
        </w:rPr>
        <w:t xml:space="preserve">The FBI Code List: Provenance</w:t>
      </w:r>
    </w:p>
    <w:p>
      <w:pPr>
        <w:spacing w:after="160" w:line="276"/>
      </w:pPr>
      <w:r>
        <w:rPr>
          <w:rFonts w:ascii="Arial" w:cs="Arial" w:eastAsia="Arial" w:hAnsi="Arial"/>
          <w:color w:val="000000"/>
          <w:sz w:val="22"/>
          <w:szCs w:val="22"/>
        </w:rPr>
        <w:t xml:space="preserve">A widely circulated document purporting to be an “FBI food code list” (pizza = girl, cheese = little girl, hot dog = boy, etc.) does not originate from the FBI. It traces to anonymous posts on 4chan and a persona calling themselves “FBIAnon” in late 2016. This fabricated list was subsequently grafted onto a real 2007 FBI document (released via WikiLeaks) that catalogs symbols and logos used by pedophiles to identify each other. The real FBI document is verified; the food code list appended to it is not.</w:t>
      </w:r>
    </w:p>
    <w:p>
      <w:pPr>
        <w:spacing w:after="160" w:line="276"/>
      </w:pPr>
      <w:r>
        <w:rPr>
          <w:rFonts w:ascii="Arial" w:cs="Arial" w:eastAsia="Arial" w:hAnsi="Arial"/>
          <w:color w:val="000000"/>
          <w:sz w:val="22"/>
          <w:szCs w:val="22"/>
        </w:rPr>
        <w:t xml:space="preserve">However, the underlying phenomenon is real. A parent safety advocate identified as “India” confirmed in a Telegraph interview that pizza and cheese emojis are used by predators on social media platforms to identify and trade child sexual abuse material. The mechanism exists; the specific “FBI bulletin” claiming to document it does not.</w:t>
      </w:r>
    </w:p>
    <w:p>
      <w:pPr>
        <w:pStyle w:val="Heading2"/>
        <w:spacing w:before="280" w:after="160"/>
      </w:pPr>
      <w:r>
        <w:rPr>
          <w:rFonts w:ascii="Arial" w:cs="Arial" w:eastAsia="Arial" w:hAnsi="Arial"/>
          <w:b/>
          <w:bCs/>
          <w:color w:val="1B3A5C"/>
          <w:sz w:val="24"/>
          <w:szCs w:val="24"/>
        </w:rPr>
        <w:t xml:space="preserve">Food References in the Epstein Files: Pizza and Cheese</w:t>
      </w:r>
    </w:p>
    <w:p>
      <w:pPr>
        <w:spacing w:after="160" w:line="276"/>
      </w:pPr>
      <w:r>
        <w:rPr>
          <w:rFonts w:ascii="Arial" w:cs="Arial" w:eastAsia="Arial" w:hAnsi="Arial"/>
          <w:color w:val="000000"/>
          <w:sz w:val="22"/>
          <w:szCs w:val="22"/>
        </w:rPr>
        <w:t xml:space="preserve">Analysis of the 3.5 million released pages identifies 859 mentions of “pizza” and 1,138 mentions of “cheese.” Most are mundane. Some are not. The most credible analytical framework comes from Cypher News, which characterizes the language not as precise criminal codes but as “deliberately juvenile euphemisms used as social camouflage inside a deviant subculture.” Pizza, grape soda, Pop-Tarts—these are elementary-school treats, sleepover food, birthday party language. Their use between wealthy, powerful adults in the context of a documented child exploitation operation creates what researchers call in-group bonding through shared regression.</w:t>
      </w:r>
    </w:p>
    <w:p>
      <w:pPr>
        <w:pStyle w:val="Heading2"/>
        <w:spacing w:before="280" w:after="160"/>
      </w:pPr>
      <w:r>
        <w:rPr>
          <w:rFonts w:ascii="Arial" w:cs="Arial" w:eastAsia="Arial" w:hAnsi="Arial"/>
          <w:b/>
          <w:bCs/>
          <w:color w:val="1B3A5C"/>
          <w:sz w:val="24"/>
          <w:szCs w:val="24"/>
        </w:rPr>
        <w:t xml:space="preserve">Food References in the Epstein Files: Jerky and “Cannibal”</w:t>
      </w:r>
    </w:p>
    <w:p>
      <w:pPr>
        <w:spacing w:after="160" w:line="276"/>
      </w:pPr>
      <w:r>
        <w:rPr>
          <w:rFonts w:ascii="Arial" w:cs="Arial" w:eastAsia="Arial" w:hAnsi="Arial"/>
          <w:color w:val="000000"/>
          <w:sz w:val="22"/>
          <w:szCs w:val="22"/>
        </w:rPr>
        <w:t xml:space="preserve">The word “jerky” appears 383 or more times in the released files. References include discussions of beef jerky shipments, storage instructions involving freezers, “white tuna jerky,” shipments sent specifically to Little St. James Island, jerky sent to labs for unspecified analysis, and Epstein discussing eating “month-old jerky.” One email from Epstein to an unknown recipient references “a restaurant called Cannibal.”</w:t>
      </w:r>
    </w:p>
    <w:p>
      <w:pPr>
        <w:spacing w:after="160" w:line="276"/>
      </w:pPr>
      <w:r>
        <w:rPr>
          <w:rFonts w:ascii="Arial" w:cs="Arial" w:eastAsia="Arial" w:hAnsi="Arial"/>
          <w:color w:val="000000"/>
          <w:sz w:val="22"/>
          <w:szCs w:val="22"/>
        </w:rPr>
        <w:t xml:space="preserve">The Cannibal Beer &amp; Butcher was a real gastropub at 113 East 29th Street in New York City, named after Belgian cyclist Eddy Merckx, whose nickname was “The Cannibal” due to his relentless competitive style. The restaurant’s executive chef, Francis Derby, is documented in food criticism and reviews. Multiple outlets, including CBS New York, profiled the establishment’s house-made beef jerky. The restaurant’s existence is verified and its menu is documented.</w:t>
      </w:r>
    </w:p>
    <w:p>
      <w:pPr>
        <w:spacing w:after="160" w:line="276"/>
      </w:pPr>
      <w:r>
        <w:rPr>
          <w:rFonts w:ascii="Arial" w:cs="Arial" w:eastAsia="Arial" w:hAnsi="Arial"/>
          <w:color w:val="000000"/>
          <w:sz w:val="22"/>
          <w:szCs w:val="22"/>
        </w:rPr>
        <w:t xml:space="preserve">The word “cannibal” appears 52 times across the 3.5 million released pages. “Cannibalism” appears 6 times. Independent reviews by Snopes and other fact-checkers traced these occurrences to heterogeneous contexts: media digests, an academic syllabus, a conversational transcript between Epstein and a man identified as “Richard,” the restaurant email, and similar incidental mentions. None constituted a corroborated eyewitness account of cannibalistic acts.</w:t>
      </w:r>
    </w:p>
    <w:p>
      <w:pPr>
        <w:pStyle w:val="Heading2"/>
        <w:spacing w:before="280" w:after="160"/>
      </w:pPr>
      <w:r>
        <w:rPr>
          <w:rFonts w:ascii="Arial" w:cs="Arial" w:eastAsia="Arial" w:hAnsi="Arial"/>
          <w:b/>
          <w:bCs/>
          <w:color w:val="1B3A5C"/>
          <w:sz w:val="24"/>
          <w:szCs w:val="24"/>
        </w:rPr>
        <w:t xml:space="preserve">The Unverified FBI Interview</w:t>
      </w:r>
    </w:p>
    <w:p>
      <w:pPr>
        <w:spacing w:after="160" w:line="276"/>
      </w:pPr>
      <w:r>
        <w:rPr>
          <w:rFonts w:ascii="Arial" w:cs="Arial" w:eastAsia="Arial" w:hAnsi="Arial"/>
          <w:color w:val="000000"/>
          <w:sz w:val="22"/>
          <w:szCs w:val="22"/>
        </w:rPr>
        <w:t xml:space="preserve">Separately, the files contain a document summarizing a purported 2019 interview between FBI officials and an anonymous man who claimed to have witnessed “ritualistic sacrifice” and “babies being dismembered” on a yacht belonging to Epstein in 2000. According to DOJ records, the man did not provide evidence to support his allegations. He did not allege cannibalism specifically, though he did reference the consumption of human feces. Investigators judged the claims insufficient to warrant further pursuit. This interview is the origin point for many of the most extreme allegations circulating online, but it remains uncorroborated.</w:t>
      </w:r>
    </w:p>
    <w:p>
      <w:pPr>
        <w:pStyle w:val="Heading2"/>
        <w:spacing w:before="280" w:after="160"/>
      </w:pPr>
      <w:r>
        <w:rPr>
          <w:rFonts w:ascii="Arial" w:cs="Arial" w:eastAsia="Arial" w:hAnsi="Arial"/>
          <w:b/>
          <w:bCs/>
          <w:color w:val="1B3A5C"/>
          <w:sz w:val="24"/>
          <w:szCs w:val="24"/>
        </w:rPr>
        <w:t xml:space="preserve">The Jerky Debate: Analytical Context</w:t>
      </w:r>
    </w:p>
    <w:p>
      <w:pPr>
        <w:spacing w:after="160" w:line="276"/>
      </w:pPr>
      <w:r>
        <w:rPr>
          <w:rFonts w:ascii="Arial" w:cs="Arial" w:eastAsia="Arial" w:hAnsi="Arial"/>
          <w:color w:val="000000"/>
          <w:sz w:val="22"/>
          <w:szCs w:val="22"/>
        </w:rPr>
        <w:t xml:space="preserve">The volume of jerky references—383 or more mentions—has generated significant online speculation, particularly when combined with the “Cannibal” restaurant reference and the sulfuric acid purchase documented elsewhere in this report. Skeptics note that Epstein employed household staff and personal chefs, making food logistics emails routine, and that he was described by multiple sources as health-conscious with specific dietary preferences. Proponents of the coded-language interpretation argue that the volume is disproportionate, the contexts are sometimes strange (insulated shipping bags, lab analysis), and the coincidence of terminology warrants deeper criminal inquiry.</w:t>
      </w:r>
    </w:p>
    <w:p>
      <w:pPr>
        <w:spacing w:after="160" w:line="276"/>
      </w:pPr>
      <w:r>
        <w:rPr>
          <w:rFonts w:ascii="Arial" w:cs="Arial" w:eastAsia="Arial" w:hAnsi="Arial"/>
          <w:color w:val="000000"/>
          <w:sz w:val="22"/>
          <w:szCs w:val="22"/>
        </w:rPr>
        <w:t xml:space="preserve">As with the pizza and cheese references, the jerky emails exist in an evidentiary gray zone. The surface reading—a wealthy man with personal chefs and specific food preferences generating routine procurement correspondence—is plausible. But that surface reading sits inside a 3.5-million-page archive belonging to a man who ran a documented child trafficking operation, discussed human cloning without conscience, purchased 330 gallons of sulfuric acid on the same day the FBI opened a trafficking case against him, and whose associates wrote “Age 10” under photographs sent to him. Context transforms what might otherwise be mundane. The question is whether context is sufficient to override the literal reading, and on that question, the released documents do not provide a definitive answer.</w:t>
      </w:r>
    </w:p>
    <w:p>
      <w:pPr>
        <w:pStyle w:val="Heading2"/>
        <w:spacing w:before="280" w:after="160"/>
      </w:pPr>
      <w:r>
        <w:rPr>
          <w:rFonts w:ascii="Arial" w:cs="Arial" w:eastAsia="Arial" w:hAnsi="Arial"/>
          <w:b/>
          <w:bCs/>
          <w:color w:val="1B3A5C"/>
          <w:sz w:val="24"/>
          <w:szCs w:val="24"/>
        </w:rPr>
        <w:t xml:space="preserve">Assessment</w:t>
      </w:r>
    </w:p>
    <w:p>
      <w:pPr>
        <w:spacing w:after="160" w:line="276"/>
      </w:pPr>
      <w:r>
        <w:rPr>
          <w:rFonts w:ascii="Arial" w:cs="Arial" w:eastAsia="Arial" w:hAnsi="Arial"/>
          <w:color w:val="000000"/>
          <w:sz w:val="22"/>
          <w:szCs w:val="22"/>
        </w:rPr>
        <w:t xml:space="preserve">The food code framework is not necessary to establish the nature of Epstein’s operation. The plain-text emails documented in this report—“your littlest girl was a little naughty,” “Age 10,” “3 very good young poor”—demonstrate that participants communicated about child exploitation in barely-veiled language without elaborate ciphers. They did not need codes because the system had shown them, through the 2008 plea deal and decades of institutional silence, that they could say these things without consequences. Code words imply fear of discovery. These emails show people who had none.</w:t>
      </w:r>
    </w:p>
    <w:p>
      <w:pPr>
        <w:pStyle w:val="Heading1"/>
        <w:spacing w:before="360" w:after="200"/>
      </w:pPr>
      <w:r>
        <w:rPr>
          <w:rFonts w:ascii="Arial" w:cs="Arial" w:eastAsia="Arial" w:hAnsi="Arial"/>
          <w:b/>
          <w:bCs/>
          <w:color w:val="1B3A5C"/>
          <w:sz w:val="28"/>
          <w:szCs w:val="28"/>
        </w:rPr>
        <w:t xml:space="preserve">Appendix B: Additional Documented Evidence</w:t>
      </w:r>
    </w:p>
    <w:p>
      <w:pPr>
        <w:pStyle w:val="Heading2"/>
        <w:spacing w:before="280" w:after="160"/>
      </w:pPr>
      <w:r>
        <w:rPr>
          <w:rFonts w:ascii="Arial" w:cs="Arial" w:eastAsia="Arial" w:hAnsi="Arial"/>
          <w:b/>
          <w:bCs/>
          <w:color w:val="1B3A5C"/>
          <w:sz w:val="24"/>
          <w:szCs w:val="24"/>
        </w:rPr>
        <w:t xml:space="preserve">Sulfuric Acid Purchase</w:t>
      </w:r>
    </w:p>
    <w:p>
      <w:pPr>
        <w:spacing w:after="160" w:line="276"/>
      </w:pPr>
      <w:r>
        <w:rPr>
          <w:rFonts w:ascii="Arial" w:cs="Arial" w:eastAsia="Arial" w:hAnsi="Arial"/>
          <w:color w:val="000000"/>
          <w:sz w:val="22"/>
          <w:szCs w:val="22"/>
        </w:rPr>
        <w:t xml:space="preserve">A wire transfer dated December 6, 2018—the same day the FBI’s New York office opened a child sex trafficking case against Epstein—shows LSJE LLC (Epstein’s island holding company) purchasing six 55-gallon drums of sulfuric acid (330 gallons total) from Gemini Seawater Systems. The invoice also includes pH correction services and reverse osmosis cable, consistent with legitimate desalination operations for a private island. The timing, however, remains notable.</w:t>
      </w:r>
    </w:p>
    <w:p>
      <w:pPr>
        <w:pStyle w:val="Heading2"/>
        <w:spacing w:before="280" w:after="160"/>
      </w:pPr>
      <w:r>
        <w:rPr>
          <w:rFonts w:ascii="Arial" w:cs="Arial" w:eastAsia="Arial" w:hAnsi="Arial"/>
          <w:b/>
          <w:bCs/>
          <w:color w:val="1B3A5C"/>
          <w:sz w:val="24"/>
          <w:szCs w:val="24"/>
        </w:rPr>
        <w:t xml:space="preserve">Additional Disturbing Emails</w:t>
      </w:r>
    </w:p>
    <w:p>
      <w:pPr>
        <w:spacing w:after="160" w:line="276"/>
      </w:pPr>
      <w:r>
        <w:rPr>
          <w:rFonts w:ascii="Arial" w:cs="Arial" w:eastAsia="Arial" w:hAnsi="Arial"/>
          <w:i/>
          <w:iCs/>
          <w:color w:val="000000"/>
          <w:sz w:val="22"/>
          <w:szCs w:val="22"/>
        </w:rPr>
        <w:t xml:space="preserve">"where are you? are you ok, I loved the torture video" </w:t>
      </w:r>
      <w:r>
        <w:rPr>
          <w:rFonts w:ascii="Arial" w:cs="Arial" w:eastAsia="Arial" w:hAnsi="Arial"/>
          <w:color w:val="000000"/>
          <w:sz w:val="22"/>
          <w:szCs w:val="22"/>
        </w:rPr>
        <w:t xml:space="preserve">(Epstein, April 24, 2009 — months after release from 18-month sentence)</w:t>
      </w:r>
    </w:p>
    <w:p>
      <w:pPr>
        <w:spacing w:after="160" w:line="276"/>
      </w:pPr>
      <w:r>
        <w:rPr>
          <w:rFonts w:ascii="Arial" w:cs="Arial" w:eastAsia="Arial" w:hAnsi="Arial"/>
          <w:i/>
          <w:iCs/>
          <w:color w:val="000000"/>
          <w:sz w:val="22"/>
          <w:szCs w:val="22"/>
        </w:rPr>
        <w:t xml:space="preserve">"Your Pizza Is YUMMY YUMMY!!" </w:t>
      </w:r>
      <w:r>
        <w:rPr>
          <w:rFonts w:ascii="Arial" w:cs="Arial" w:eastAsia="Arial" w:hAnsi="Arial"/>
          <w:color w:val="000000"/>
          <w:sz w:val="22"/>
          <w:szCs w:val="22"/>
        </w:rPr>
        <w:t xml:space="preserve">(2015, email subject line)</w:t>
      </w:r>
    </w:p>
    <w:p>
      <w:pPr>
        <w:spacing w:after="160" w:line="276"/>
      </w:pPr>
      <w:r>
        <w:rPr>
          <w:rFonts w:ascii="Arial" w:cs="Arial" w:eastAsia="Arial" w:hAnsi="Arial"/>
          <w:i/>
          <w:iCs/>
          <w:color w:val="000000"/>
          <w:sz w:val="22"/>
          <w:szCs w:val="22"/>
        </w:rPr>
        <w:t xml:space="preserve">"there are miilions of babies, very little good vegatble cream cheese" </w:t>
      </w:r>
      <w:r>
        <w:rPr>
          <w:rFonts w:ascii="Arial" w:cs="Arial" w:eastAsia="Arial" w:hAnsi="Arial"/>
          <w:color w:val="000000"/>
          <w:sz w:val="22"/>
          <w:szCs w:val="22"/>
        </w:rPr>
        <w:t xml:space="preserve">(Epstein, July 2009)</w:t>
      </w:r>
    </w:p>
    <w:p>
      <w:pPr>
        <w:spacing w:after="160" w:line="276"/>
      </w:pPr>
      <w:r>
        <w:rPr>
          <w:rFonts w:ascii="Arial" w:cs="Arial" w:eastAsia="Arial" w:hAnsi="Arial"/>
          <w:i/>
          <w:iCs/>
          <w:color w:val="000000"/>
          <w:sz w:val="22"/>
          <w:szCs w:val="22"/>
        </w:rPr>
        <w:t xml:space="preserve">"butt cake sounds great but I need pizza" </w:t>
      </w:r>
      <w:r>
        <w:rPr>
          <w:rFonts w:ascii="Arial" w:cs="Arial" w:eastAsia="Arial" w:hAnsi="Arial"/>
          <w:color w:val="000000"/>
          <w:sz w:val="22"/>
          <w:szCs w:val="22"/>
        </w:rPr>
        <w:t xml:space="preserve">(undated)</w:t>
      </w:r>
    </w:p>
    <w:p>
      <w:pPr>
        <w:spacing w:after="160" w:line="276"/>
      </w:pPr>
      <w:r>
        <w:rPr>
          <w:rFonts w:ascii="Arial" w:cs="Arial" w:eastAsia="Arial" w:hAnsi="Arial"/>
          <w:i/>
          <w:iCs/>
          <w:color w:val="000000"/>
          <w:sz w:val="22"/>
          <w:szCs w:val="22"/>
        </w:rPr>
        <w:t xml:space="preserve">"Yeah, that’s the pizza…" </w:t>
      </w:r>
      <w:r>
        <w:rPr>
          <w:rFonts w:ascii="Arial" w:cs="Arial" w:eastAsia="Arial" w:hAnsi="Arial"/>
          <w:color w:val="000000"/>
          <w:sz w:val="22"/>
          <w:szCs w:val="22"/>
        </w:rPr>
        <w:t xml:space="preserve">(in reference to something described as “radiating a soft glow”)</w:t>
      </w:r>
    </w:p>
    <w:p>
      <w:pPr>
        <w:pStyle w:val="Heading1"/>
        <w:spacing w:before="360" w:after="200"/>
      </w:pPr>
      <w:r>
        <w:rPr>
          <w:rFonts w:ascii="Arial" w:cs="Arial" w:eastAsia="Arial" w:hAnsi="Arial"/>
          <w:b/>
          <w:bCs/>
          <w:color w:val="1B3A5C"/>
          <w:sz w:val="28"/>
          <w:szCs w:val="28"/>
        </w:rPr>
        <w:t xml:space="preserve">Conclusions</w:t>
      </w:r>
    </w:p>
    <w:p>
      <w:pPr>
        <w:spacing w:after="160" w:line="276"/>
      </w:pPr>
      <w:r>
        <w:rPr>
          <w:rFonts w:ascii="Arial" w:cs="Arial" w:eastAsia="Arial" w:hAnsi="Arial"/>
          <w:color w:val="000000"/>
          <w:sz w:val="22"/>
          <w:szCs w:val="22"/>
        </w:rPr>
        <w:t xml:space="preserve">The evidence assembled from primary sources reveals an enterprise that operated for at least 25 years across multiple countries, exploited over 1,000 confirmed victims, and was protected by legal, financial, academic, and media institutions at every level. It generated surveillance material on powerful people, maintained connections to intelligence networks through substantial circumstantial evidence, and was funded through financial structures no one has publicly explained.</w:t>
      </w:r>
    </w:p>
    <w:p>
      <w:pPr>
        <w:spacing w:after="160" w:line="276"/>
      </w:pPr>
      <w:r>
        <w:rPr>
          <w:rFonts w:ascii="Arial" w:cs="Arial" w:eastAsia="Arial" w:hAnsi="Arial"/>
          <w:color w:val="000000"/>
          <w:sz w:val="22"/>
          <w:szCs w:val="22"/>
        </w:rPr>
        <w:t xml:space="preserve">Its principal died under statistically near-impossible circumstances while in federal custody. Its document trail is being released in a pattern that systematically exposes victims while protecting enablers. And as of February 2026, the Department of Justice has declared the matter closed.</w:t>
      </w:r>
    </w:p>
    <w:p>
      <w:pPr>
        <w:spacing w:after="160" w:line="276"/>
      </w:pPr>
      <w:r>
        <w:rPr>
          <w:rFonts w:ascii="Arial" w:cs="Arial" w:eastAsia="Arial" w:hAnsi="Arial"/>
          <w:color w:val="000000"/>
          <w:sz w:val="22"/>
          <w:szCs w:val="22"/>
        </w:rPr>
        <w:t xml:space="preserve">The system built to protect this enterprise is still functioning exactly as designed: protecting power at the expense of the vulnerable.</w:t>
      </w:r>
    </w:p>
    <w:p>
      <w:pPr>
        <w:spacing w:after="80"/>
      </w:pPr>
    </w:p>
    <w:p>
      <w:pPr>
        <w:pStyle w:val="Heading2"/>
        <w:spacing w:before="280" w:after="160"/>
      </w:pPr>
      <w:r>
        <w:rPr>
          <w:rFonts w:ascii="Arial" w:cs="Arial" w:eastAsia="Arial" w:hAnsi="Arial"/>
          <w:b/>
          <w:bCs/>
          <w:color w:val="1B3A5C"/>
          <w:sz w:val="24"/>
          <w:szCs w:val="24"/>
        </w:rPr>
        <w:t xml:space="preserve">Open Questions</w:t>
      </w:r>
    </w:p>
    <w:p>
      <w:pPr>
        <w:pStyle w:val="ListParagraph"/>
        <w:numPr>
          <w:ilvl w:val="0"/>
          <w:numId w:val="2"/>
        </w:numPr>
        <w:spacing w:after="100" w:line="276"/>
      </w:pPr>
      <w:r>
        <w:rPr>
          <w:rFonts w:ascii="Arial" w:cs="Arial" w:eastAsia="Arial" w:hAnsi="Arial"/>
          <w:sz w:val="22"/>
          <w:szCs w:val="22"/>
        </w:rPr>
        <w:t xml:space="preserve">What is contained in the 2.5 million unreleased pages?</w:t>
      </w:r>
    </w:p>
    <w:p>
      <w:pPr>
        <w:pStyle w:val="ListParagraph"/>
        <w:numPr>
          <w:ilvl w:val="0"/>
          <w:numId w:val="2"/>
        </w:numPr>
        <w:spacing w:after="100" w:line="276"/>
      </w:pPr>
      <w:r>
        <w:rPr>
          <w:rFonts w:ascii="Arial" w:cs="Arial" w:eastAsia="Arial" w:hAnsi="Arial"/>
          <w:sz w:val="22"/>
          <w:szCs w:val="22"/>
        </w:rPr>
        <w:t xml:space="preserve">Who are the three redacted co-conspirators in the draft federal indictment?</w:t>
      </w:r>
    </w:p>
    <w:p>
      <w:pPr>
        <w:pStyle w:val="ListParagraph"/>
        <w:numPr>
          <w:ilvl w:val="0"/>
          <w:numId w:val="2"/>
        </w:numPr>
        <w:spacing w:after="100" w:line="276"/>
      </w:pPr>
      <w:r>
        <w:rPr>
          <w:rFonts w:ascii="Arial" w:cs="Arial" w:eastAsia="Arial" w:hAnsi="Arial"/>
          <w:sz w:val="22"/>
          <w:szCs w:val="22"/>
        </w:rPr>
        <w:t xml:space="preserve">Why was the redaction process inconsistent (e.g., Paris modeling agency visible in one document, redacted in another)?</w:t>
      </w:r>
    </w:p>
    <w:p>
      <w:pPr>
        <w:pStyle w:val="ListParagraph"/>
        <w:numPr>
          <w:ilvl w:val="0"/>
          <w:numId w:val="2"/>
        </w:numPr>
        <w:spacing w:after="100" w:line="276"/>
      </w:pPr>
      <w:r>
        <w:rPr>
          <w:rFonts w:ascii="Arial" w:cs="Arial" w:eastAsia="Arial" w:hAnsi="Arial"/>
          <w:sz w:val="22"/>
          <w:szCs w:val="22"/>
        </w:rPr>
        <w:t xml:space="preserve">What will congressional members with access to unredacted files discover and disclose? (As of February 9, 2026—the date of this report—all 535 members of Congress have been granted access to unredacted files in a DOJ reading room, 9am–6pm weekdays, with 24-hour advance notice and no electronic devices permitted.)</w:t>
      </w:r>
    </w:p>
    <w:p>
      <w:pPr>
        <w:pStyle w:val="ListParagraph"/>
        <w:numPr>
          <w:ilvl w:val="0"/>
          <w:numId w:val="2"/>
        </w:numPr>
        <w:spacing w:after="100" w:line="276"/>
      </w:pPr>
      <w:r>
        <w:rPr>
          <w:rFonts w:ascii="Arial" w:cs="Arial" w:eastAsia="Arial" w:hAnsi="Arial"/>
          <w:sz w:val="22"/>
          <w:szCs w:val="22"/>
        </w:rPr>
        <w:t xml:space="preserve">Why do only a “handful” of communications from AG Bondi, DAG Blanche, and FBI Director Patel appear in the released files, despite their central role in the release process?</w:t>
      </w:r>
    </w:p>
    <w:p>
      <w:pPr>
        <w:pStyle w:val="ListParagraph"/>
        <w:numPr>
          <w:ilvl w:val="0"/>
          <w:numId w:val="2"/>
        </w:numPr>
        <w:spacing w:after="100" w:line="276"/>
      </w:pPr>
      <w:r>
        <w:rPr>
          <w:rFonts w:ascii="Arial" w:cs="Arial" w:eastAsia="Arial" w:hAnsi="Arial"/>
          <w:sz w:val="22"/>
          <w:szCs w:val="22"/>
        </w:rPr>
        <w:t xml:space="preserve">What is the origin of Epstein’s $600 million estate?</w:t>
      </w:r>
    </w:p>
    <w:p>
      <w:pPr>
        <w:pStyle w:val="ListParagraph"/>
        <w:numPr>
          <w:ilvl w:val="0"/>
          <w:numId w:val="2"/>
        </w:numPr>
        <w:spacing w:after="100" w:line="276"/>
      </w:pPr>
      <w:r>
        <w:rPr>
          <w:rFonts w:ascii="Arial" w:cs="Arial" w:eastAsia="Arial" w:hAnsi="Arial"/>
          <w:sz w:val="22"/>
          <w:szCs w:val="22"/>
        </w:rPr>
        <w:t xml:space="preserve">What happened to the surveillance material from the NYC mansion safe that showed signs of tampering?</w:t>
      </w:r>
    </w:p>
    <w:p>
      <w:pPr>
        <w:pStyle w:val="ListParagraph"/>
        <w:numPr>
          <w:ilvl w:val="0"/>
          <w:numId w:val="2"/>
        </w:numPr>
        <w:spacing w:after="160" w:line="276"/>
      </w:pPr>
      <w:r>
        <w:rPr>
          <w:rFonts w:ascii="Arial" w:cs="Arial" w:eastAsia="Arial" w:hAnsi="Arial"/>
          <w:sz w:val="22"/>
          <w:szCs w:val="22"/>
        </w:rPr>
        <w:t xml:space="preserve">Why did the Metropolitan Correctional Center conduct a decoy operation during the removal of Epstein’s body?</w:t>
      </w:r>
    </w:p>
    <w:p>
      <w:pPr>
        <w:spacing w:after="80"/>
      </w:pPr>
    </w:p>
    <w:p>
      <w:pPr>
        <w:pStyle w:val="Heading2"/>
        <w:spacing w:before="280" w:after="160"/>
      </w:pPr>
      <w:r>
        <w:rPr>
          <w:rFonts w:ascii="Arial" w:cs="Arial" w:eastAsia="Arial" w:hAnsi="Arial"/>
          <w:b/>
          <w:bCs/>
          <w:color w:val="1B3A5C"/>
          <w:sz w:val="24"/>
          <w:szCs w:val="24"/>
        </w:rPr>
        <w:t xml:space="preserve">Emerging Allegations in Recent Releases</w:t>
      </w:r>
    </w:p>
    <w:p>
      <w:pPr>
        <w:spacing w:after="160" w:line="276"/>
      </w:pPr>
      <w:r>
        <w:rPr>
          <w:rFonts w:ascii="Arial" w:cs="Arial" w:eastAsia="Arial" w:hAnsi="Arial"/>
          <w:color w:val="000000"/>
          <w:sz w:val="22"/>
          <w:szCs w:val="22"/>
        </w:rPr>
        <w:t xml:space="preserve">The following items have surfaced in the January 30, 2026 release and are included for completeness. They are unverified allegations from victim statements and should be treated as such:</w:t>
      </w:r>
    </w:p>
    <w:p>
      <w:pPr>
        <w:spacing w:after="160" w:line="276"/>
      </w:pPr>
      <w:r>
        <w:rPr>
          <w:rFonts w:ascii="Arial" w:cs="Arial" w:eastAsia="Arial" w:hAnsi="Arial"/>
          <w:b/>
          <w:bCs/>
          <w:color w:val="000000"/>
          <w:sz w:val="22"/>
          <w:szCs w:val="22"/>
        </w:rPr>
        <w:t xml:space="preserve">Franck Ribéry: </w:t>
      </w:r>
      <w:r>
        <w:rPr>
          <w:rFonts w:ascii="Arial" w:cs="Arial" w:eastAsia="Arial" w:hAnsi="Arial"/>
          <w:color w:val="000000"/>
          <w:sz w:val="22"/>
          <w:szCs w:val="22"/>
        </w:rPr>
        <w:t xml:space="preserve">A victim statement appearing on pages 26–30 of a released document alleges that the former Bayern Munich and France footballer attempted to assault a woman, requested 14-year-old girls be brought to him (with police intervening), and was connected to prostitution networks through a criminal lawyer named Sylvain Cormier. Ribéry has not been charged with any crimes connected to Epstein.</w:t>
      </w:r>
    </w:p>
    <w:p>
      <w:pPr>
        <w:spacing w:after="160" w:line="276"/>
      </w:pPr>
      <w:r>
        <w:rPr>
          <w:rFonts w:ascii="Arial" w:cs="Arial" w:eastAsia="Arial" w:hAnsi="Arial"/>
          <w:b/>
          <w:bCs/>
          <w:color w:val="000000"/>
          <w:sz w:val="22"/>
          <w:szCs w:val="22"/>
        </w:rPr>
        <w:t xml:space="preserve">Data Set 9 Group Text: </w:t>
      </w:r>
      <w:r>
        <w:rPr>
          <w:rFonts w:ascii="Arial" w:cs="Arial" w:eastAsia="Arial" w:hAnsi="Arial"/>
          <w:color w:val="000000"/>
          <w:sz w:val="22"/>
          <w:szCs w:val="22"/>
        </w:rPr>
        <w:t xml:space="preserve">Multiple users reviewing the files claim that a group text in Data Set 9 (referenced as EFTA00514850.pdf) explicitly ties “pizza” to sexual acts. This specific claim has been widely shared on X but the full context of the document has not been independently verified in mainstream reporting as of this writing.</w:t>
      </w:r>
    </w:p>
    <w:p>
      <w:pPr>
        <w:spacing w:after="160" w:line="276"/>
      </w:pPr>
      <w:r>
        <w:rPr>
          <w:rFonts w:ascii="Arial" w:cs="Arial" w:eastAsia="Arial" w:hAnsi="Arial"/>
          <w:b/>
          <w:bCs/>
          <w:color w:val="000000"/>
          <w:sz w:val="22"/>
          <w:szCs w:val="22"/>
        </w:rPr>
        <w:t xml:space="preserve">Sultan bin Sulayem (CEO, DP World): </w:t>
      </w:r>
      <w:r>
        <w:rPr>
          <w:rFonts w:ascii="Arial" w:cs="Arial" w:eastAsia="Arial" w:hAnsi="Arial"/>
          <w:color w:val="000000"/>
          <w:sz w:val="22"/>
          <w:szCs w:val="22"/>
        </w:rPr>
        <w:t xml:space="preserve">Emails show the Emirati businessman commenting on the “comparative beauty” of “new arrivals,” including disappointment that “the Moldavian is not as attractive as the picture.” This language mirrors the procurement emails documented in Component 1.</w:t>
      </w:r>
    </w:p>
    <w:p>
      <w:pPr>
        <w:spacing w:after="80"/>
      </w:pPr>
    </w:p>
    <w:p>
      <w:pPr>
        <w:spacing w:before="400"/>
        <w:jc w:val="center"/>
      </w:pPr>
      <w:r>
        <w:rPr>
          <w:rFonts w:ascii="Arial" w:cs="Arial" w:eastAsia="Arial" w:hAnsi="Arial"/>
          <w:i/>
          <w:iCs/>
          <w:color w:val="666666"/>
          <w:sz w:val="22"/>
          <w:szCs w:val="22"/>
        </w:rPr>
        <w:t xml:space="preserve">— End of Report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8"/>
        <w:szCs w:val="18"/>
      </w:rPr>
      <w:t xml:space="preserve">The Machine: Structural Analysis of the Epstein Enterprise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28"/>
      <w:szCs w:val="28"/>
    </w:rPr>
  </w:style>
  <w:style w:type="paragraph" w:styleId="Heading2">
    <w:name w:val="Heading 2"/>
    <w:basedOn w:val="Normal"/>
    <w:next w:val="Normal"/>
    <w:qFormat/>
    <w:pPr>
      <w:spacing w:before="280" w:after="160"/>
      <w:outlineLvl w:val="1"/>
    </w:pPr>
    <w:rPr>
      <w:rFonts w:ascii="Arial" w:cs="Arial" w:eastAsia="Arial" w:hAnsi="Arial"/>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2026-02-09T19:10:33.497Z</dcterms:created>
  <dcterms:modified xsi:type="dcterms:W3CDTF">2026-02-09T19:10:33.498Z</dcterms:modified>
</cp:coreProperties>
</file>

<file path=docProps/custom.xml><?xml version="1.0" encoding="utf-8"?>
<Properties xmlns="http://schemas.openxmlformats.org/officeDocument/2006/custom-properties" xmlns:vt="http://schemas.openxmlformats.org/officeDocument/2006/docPropsVTypes"/>
</file>