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Fonts w:ascii="Chakra Petch Medium" w:cs="Chakra Petch Medium" w:eastAsia="Chakra Petch Medium" w:hAnsi="Chakra Petch Medium"/>
          <w:sz w:val="20"/>
          <w:szCs w:val="20"/>
        </w:rPr>
        <w:drawing>
          <wp:anchor allowOverlap="1" behindDoc="1" distB="114300" distT="114300" distL="114300" distR="114300" hidden="0" layoutInCell="1" locked="0" relativeHeight="0" simplePos="0">
            <wp:simplePos x="0" y="0"/>
            <wp:positionH relativeFrom="page">
              <wp:posOffset>-4762</wp:posOffset>
            </wp:positionH>
            <wp:positionV relativeFrom="page">
              <wp:posOffset>0</wp:posOffset>
            </wp:positionV>
            <wp:extent cx="7856371" cy="10163175"/>
            <wp:effectExtent b="0" l="0" r="0" t="0"/>
            <wp:wrapNone/>
            <wp:docPr id="2" name="image2.jpg"/>
            <a:graphic>
              <a:graphicData uri="http://schemas.openxmlformats.org/drawingml/2006/picture">
                <pic:pic>
                  <pic:nvPicPr>
                    <pic:cNvPr id="0" name="image2.jpg"/>
                    <pic:cNvPicPr preferRelativeResize="0"/>
                  </pic:nvPicPr>
                  <pic:blipFill>
                    <a:blip r:embed="rId6"/>
                    <a:srcRect b="34" l="0" r="0" t="34"/>
                    <a:stretch>
                      <a:fillRect/>
                    </a:stretch>
                  </pic:blipFill>
                  <pic:spPr>
                    <a:xfrm>
                      <a:off x="0" y="0"/>
                      <a:ext cx="7856371" cy="101631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Fonts w:ascii="IBM Plex Sans" w:cs="IBM Plex Sans" w:eastAsia="IBM Plex Sans" w:hAnsi="IBM Plex Sans"/>
          <w:color w:val="94d882"/>
          <w:sz w:val="45"/>
          <w:szCs w:val="45"/>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34d399"/>
          <w:sz w:val="45"/>
          <w:szCs w:val="45"/>
          <w:shd w:fill="064e3b"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45"/>
          <w:szCs w:val="45"/>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35"/>
          <w:szCs w:val="35"/>
        </w:rPr>
      </w:pPr>
      <w:r w:rsidDel="00000000" w:rsidR="00000000" w:rsidRPr="00000000">
        <w:rPr>
          <w:rFonts w:ascii="IBM Plex Sans" w:cs="IBM Plex Sans" w:eastAsia="IBM Plex Sans" w:hAnsi="IBM Plex Sans"/>
          <w:color w:val="064e3b"/>
          <w:sz w:val="45"/>
          <w:szCs w:val="45"/>
          <w:rtl w:val="0"/>
        </w:rPr>
        <w:t xml:space="preserve">External Pentest Report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w14:paraId="0000001F">
      <w:pPr>
        <w:spacing w:after="220" w:before="220" w:line="392.64"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Penetration Test on 195.252.219.110</w:t>
      </w:r>
    </w:p>
    <w:p w:rsidR="00000000" w:rsidDel="00000000" w:rsidP="00000000" w:rsidRDefault="00000000" w:rsidRPr="00000000" w14:paraId="00000020">
      <w:pPr>
        <w:spacing w:after="220" w:before="220" w:line="192.48000000000002"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Completed Friday April 7th, 2026</w:t>
      </w:r>
    </w:p>
    <w:p w:rsidR="00000000" w:rsidDel="00000000" w:rsidP="00000000" w:rsidRDefault="00000000" w:rsidRPr="00000000" w14:paraId="00000021">
      <w:pPr>
        <w:ind w:left="720" w:right="1440" w:firstLine="0"/>
        <w:jc w:val="center"/>
        <w:rPr>
          <w:rFonts w:ascii="IBM Plex Sans" w:cs="IBM Plex Sans" w:eastAsia="IBM Plex Sans" w:hAnsi="IBM Plex Sans"/>
          <w:color w:val="064e3b"/>
          <w:sz w:val="33"/>
          <w:szCs w:val="33"/>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w14:paraId="00000023">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4">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5">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6">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7">
      <w:pPr>
        <w:spacing w:before="0" w:lineRule="auto"/>
        <w:ind w:left="1440" w:right="1440" w:firstLine="0"/>
        <w:jc w:val="center"/>
        <w:rPr>
          <w:rFonts w:ascii="IBM Plex Sans" w:cs="IBM Plex Sans" w:eastAsia="IBM Plex Sans" w:hAnsi="IBM Plex Sans"/>
          <w:color w:val="4590e2"/>
          <w:sz w:val="45"/>
          <w:szCs w:val="45"/>
        </w:rPr>
      </w:pPr>
      <w:r w:rsidDel="00000000" w:rsidR="00000000" w:rsidRPr="00000000">
        <w:rPr>
          <w:rFonts w:ascii="IBM Plex Sans" w:cs="IBM Plex Sans" w:eastAsia="IBM Plex Sans" w:hAnsi="IBM Plex Sans"/>
          <w:color w:val="4590e2"/>
          <w:sz w:val="45"/>
          <w:szCs w:val="45"/>
          <w:rtl w:val="0"/>
        </w:rPr>
        <w:t xml:space="preserve"> </w:t>
      </w:r>
    </w:p>
    <w:p w:rsidR="00000000" w:rsidDel="00000000" w:rsidP="00000000" w:rsidRDefault="00000000" w:rsidRPr="00000000" w14:paraId="00000028">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9">
      <w:pPr>
        <w:spacing w:before="0" w:lineRule="auto"/>
        <w:ind w:left="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A">
      <w:pPr>
        <w:tabs>
          <w:tab w:val="left" w:leader="none" w:pos="10408"/>
          <w:tab w:val="left" w:leader="none" w:pos="11365"/>
        </w:tabs>
        <w:ind w:right="1440"/>
        <w:jc w:val="center"/>
        <w:rPr>
          <w:rFonts w:ascii="IBM Plex Sans" w:cs="IBM Plex Sans" w:eastAsia="IBM Plex Sans" w:hAnsi="IBM Plex Sans"/>
          <w:color w:val="4590e2"/>
          <w:sz w:val="36"/>
          <w:szCs w:val="36"/>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color w:val="ffffff"/>
          <w:sz w:val="36"/>
          <w:szCs w:val="36"/>
          <w:rtl w:val="0"/>
        </w:rPr>
        <w:t xml:space="preserve">     </w:t>
      </w:r>
      <w:r w:rsidDel="00000000" w:rsidR="00000000" w:rsidRPr="00000000">
        <w:rPr>
          <w:rtl w:val="0"/>
        </w:rPr>
      </w:r>
    </w:p>
    <w:p w:rsidR="00000000" w:rsidDel="00000000" w:rsidP="00000000" w:rsidRDefault="00000000" w:rsidRPr="00000000" w14:paraId="0000002C">
      <w:pPr>
        <w:spacing w:line="480" w:lineRule="auto"/>
        <w:ind w:left="1440" w:right="144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color w:val="4590e2"/>
          <w:sz w:val="36"/>
          <w:szCs w:val="36"/>
        </w:rPr>
        <w:drawing>
          <wp:anchor allowOverlap="1" behindDoc="0" distB="114300" distT="114300" distL="114300" distR="114300" hidden="0" layoutInCell="1" locked="0" relativeHeight="0" simplePos="0">
            <wp:simplePos x="0" y="0"/>
            <wp:positionH relativeFrom="page">
              <wp:posOffset>2486025</wp:posOffset>
            </wp:positionH>
            <wp:positionV relativeFrom="page">
              <wp:posOffset>4029075</wp:posOffset>
            </wp:positionV>
            <wp:extent cx="5329238" cy="53340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45" r="45" t="0"/>
                    <a:stretch>
                      <a:fillRect/>
                    </a:stretch>
                  </pic:blipFill>
                  <pic:spPr>
                    <a:xfrm>
                      <a:off x="0" y="0"/>
                      <a:ext cx="5329238" cy="5334000"/>
                    </a:xfrm>
                    <a:prstGeom prst="rect"/>
                    <a:ln/>
                  </pic:spPr>
                </pic:pic>
              </a:graphicData>
            </a:graphic>
          </wp:anchor>
        </w:drawing>
      </w:r>
      <w:r w:rsidDel="00000000" w:rsidR="00000000" w:rsidRPr="00000000">
        <w:rPr>
          <w:rtl w:val="0"/>
        </w:rPr>
      </w:r>
    </w:p>
    <w:tbl>
      <w:tblPr>
        <w:tblStyle w:val="Table1"/>
        <w:tblpPr w:leftFromText="180" w:rightFromText="180" w:topFromText="180" w:bottomFromText="180" w:vertAnchor="margin" w:horzAnchor="margin" w:tblpXSpec="center" w:tblpYSpec="top"/>
        <w:tblW w:w="9615.0" w:type="dxa"/>
        <w:jc w:val="center"/>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30"/>
        <w:gridCol w:w="1785"/>
        <w:gridCol w:w="4605"/>
        <w:tblGridChange w:id="0">
          <w:tblGrid>
            <w:gridCol w:w="1095"/>
            <w:gridCol w:w="2130"/>
            <w:gridCol w:w="1785"/>
            <w:gridCol w:w="4605"/>
          </w:tblGrid>
        </w:tblGridChange>
      </w:tblGrid>
      <w:tr>
        <w:trPr>
          <w:cantSplit w:val="0"/>
          <w:tblHeader w:val="0"/>
        </w:trPr>
        <w:tc>
          <w:tcPr>
            <w:shd w:fill="064e3b" w:val="clear"/>
          </w:tcPr>
          <w:p w:rsidR="00000000" w:rsidDel="00000000" w:rsidP="00000000" w:rsidRDefault="00000000" w:rsidRPr="00000000" w14:paraId="0000002D">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Version</w:t>
            </w:r>
          </w:p>
        </w:tc>
        <w:tc>
          <w:tcPr>
            <w:shd w:fill="064e3b" w:val="clear"/>
          </w:tcPr>
          <w:p w:rsidR="00000000" w:rsidDel="00000000" w:rsidP="00000000" w:rsidRDefault="00000000" w:rsidRPr="00000000" w14:paraId="0000002E">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Date</w:t>
            </w:r>
          </w:p>
        </w:tc>
        <w:tc>
          <w:tcPr>
            <w:shd w:fill="064e3b" w:val="clear"/>
          </w:tcPr>
          <w:p w:rsidR="00000000" w:rsidDel="00000000" w:rsidP="00000000" w:rsidRDefault="00000000" w:rsidRPr="00000000" w14:paraId="0000002F">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Tester</w:t>
            </w:r>
          </w:p>
        </w:tc>
        <w:tc>
          <w:tcPr>
            <w:shd w:fill="064e3b" w:val="clear"/>
          </w:tcPr>
          <w:p w:rsidR="00000000" w:rsidDel="00000000" w:rsidP="00000000" w:rsidRDefault="00000000" w:rsidRPr="00000000" w14:paraId="00000030">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Notes</w:t>
            </w:r>
          </w:p>
        </w:tc>
      </w:tr>
      <w:tr>
        <w:trPr>
          <w:cantSplit w:val="0"/>
          <w:tblHeader w:val="0"/>
        </w:trPr>
        <w:tc>
          <w:tcPr>
            <w:shd w:fill="ffffff" w:val="clear"/>
          </w:tcPr>
          <w:p w:rsidR="00000000" w:rsidDel="00000000" w:rsidP="00000000" w:rsidRDefault="00000000" w:rsidRPr="00000000" w14:paraId="00000031">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1.0</w:t>
            </w:r>
          </w:p>
        </w:tc>
        <w:tc>
          <w:tcPr>
            <w:shd w:fill="ffffff" w:val="clear"/>
          </w:tcPr>
          <w:p w:rsidR="00000000" w:rsidDel="00000000" w:rsidP="00000000" w:rsidRDefault="00000000" w:rsidRPr="00000000" w14:paraId="00000032">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04/07/2026</w:t>
            </w:r>
          </w:p>
        </w:tc>
        <w:tc>
          <w:tcPr>
            <w:shd w:fill="ffffff" w:val="clear"/>
          </w:tcPr>
          <w:p w:rsidR="00000000" w:rsidDel="00000000" w:rsidP="00000000" w:rsidRDefault="00000000" w:rsidRPr="00000000" w14:paraId="00000033">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AIP</w:t>
            </w:r>
          </w:p>
        </w:tc>
        <w:tc>
          <w:tcPr>
            <w:shd w:fill="ffffff" w:val="clear"/>
          </w:tcPr>
          <w:p w:rsidR="00000000" w:rsidDel="00000000" w:rsidP="00000000" w:rsidRDefault="00000000" w:rsidRPr="00000000" w14:paraId="00000034">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Penetration Test for Thom Info Tech</w:t>
            </w:r>
          </w:p>
        </w:tc>
      </w:tr>
    </w:tbl>
    <w:p w:rsidR="00000000" w:rsidDel="00000000" w:rsidP="00000000" w:rsidRDefault="00000000" w:rsidRPr="00000000" w14:paraId="00000035">
      <w:pPr>
        <w:spacing w:line="480" w:lineRule="auto"/>
        <w:ind w:left="0" w:right="1440" w:firstLine="0"/>
        <w:jc w:val="left"/>
        <w:rPr>
          <w:rFonts w:ascii="IBM Plex Sans" w:cs="IBM Plex Sans" w:eastAsia="IBM Plex Sans" w:hAnsi="IBM Plex Sans"/>
          <w:color w:val="4590e2"/>
          <w:sz w:val="36"/>
          <w:szCs w:val="36"/>
        </w:rPr>
        <w:sectPr>
          <w:footerReference r:id="rId8" w:type="default"/>
          <w:pgSz w:h="15840" w:w="12240" w:orient="portrait"/>
          <w:pgMar w:bottom="720" w:top="720" w:left="720" w:right="720" w:header="360" w:footer="360"/>
          <w:pgNumType w:start="1"/>
        </w:sectPr>
      </w:pPr>
      <w:r w:rsidDel="00000000" w:rsidR="00000000" w:rsidRPr="00000000">
        <w:rPr>
          <w:rtl w:val="0"/>
        </w:rPr>
      </w:r>
    </w:p>
    <w:p w:rsidR="00000000" w:rsidDel="00000000" w:rsidP="00000000" w:rsidRDefault="00000000" w:rsidRPr="00000000" w14:paraId="00000036">
      <w:pPr>
        <w:pStyle w:val="Heading1"/>
        <w:ind w:left="720" w:right="1440" w:firstLine="720"/>
        <w:jc w:val="center"/>
        <w:rPr>
          <w:rFonts w:ascii="IBM Plex Sans" w:cs="IBM Plex Sans" w:eastAsia="IBM Plex Sans" w:hAnsi="IBM Plex Sans"/>
          <w:color w:val="04092f"/>
          <w:sz w:val="60"/>
          <w:szCs w:val="60"/>
        </w:rPr>
      </w:pPr>
      <w:bookmarkStart w:colFirst="0" w:colLast="0" w:name="_rptp454sj63z" w:id="0"/>
      <w:bookmarkEnd w:id="0"/>
      <w:r w:rsidDel="00000000" w:rsidR="00000000" w:rsidRPr="00000000">
        <w:rPr>
          <w:rFonts w:ascii="IBM Plex Sans" w:cs="IBM Plex Sans" w:eastAsia="IBM Plex Sans" w:hAnsi="IBM Plex Sans"/>
          <w:b w:val="1"/>
          <w:bCs w:val="1"/>
          <w:color w:val="064e3b"/>
          <w:rtl w:val="0"/>
        </w:rPr>
        <w:t xml:space="preserve">Table of Contents</w:t>
      </w:r>
      <w:r w:rsidDel="00000000" w:rsidR="00000000" w:rsidRPr="00000000">
        <w:rPr>
          <w:rtl w:val="0"/>
        </w:rPr>
      </w:r>
    </w:p>
    <w:sdt>
      <w:sdtPr>
        <w:id w:val="-346840092"/>
        <w:docPartObj>
          <w:docPartGallery w:val="Table of Contents"/>
          <w:docPartUnique w:val="1"/>
        </w:docPartObj>
      </w:sdtPr>
      <w:sdtContent>
        <w:p w:rsidR="00000000" w:rsidDel="00000000" w:rsidP="00000000" w:rsidRDefault="00000000" w:rsidRPr="00000000" w14:paraId="0000003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ptp454sj63z">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p7fbd5nxiy">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Assessment Overview</w:t>
              <w:tab/>
              <w:t xml:space="preserve">5</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rt02ygmn29">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Purpose</w:t>
              <w:tab/>
              <w:t xml:space="preserve">5</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iieyizfg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lsq06zhucsy">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Technical Findings</w:t>
              <w:tab/>
              <w:t xml:space="preserve">6</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t9wwl4rg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Resilient Network Perimeter with Protocol-Level Filtering</w:t>
              <w:tab/>
              <w:t xml:space="preserve">6</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b10oiuem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Absence of Web-Based Attack Surface</w:t>
              <w:tab/>
              <w:t xml:space="preserve">8</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ysvk3dt2ho">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Appendix</w:t>
              <w:tab/>
              <w:t xml:space="preserve">9</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m340fnd5uq">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Severity Descriptions</w:t>
              <w:tab/>
              <w:t xml:space="preserve">9</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94a3kluuov">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Risk Matrix</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4">
      <w:pPr>
        <w:pStyle w:val="Heading1"/>
        <w:spacing w:line="240" w:lineRule="auto"/>
        <w:ind w:left="1440" w:right="1440" w:firstLine="0"/>
        <w:rPr>
          <w:rFonts w:ascii="IBM Plex Sans" w:cs="IBM Plex Sans" w:eastAsia="IBM Plex Sans" w:hAnsi="IBM Plex Sans"/>
          <w:b w:val="1"/>
          <w:bCs w:val="1"/>
        </w:rPr>
      </w:pPr>
      <w:bookmarkStart w:colFirst="0" w:colLast="0" w:name="_rkp7fbd5nxiy" w:id="1"/>
      <w:bookmarkEnd w:id="1"/>
      <w:r w:rsidDel="00000000" w:rsidR="00000000" w:rsidRPr="00000000">
        <w:rPr>
          <w:rFonts w:ascii="IBM Plex Sans" w:cs="IBM Plex Sans" w:eastAsia="IBM Plex Sans" w:hAnsi="IBM Plex Sans"/>
          <w:b w:val="1"/>
          <w:bCs w:val="1"/>
          <w:color w:val="064e3b"/>
          <w:rtl w:val="0"/>
        </w:rPr>
        <w:t xml:space="preserve">Executive Summary</w:t>
      </w:r>
      <w:r w:rsidDel="00000000" w:rsidR="00000000" w:rsidRPr="00000000">
        <w:rPr>
          <w:rtl w:val="0"/>
        </w:rPr>
      </w:r>
    </w:p>
    <w:p w:rsidR="00000000" w:rsidDel="00000000" w:rsidP="00000000" w:rsidRDefault="00000000" w:rsidRPr="00000000" w14:paraId="00000045">
      <w:pPr>
        <w:tabs>
          <w:tab w:val="left" w:leader="none" w:pos="1440"/>
        </w:tabs>
        <w:spacing w:before="12" w:line="276" w:lineRule="auto"/>
        <w:ind w:left="0" w:right="144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6">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security assessment of the target 195.252.219.110 (MetroNet Customer Static IP) demonstrated a hardened network perimeter. Our testing utilized a high-intensity automated approach, including full-range port scanning, protocol-specific deep probing for VoIP (SIP), Streaming (RTSP), and File Transfer (FTP), and extensive web surface reconnaissance. The investigation confirmed that while certain ports appear "open," they are effectively protected by a network-level filtering mechanism that prevents any meaningful communication or information disclosure.</w:t>
      </w:r>
    </w:p>
    <w:p w:rsidR="00000000" w:rsidDel="00000000" w:rsidP="00000000" w:rsidRDefault="00000000" w:rsidRPr="00000000" w14:paraId="00000047">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8">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 vulnerabilities, misconfigurations, or sensitive information leaks were identified. The target successfully resisted all attempts at banner grabbing, service fingerprinting, and authentication testing. From a security perspective, this indicates a highly resilient configuration that effectively minimizes the attack surface and mitigates the risk of unauthorized access or exploitation.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w14:paraId="00000053">
      <w:pPr>
        <w:pStyle w:val="Heading1"/>
        <w:spacing w:line="240" w:lineRule="auto"/>
        <w:ind w:left="1440" w:right="1440" w:firstLine="0"/>
        <w:rPr>
          <w:rFonts w:ascii="IBM Plex Sans" w:cs="IBM Plex Sans" w:eastAsia="IBM Plex Sans" w:hAnsi="IBM Plex Sans"/>
          <w:b w:val="1"/>
          <w:bCs w:val="1"/>
          <w:color w:val="064e3b"/>
        </w:rPr>
      </w:pPr>
      <w:r w:rsidDel="00000000" w:rsidR="00000000" w:rsidRPr="00000000">
        <w:rPr>
          <w:rFonts w:ascii="IBM Plex Sans" w:cs="IBM Plex Sans" w:eastAsia="IBM Plex Sans" w:hAnsi="IBM Plex Sans"/>
          <w:b w:val="1"/>
          <w:bCs w:val="1"/>
          <w:color w:val="064e3b"/>
          <w:rtl w:val="0"/>
        </w:rPr>
        <w:t xml:space="preserve">Assessment Overview</w:t>
      </w:r>
    </w:p>
    <w:p w:rsidR="00000000" w:rsidDel="00000000" w:rsidP="00000000" w:rsidRDefault="00000000" w:rsidRPr="00000000" w14:paraId="00000054">
      <w:pPr>
        <w:pStyle w:val="Heading1"/>
        <w:spacing w:line="240" w:lineRule="auto"/>
        <w:ind w:left="1440" w:right="1440" w:firstLine="0"/>
        <w:rPr>
          <w:rFonts w:ascii="IBM Plex Sans" w:cs="IBM Plex Sans" w:eastAsia="IBM Plex Sans" w:hAnsi="IBM Plex Sans"/>
          <w:sz w:val="48"/>
          <w:szCs w:val="48"/>
        </w:rPr>
      </w:pPr>
      <w:bookmarkStart w:colFirst="0" w:colLast="0" w:name="_o08w8xmc9vd3" w:id="2"/>
      <w:bookmarkEnd w:id="2"/>
      <w:r w:rsidDel="00000000" w:rsidR="00000000" w:rsidRPr="00000000">
        <w:rPr>
          <w:rtl w:val="0"/>
        </w:rPr>
      </w:r>
    </w:p>
    <w:p w:rsidR="00000000" w:rsidDel="00000000" w:rsidP="00000000" w:rsidRDefault="00000000" w:rsidRPr="00000000" w14:paraId="00000055">
      <w:pPr>
        <w:pStyle w:val="Heading2"/>
        <w:tabs>
          <w:tab w:val="left" w:leader="none" w:pos="1440"/>
        </w:tabs>
        <w:spacing w:after="200" w:before="12" w:lineRule="auto"/>
        <w:ind w:left="0" w:right="1440" w:firstLine="0"/>
        <w:rPr>
          <w:rFonts w:ascii="IBM Plex Sans" w:cs="IBM Plex Sans" w:eastAsia="IBM Plex Sans" w:hAnsi="IBM Plex Sans"/>
        </w:rPr>
      </w:pPr>
      <w:bookmarkStart w:colFirst="0" w:colLast="0" w:name="_ygrt02ygmn29" w:id="3"/>
      <w:bookmarkEnd w:id="3"/>
      <w:r w:rsidDel="00000000" w:rsidR="00000000" w:rsidRPr="00000000">
        <w:rPr>
          <w:rFonts w:ascii="IBM Plex Sans" w:cs="IBM Plex Sans" w:eastAsia="IBM Plex Sans" w:hAnsi="IBM Plex Sans"/>
          <w:rtl w:val="0"/>
        </w:rPr>
        <w:t xml:space="preserve">Purpose</w:t>
      </w:r>
    </w:p>
    <w:p w:rsidR="00000000" w:rsidDel="00000000" w:rsidP="00000000" w:rsidRDefault="00000000" w:rsidRPr="00000000" w14:paraId="00000056">
      <w:pPr>
        <w:tabs>
          <w:tab w:val="left" w:leader="none" w:pos="1440"/>
        </w:tabs>
        <w:spacing w:line="276"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assessment was conducted to identify security issues and assess the risk and impact these vulnerabilities would have on the organization if exploited by a malicious actor. </w:t>
        <w:br w:type="textWrapping"/>
        <w:br w:type="textWrapping"/>
        <w:t xml:space="preserve">AP Pentesting ensured the confidentiality, integrity, &amp; availability of the data held within the application was maintained. The discovery of the findings during this assessment did not negatively impact the application’s functionality or data integrity in any way.</w:t>
      </w:r>
      <w:r w:rsidDel="00000000" w:rsidR="00000000" w:rsidRPr="00000000">
        <w:rPr>
          <w:rtl w:val="0"/>
        </w:rPr>
      </w:r>
    </w:p>
    <w:p w:rsidR="00000000" w:rsidDel="00000000" w:rsidP="00000000" w:rsidRDefault="00000000" w:rsidRPr="00000000" w14:paraId="00000057">
      <w:pPr>
        <w:tabs>
          <w:tab w:val="left" w:leader="none" w:pos="1440"/>
        </w:tabs>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8">
      <w:pPr>
        <w:pStyle w:val="Heading2"/>
        <w:tabs>
          <w:tab w:val="left" w:leader="none" w:pos="1440"/>
        </w:tabs>
        <w:spacing w:after="200" w:lineRule="auto"/>
        <w:rPr>
          <w:rFonts w:ascii="IBM Plex Sans" w:cs="IBM Plex Sans" w:eastAsia="IBM Plex Sans" w:hAnsi="IBM Plex Sans"/>
        </w:rPr>
      </w:pPr>
      <w:bookmarkStart w:colFirst="0" w:colLast="0" w:name="_uviieyizfgwr" w:id="4"/>
      <w:bookmarkEnd w:id="4"/>
      <w:r w:rsidDel="00000000" w:rsidR="00000000" w:rsidRPr="00000000">
        <w:rPr>
          <w:rFonts w:ascii="IBM Plex Sans" w:cs="IBM Plex Sans" w:eastAsia="IBM Plex Sans" w:hAnsi="IBM Plex Sans"/>
          <w:rtl w:val="0"/>
        </w:rPr>
        <w:t xml:space="preserve">Scope</w:t>
      </w:r>
    </w:p>
    <w:p w:rsidR="00000000" w:rsidDel="00000000" w:rsidP="00000000" w:rsidRDefault="00000000" w:rsidRPr="00000000" w14:paraId="00000059">
      <w:pPr>
        <w:tabs>
          <w:tab w:val="left" w:leader="none" w:pos="1440"/>
        </w:tabs>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following targets were included in the scope of the penetration test: </w:t>
      </w:r>
    </w:p>
    <w:p w:rsidR="00000000" w:rsidDel="00000000" w:rsidP="00000000" w:rsidRDefault="00000000" w:rsidRPr="00000000" w14:paraId="0000005A">
      <w:pPr>
        <w:tabs>
          <w:tab w:val="left" w:leader="none" w:pos="1440"/>
        </w:tabs>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B">
      <w:pPr>
        <w:numPr>
          <w:ilvl w:val="0"/>
          <w:numId w:val="1"/>
        </w:numPr>
        <w:tabs>
          <w:tab w:val="left" w:leader="none" w:pos="1440"/>
        </w:tabs>
        <w:ind w:left="1440" w:hanging="360"/>
        <w:rPr>
          <w:rFonts w:ascii="IBM Plex Sans" w:cs="IBM Plex Sans" w:eastAsia="IBM Plex Sans" w:hAnsi="IBM Plex Sans"/>
          <w:u w:val="none"/>
        </w:rPr>
        <w:sectPr>
          <w:type w:val="nextPage"/>
          <w:pgSz w:h="15840" w:w="12240" w:orient="portrait"/>
          <w:pgMar w:bottom="720" w:top="720" w:left="720" w:right="720" w:header="360" w:footer="360"/>
        </w:sectPr>
      </w:pPr>
      <w:r w:rsidDel="00000000" w:rsidR="00000000" w:rsidRPr="00000000">
        <w:rPr>
          <w:rFonts w:ascii="IBM Plex Sans" w:cs="IBM Plex Sans" w:eastAsia="IBM Plex Sans" w:hAnsi="IBM Plex Sans"/>
          <w:rtl w:val="0"/>
        </w:rPr>
        <w:t xml:space="preserve">195.252.219.110</w:t>
      </w:r>
      <w:r w:rsidDel="00000000" w:rsidR="00000000" w:rsidRPr="00000000">
        <w:rPr>
          <w:rtl w:val="0"/>
        </w:rPr>
      </w:r>
    </w:p>
    <w:p w:rsidR="00000000" w:rsidDel="00000000" w:rsidP="00000000" w:rsidRDefault="00000000" w:rsidRPr="00000000" w14:paraId="0000005C">
      <w:pPr>
        <w:pStyle w:val="Heading1"/>
        <w:spacing w:line="240" w:lineRule="auto"/>
        <w:ind w:left="1440" w:right="1440" w:firstLine="0"/>
        <w:rPr>
          <w:rFonts w:ascii="IBM Plex Sans" w:cs="IBM Plex Sans" w:eastAsia="IBM Plex Sans" w:hAnsi="IBM Plex Sans"/>
          <w:b w:val="1"/>
          <w:bCs w:val="1"/>
          <w:color w:val="064e3b"/>
        </w:rPr>
      </w:pPr>
      <w:bookmarkStart w:colFirst="0" w:colLast="0" w:name="_klsq06zhucsy" w:id="5"/>
      <w:bookmarkEnd w:id="5"/>
      <w:r w:rsidDel="00000000" w:rsidR="00000000" w:rsidRPr="00000000">
        <w:rPr>
          <w:rFonts w:ascii="IBM Plex Sans" w:cs="IBM Plex Sans" w:eastAsia="IBM Plex Sans" w:hAnsi="IBM Plex Sans"/>
          <w:b w:val="1"/>
          <w:bCs w:val="1"/>
          <w:color w:val="064e3b"/>
          <w:rtl w:val="0"/>
        </w:rPr>
        <w:t xml:space="preserve">Technical Findings</w:t>
      </w:r>
    </w:p>
    <w:p w:rsidR="00000000" w:rsidDel="00000000" w:rsidP="00000000" w:rsidRDefault="00000000" w:rsidRPr="00000000" w14:paraId="0000005D">
      <w:pPr>
        <w:ind w:left="0" w:right="144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F">
      <w:pPr>
        <w:pStyle w:val="Heading2"/>
        <w:widowControl w:val="1"/>
        <w:spacing w:line="276" w:lineRule="auto"/>
        <w:ind w:left="-90" w:right="720" w:firstLine="0"/>
        <w:jc w:val="both"/>
        <w:rPr>
          <w:rFonts w:ascii="IBM Plex Sans SemiBold" w:cs="IBM Plex Sans SemiBold" w:eastAsia="IBM Plex Sans SemiBold" w:hAnsi="IBM Plex Sans SemiBold"/>
          <w:sz w:val="32"/>
          <w:szCs w:val="32"/>
        </w:rPr>
      </w:pPr>
      <w:bookmarkStart w:colFirst="0" w:colLast="0" w:name="_ept9wwl4rg7u" w:id="6"/>
      <w:bookmarkEnd w:id="6"/>
      <w:r w:rsidDel="00000000" w:rsidR="00000000" w:rsidRPr="00000000">
        <w:rPr>
          <w:rFonts w:ascii="IBM Plex Sans SemiBold" w:cs="IBM Plex Sans SemiBold" w:eastAsia="IBM Plex Sans SemiBold" w:hAnsi="IBM Plex Sans SemiBold"/>
          <w:sz w:val="42"/>
          <w:szCs w:val="42"/>
          <w:rtl w:val="0"/>
        </w:rPr>
        <w:t xml:space="preserve">01- </w:t>
      </w:r>
      <w:r w:rsidDel="00000000" w:rsidR="00000000" w:rsidRPr="00000000">
        <w:rPr>
          <w:rFonts w:ascii="IBM Plex Sans SemiBold" w:cs="IBM Plex Sans SemiBold" w:eastAsia="IBM Plex Sans SemiBold" w:hAnsi="IBM Plex Sans SemiBold"/>
          <w:sz w:val="32"/>
          <w:szCs w:val="32"/>
          <w:rtl w:val="0"/>
        </w:rPr>
        <w:t xml:space="preserve">Resilient Network Perimeter with Protocol-Level Filtering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Finding Description:</w:t>
      </w:r>
    </w:p>
    <w:p w:rsidR="00000000" w:rsidDel="00000000" w:rsidP="00000000" w:rsidRDefault="00000000" w:rsidRPr="00000000" w14:paraId="00000062">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6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target at 195.252.219.110 (associated with MetroNet ISP infrastructure) exhibits a highly restrictive security posture. While a full-range TCP port scan identified four open ports—FTP (21), RTSP (554), PPTP (1723), and SIP (5060)—none of these services yielded a functional banner or responded to standard protocol handshakes. Extensive probing using rustscan, nmap (version-intensity 9), and custom Node.js/Python scripts revealed that the host terminates connections immediately upon receiving unauthorized data or after a short period of inactivity (~12 seconds). This behavior is consistent with an advanced network firewall, a hardened VoIP/Gateway device, or an intentional honeypot configuration designed to frustrate automated reconnaissance.</w:t>
      </w: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5">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66">
      <w:pPr>
        <w:rPr>
          <w:rFonts w:ascii="IBM Plex Sans" w:cs="IBM Plex Sans" w:eastAsia="IBM Plex Sans" w:hAnsi="IBM Plex Sans"/>
          <w:highlight w:val="white"/>
        </w:rPr>
      </w:pPr>
      <w:r w:rsidDel="00000000" w:rsidR="00000000" w:rsidRPr="00000000">
        <w:rPr>
          <w:rFonts w:ascii="IBM Plex Sans" w:cs="IBM Plex Sans" w:eastAsia="IBM Plex Sans" w:hAnsi="IBM Plex Sans"/>
          <w:b w:val="1"/>
          <w:bCs w:val="1"/>
          <w:sz w:val="26"/>
          <w:szCs w:val="26"/>
          <w:rtl w:val="0"/>
        </w:rPr>
        <w:t xml:space="preserve">Severity: </w:t>
      </w:r>
      <w:r w:rsidDel="00000000" w:rsidR="00000000" w:rsidRPr="00000000">
        <w:rPr>
          <w:rFonts w:ascii="IBM Plex Sans" w:cs="IBM Plex Sans" w:eastAsia="IBM Plex Sans" w:hAnsi="IBM Plex Sans"/>
          <w:b w:val="1"/>
          <w:bCs w:val="1"/>
          <w:color w:val="6aa84f"/>
          <w:sz w:val="26"/>
          <w:szCs w:val="26"/>
          <w:rtl w:val="0"/>
        </w:rPr>
        <w:t xml:space="preserve">Informational</w:t>
      </w:r>
      <w:r w:rsidDel="00000000" w:rsidR="00000000" w:rsidRPr="00000000">
        <w:rPr>
          <w:rtl w:val="0"/>
        </w:rPr>
      </w:r>
    </w:p>
    <w:p w:rsidR="00000000" w:rsidDel="00000000" w:rsidP="00000000" w:rsidRDefault="00000000" w:rsidRPr="00000000" w14:paraId="00000067">
      <w:pPr>
        <w:rPr>
          <w:rFonts w:ascii="IBM Plex Sans" w:cs="IBM Plex Sans" w:eastAsia="IBM Plex Sans" w:hAnsi="IBM Plex Sans"/>
          <w:color w:val="ff0000"/>
          <w:sz w:val="26"/>
          <w:szCs w:val="26"/>
        </w:rPr>
      </w:pPr>
      <w:r w:rsidDel="00000000" w:rsidR="00000000" w:rsidRPr="00000000">
        <w:rPr>
          <w:rFonts w:ascii="IBM Plex Sans" w:cs="IBM Plex Sans" w:eastAsia="IBM Plex Sans" w:hAnsi="IBM Plex Sans"/>
          <w:b w:val="1"/>
          <w:bCs w:val="1"/>
          <w:sz w:val="26"/>
          <w:szCs w:val="26"/>
          <w:rtl w:val="0"/>
        </w:rPr>
        <w:t xml:space="preserve">CVSS: </w:t>
      </w:r>
      <w:r w:rsidDel="00000000" w:rsidR="00000000" w:rsidRPr="00000000">
        <w:rPr>
          <w:rFonts w:ascii="IBM Plex Sans" w:cs="IBM Plex Sans" w:eastAsia="IBM Plex Sans" w:hAnsi="IBM Plex Sans"/>
          <w:sz w:val="26"/>
          <w:szCs w:val="26"/>
          <w:rtl w:val="0"/>
        </w:rPr>
        <w:t xml:space="preserve">CVSS:3.1/AV:N/AC:L/PR:N/UI:N/S:U/C:N/I:N/A:N</w:t>
      </w:r>
      <w:r w:rsidDel="00000000" w:rsidR="00000000" w:rsidRPr="00000000">
        <w:rPr>
          <w:rtl w:val="0"/>
        </w:rPr>
      </w:r>
    </w:p>
    <w:p w:rsidR="00000000" w:rsidDel="00000000" w:rsidP="00000000" w:rsidRDefault="00000000" w:rsidRPr="00000000" w14:paraId="0000006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9">
      <w:pPr>
        <w:rPr>
          <w:rFonts w:ascii="IBM Plex Sans" w:cs="IBM Plex Sans" w:eastAsia="IBM Plex Sans" w:hAnsi="IBM Plex Sans"/>
          <w:b w:val="1"/>
          <w:bCs w:val="1"/>
          <w:color w:val="980000"/>
          <w:sz w:val="26"/>
          <w:szCs w:val="26"/>
        </w:rPr>
      </w:pPr>
      <w:r w:rsidDel="00000000" w:rsidR="00000000" w:rsidRPr="00000000">
        <w:rPr>
          <w:rtl w:val="0"/>
        </w:rPr>
      </w:r>
    </w:p>
    <w:p w:rsidR="00000000" w:rsidDel="00000000" w:rsidP="00000000" w:rsidRDefault="00000000" w:rsidRPr="00000000" w14:paraId="0000006A">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Impact: </w:t>
      </w:r>
    </w:p>
    <w:p w:rsidR="00000000" w:rsidDel="00000000" w:rsidP="00000000" w:rsidRDefault="00000000" w:rsidRPr="00000000" w14:paraId="0000006B">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6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There is no identified risk. The "open" state of these ports appears to be a side effect of a security proxy or a filtering mechanism rather than a truly exposed service. An attacker is unable to fingerprint the specific software versions, perform authentication bypasses, or execute service-side exploits, as the TCP stream is reset before any application-layer data is exchanged.</w:t>
      </w:r>
      <w:r w:rsidDel="00000000" w:rsidR="00000000" w:rsidRPr="00000000">
        <w:rPr>
          <w:rtl w:val="0"/>
        </w:rPr>
      </w:r>
    </w:p>
    <w:p w:rsidR="00000000" w:rsidDel="00000000" w:rsidP="00000000" w:rsidRDefault="00000000" w:rsidRPr="00000000" w14:paraId="0000006D">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6E">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6F">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70">
      <w:pPr>
        <w:rPr>
          <w:rFonts w:ascii="IBM Plex Sans" w:cs="IBM Plex Sans" w:eastAsia="IBM Plex Sans" w:hAnsi="IBM Plex Sans"/>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Proof of Concept:</w:t>
      </w:r>
    </w:p>
    <w:p w:rsidR="00000000" w:rsidDel="00000000" w:rsidP="00000000" w:rsidRDefault="00000000" w:rsidRPr="00000000" w14:paraId="00000072">
      <w:pPr>
        <w:rPr>
          <w:rFonts w:ascii="IBM Plex Sans" w:cs="IBM Plex Sans" w:eastAsia="IBM Plex Sans" w:hAnsi="IBM Plex Sans"/>
          <w:b w:val="1"/>
          <w:bCs w:val="1"/>
          <w:sz w:val="26"/>
          <w:szCs w:val="26"/>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0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7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Full Range Scan with -Pn shows connectivity but no service data</w:t>
            </w:r>
          </w:p>
          <w:p w:rsidR="00000000" w:rsidDel="00000000" w:rsidP="00000000" w:rsidRDefault="00000000" w:rsidRPr="00000000" w14:paraId="0000007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rustscan -a 195.252.219.110 -r 1-65535 -- -Pn -sV</w:t>
            </w:r>
          </w:p>
          <w:p w:rsidR="00000000" w:rsidDel="00000000" w:rsidP="00000000" w:rsidRDefault="00000000" w:rsidRPr="00000000" w14:paraId="0000007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PORT     STATE SERVICE VERSION</w:t>
            </w:r>
          </w:p>
          <w:p w:rsidR="00000000" w:rsidDel="00000000" w:rsidP="00000000" w:rsidRDefault="00000000" w:rsidRPr="00000000" w14:paraId="0000007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21/tcp   open  ftp?</w:t>
            </w:r>
          </w:p>
          <w:p w:rsidR="00000000" w:rsidDel="00000000" w:rsidP="00000000" w:rsidRDefault="00000000" w:rsidRPr="00000000" w14:paraId="0000007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554/tcp  open  rtsp?</w:t>
            </w:r>
          </w:p>
          <w:p w:rsidR="00000000" w:rsidDel="00000000" w:rsidP="00000000" w:rsidRDefault="00000000" w:rsidRPr="00000000" w14:paraId="0000007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1723/tcp open  pptp?</w:t>
            </w:r>
          </w:p>
          <w:p w:rsidR="00000000" w:rsidDel="00000000" w:rsidP="00000000" w:rsidRDefault="00000000" w:rsidRPr="00000000" w14:paraId="0000007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5060/tcp open  sip?</w:t>
            </w:r>
          </w:p>
          <w:p w:rsidR="00000000" w:rsidDel="00000000" w:rsidP="00000000" w:rsidRDefault="00000000" w:rsidRPr="00000000" w14:paraId="0000007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Deep Probe of FTP (Port 21) results in connection reset</w:t>
            </w:r>
          </w:p>
          <w:p w:rsidR="00000000" w:rsidDel="00000000" w:rsidP="00000000" w:rsidRDefault="00000000" w:rsidRPr="00000000" w14:paraId="0000007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printf "HELP\r\n" | nc -v 195.252.219.110 21</w:t>
            </w:r>
          </w:p>
          <w:p w:rsidR="00000000" w:rsidDel="00000000" w:rsidP="00000000" w:rsidRDefault="00000000" w:rsidRPr="00000000" w14:paraId="0000007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Ncat: Connected to 195.252.219.110:21.</w:t>
            </w:r>
          </w:p>
          <w:p w:rsidR="00000000" w:rsidDel="00000000" w:rsidP="00000000" w:rsidRDefault="00000000" w:rsidRPr="00000000" w14:paraId="0000007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Ncat: Connection reset by peer.</w:t>
            </w:r>
          </w:p>
          <w:p w:rsidR="00000000" w:rsidDel="00000000" w:rsidP="00000000" w:rsidRDefault="00000000" w:rsidRPr="00000000" w14:paraId="0000008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RTSP enumeration (Port 554) results in universal timeouts</w:t>
            </w:r>
          </w:p>
          <w:p w:rsidR="00000000" w:rsidDel="00000000" w:rsidP="00000000" w:rsidRDefault="00000000" w:rsidRPr="00000000" w14:paraId="0000008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katana -u http://195.252.219.110:554</w:t>
            </w:r>
          </w:p>
          <w:p w:rsidR="00000000" w:rsidDel="00000000" w:rsidP="00000000" w:rsidRDefault="00000000" w:rsidRPr="00000000" w14:paraId="0000008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[INFO] No content discovered for common RTSP/HTTP paths.</w:t>
            </w:r>
          </w:p>
          <w:p w:rsidR="00000000" w:rsidDel="00000000" w:rsidP="00000000" w:rsidRDefault="00000000" w:rsidRPr="00000000" w14:paraId="0000008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r w:rsidDel="00000000" w:rsidR="00000000" w:rsidRPr="00000000">
              <w:rPr>
                <w:rtl w:val="0"/>
              </w:rPr>
            </w:r>
          </w:p>
        </w:tc>
      </w:tr>
    </w:tbl>
    <w:p w:rsidR="00000000" w:rsidDel="00000000" w:rsidP="00000000" w:rsidRDefault="00000000" w:rsidRPr="00000000" w14:paraId="0000008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7">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Remediation Recommendations:</w:t>
      </w:r>
    </w:p>
    <w:p w:rsidR="00000000" w:rsidDel="00000000" w:rsidP="00000000" w:rsidRDefault="00000000" w:rsidRPr="00000000" w14:paraId="00000088">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8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 If these services are not required for business operations, consider changing the firewall policy from REJECT/RESET to DROP to prevent the host from appearing "Up" in port scans.</w:t>
      </w:r>
      <w:r w:rsidDel="00000000" w:rsidR="00000000" w:rsidRPr="00000000">
        <w:rPr>
          <w:rtl w:val="0"/>
        </w:rPr>
      </w:r>
    </w:p>
    <w:p w:rsidR="00000000" w:rsidDel="00000000" w:rsidP="00000000" w:rsidRDefault="00000000" w:rsidRPr="00000000" w14:paraId="0000008A">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8B">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8C">
      <w:pPr>
        <w:pStyle w:val="Heading2"/>
        <w:widowControl w:val="1"/>
        <w:spacing w:line="276" w:lineRule="auto"/>
        <w:ind w:left="-90" w:right="720" w:firstLine="0"/>
        <w:jc w:val="both"/>
        <w:rPr>
          <w:rFonts w:ascii="IBM Plex Sans SemiBold" w:cs="IBM Plex Sans SemiBold" w:eastAsia="IBM Plex Sans SemiBold" w:hAnsi="IBM Plex Sans SemiBold"/>
          <w:sz w:val="42"/>
          <w:szCs w:val="42"/>
        </w:rPr>
      </w:pPr>
      <w:bookmarkStart w:colFirst="0" w:colLast="0" w:name="_a6bldb7s64h" w:id="7"/>
      <w:bookmarkEnd w:id="7"/>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widowControl w:val="1"/>
        <w:spacing w:line="276" w:lineRule="auto"/>
        <w:ind w:left="-90" w:right="720" w:firstLine="0"/>
        <w:jc w:val="both"/>
        <w:rPr>
          <w:rFonts w:ascii="IBM Plex Sans SemiBold" w:cs="IBM Plex Sans SemiBold" w:eastAsia="IBM Plex Sans SemiBold" w:hAnsi="IBM Plex Sans SemiBold"/>
          <w:sz w:val="32"/>
          <w:szCs w:val="32"/>
        </w:rPr>
      </w:pPr>
      <w:bookmarkStart w:colFirst="0" w:colLast="0" w:name="_j8b10oiuemg1" w:id="8"/>
      <w:bookmarkEnd w:id="8"/>
      <w:r w:rsidDel="00000000" w:rsidR="00000000" w:rsidRPr="00000000">
        <w:rPr>
          <w:rFonts w:ascii="IBM Plex Sans SemiBold" w:cs="IBM Plex Sans SemiBold" w:eastAsia="IBM Plex Sans SemiBold" w:hAnsi="IBM Plex Sans SemiBold"/>
          <w:sz w:val="42"/>
          <w:szCs w:val="42"/>
          <w:rtl w:val="0"/>
        </w:rPr>
        <w:t xml:space="preserve">02- </w:t>
      </w:r>
      <w:r w:rsidDel="00000000" w:rsidR="00000000" w:rsidRPr="00000000">
        <w:rPr>
          <w:rFonts w:ascii="IBM Plex Sans SemiBold" w:cs="IBM Plex Sans SemiBold" w:eastAsia="IBM Plex Sans SemiBold" w:hAnsi="IBM Plex Sans SemiBold"/>
          <w:sz w:val="32"/>
          <w:szCs w:val="32"/>
          <w:rtl w:val="0"/>
        </w:rPr>
        <w:t xml:space="preserve">Absence of Web-Based Attack Surface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Finding Description:</w:t>
      </w:r>
    </w:p>
    <w:p w:rsidR="00000000" w:rsidDel="00000000" w:rsidP="00000000" w:rsidRDefault="00000000" w:rsidRPr="00000000" w14:paraId="0000009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comprehensive analysis of the target's web-facing infrastructure was conducted using wafw00f, gau (Get All URLs), paramspider, and katana. No active web services were identified on standard (80, 443) or non-standard (8080, 8443, 3000, 5000, etc.) ports. Passive reconnaissance of the parent domain (metronetinc.net) identified 104 historical URLs, but none were associated with the specific target IP or its unique static hostname.</w:t>
      </w:r>
    </w:p>
    <w:p w:rsidR="00000000" w:rsidDel="00000000" w:rsidP="00000000" w:rsidRDefault="00000000" w:rsidRPr="00000000" w14:paraId="0000009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3">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94">
      <w:pPr>
        <w:rPr>
          <w:rFonts w:ascii="IBM Plex Sans" w:cs="IBM Plex Sans" w:eastAsia="IBM Plex Sans" w:hAnsi="IBM Plex Sans"/>
          <w:color w:val="6aa84f"/>
        </w:rPr>
      </w:pPr>
      <w:r w:rsidDel="00000000" w:rsidR="00000000" w:rsidRPr="00000000">
        <w:rPr>
          <w:rFonts w:ascii="IBM Plex Sans" w:cs="IBM Plex Sans" w:eastAsia="IBM Plex Sans" w:hAnsi="IBM Plex Sans"/>
          <w:b w:val="1"/>
          <w:bCs w:val="1"/>
          <w:sz w:val="26"/>
          <w:szCs w:val="26"/>
          <w:rtl w:val="0"/>
        </w:rPr>
        <w:t xml:space="preserve">Severity: </w:t>
      </w:r>
      <w:r w:rsidDel="00000000" w:rsidR="00000000" w:rsidRPr="00000000">
        <w:rPr>
          <w:rFonts w:ascii="IBM Plex Sans" w:cs="IBM Plex Sans" w:eastAsia="IBM Plex Sans" w:hAnsi="IBM Plex Sans"/>
          <w:b w:val="1"/>
          <w:bCs w:val="1"/>
          <w:color w:val="6aa84f"/>
          <w:sz w:val="26"/>
          <w:szCs w:val="26"/>
          <w:rtl w:val="0"/>
        </w:rPr>
        <w:t xml:space="preserve">Informational</w:t>
      </w:r>
      <w:r w:rsidDel="00000000" w:rsidR="00000000" w:rsidRPr="00000000">
        <w:rPr>
          <w:rtl w:val="0"/>
        </w:rPr>
      </w:r>
    </w:p>
    <w:p w:rsidR="00000000" w:rsidDel="00000000" w:rsidP="00000000" w:rsidRDefault="00000000" w:rsidRPr="00000000" w14:paraId="00000095">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96">
      <w:pPr>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bCs w:val="1"/>
          <w:sz w:val="26"/>
          <w:szCs w:val="26"/>
          <w:rtl w:val="0"/>
        </w:rPr>
        <w:t xml:space="preserve">CVSS: </w:t>
      </w:r>
      <w:r w:rsidDel="00000000" w:rsidR="00000000" w:rsidRPr="00000000">
        <w:rPr>
          <w:rFonts w:ascii="IBM Plex Sans" w:cs="IBM Plex Sans" w:eastAsia="IBM Plex Sans" w:hAnsi="IBM Plex Sans"/>
          <w:sz w:val="26"/>
          <w:szCs w:val="26"/>
          <w:rtl w:val="0"/>
        </w:rPr>
        <w:t xml:space="preserve">CVSS:3.1/AV:N/AC:L/PR:N/UI:N/S:U/C:N/I:N/A:N</w:t>
      </w:r>
    </w:p>
    <w:p w:rsidR="00000000" w:rsidDel="00000000" w:rsidP="00000000" w:rsidRDefault="00000000" w:rsidRPr="00000000" w14:paraId="00000097">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98">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Proof of Concept:</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9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Web Application Firewall and HTTP/S connectivity check</w:t>
            </w:r>
          </w:p>
          <w:p w:rsidR="00000000" w:rsidDel="00000000" w:rsidP="00000000" w:rsidRDefault="00000000" w:rsidRPr="00000000" w14:paraId="0000009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wafw00f http://195.252.219.110</w:t>
            </w:r>
          </w:p>
          <w:p w:rsidR="00000000" w:rsidDel="00000000" w:rsidP="00000000" w:rsidRDefault="00000000" w:rsidRPr="00000000" w14:paraId="0000009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Checking http://195.252.219.110 ... [No response]</w:t>
            </w:r>
          </w:p>
          <w:p w:rsidR="00000000" w:rsidDel="00000000" w:rsidP="00000000" w:rsidRDefault="00000000" w:rsidRPr="00000000" w14:paraId="0000009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Passive URL discovery for target hostname</w:t>
            </w:r>
          </w:p>
          <w:p w:rsidR="00000000" w:rsidDel="00000000" w:rsidP="00000000" w:rsidRDefault="00000000" w:rsidRPr="00000000" w14:paraId="0000009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gau 2086814-static.batvilaa.metronetinc.net</w:t>
            </w:r>
          </w:p>
          <w:p w:rsidR="00000000" w:rsidDel="00000000" w:rsidP="00000000" w:rsidRDefault="00000000" w:rsidRPr="00000000" w14:paraId="000000A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[INFO] Found 0 URLs for target.</w:t>
            </w:r>
          </w:p>
          <w:p w:rsidR="00000000" w:rsidDel="00000000" w:rsidP="00000000" w:rsidRDefault="00000000" w:rsidRPr="00000000" w14:paraId="000000A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bl>
    <w:p w:rsidR="00000000" w:rsidDel="00000000" w:rsidP="00000000" w:rsidRDefault="00000000" w:rsidRPr="00000000" w14:paraId="000000A2">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A3">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Remediation Recommendations:</w:t>
      </w:r>
    </w:p>
    <w:p w:rsidR="00000000" w:rsidDel="00000000" w:rsidP="00000000" w:rsidRDefault="00000000" w:rsidRPr="00000000" w14:paraId="000000A4">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A5">
      <w:pPr>
        <w:rPr>
          <w:rFonts w:ascii="IBM Plex Sans" w:cs="IBM Plex Sans" w:eastAsia="IBM Plex Sans" w:hAnsi="IBM Plex Sans"/>
          <w:sz w:val="22"/>
          <w:szCs w:val="22"/>
        </w:rPr>
      </w:pPr>
      <w:r w:rsidDel="00000000" w:rsidR="00000000" w:rsidRPr="00000000">
        <w:rPr>
          <w:rFonts w:ascii="IBM Plex Sans" w:cs="IBM Plex Sans" w:eastAsia="IBM Plex Sans" w:hAnsi="IBM Plex Sans"/>
          <w:rtl w:val="0"/>
        </w:rPr>
        <w:t xml:space="preserve">1. Continuous Monitoring: Continue to ensure that no unauthorized web-management interfaces are enabled on this IP address in the future.</w:t>
      </w:r>
      <w:r w:rsidDel="00000000" w:rsidR="00000000" w:rsidRPr="00000000">
        <w:rPr>
          <w:rtl w:val="0"/>
        </w:rPr>
      </w:r>
    </w:p>
    <w:p w:rsidR="00000000" w:rsidDel="00000000" w:rsidP="00000000" w:rsidRDefault="00000000" w:rsidRPr="00000000" w14:paraId="000000A6">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arxqpl282wit" w:id="9"/>
      <w:bookmarkEnd w:id="9"/>
      <w:r w:rsidDel="00000000" w:rsidR="00000000" w:rsidRPr="00000000">
        <w:rPr>
          <w:rtl w:val="0"/>
        </w:rPr>
      </w:r>
    </w:p>
    <w:p w:rsidR="00000000" w:rsidDel="00000000" w:rsidP="00000000" w:rsidRDefault="00000000" w:rsidRPr="00000000" w14:paraId="000000A7">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w59g521mbdzy" w:id="10"/>
      <w:bookmarkEnd w:id="10"/>
      <w:r w:rsidDel="00000000" w:rsidR="00000000" w:rsidRPr="00000000">
        <w:rPr>
          <w:rtl w:val="0"/>
        </w:rPr>
      </w:r>
    </w:p>
    <w:p w:rsidR="00000000" w:rsidDel="00000000" w:rsidP="00000000" w:rsidRDefault="00000000" w:rsidRPr="00000000" w14:paraId="000000A8">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5nic2qsmregj" w:id="11"/>
      <w:bookmarkEnd w:id="11"/>
      <w:r w:rsidDel="00000000" w:rsidR="00000000" w:rsidRPr="00000000">
        <w:rPr>
          <w:rtl w:val="0"/>
        </w:rPr>
      </w:r>
    </w:p>
    <w:p w:rsidR="00000000" w:rsidDel="00000000" w:rsidP="00000000" w:rsidRDefault="00000000" w:rsidRPr="00000000" w14:paraId="000000A9">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566elanr6g3u" w:id="12"/>
      <w:bookmarkEnd w:id="12"/>
      <w:r w:rsidDel="00000000" w:rsidR="00000000" w:rsidRPr="00000000">
        <w:rPr>
          <w:rtl w:val="0"/>
        </w:rPr>
      </w:r>
    </w:p>
    <w:p w:rsidR="00000000" w:rsidDel="00000000" w:rsidP="00000000" w:rsidRDefault="00000000" w:rsidRPr="00000000" w14:paraId="000000AA">
      <w:pPr>
        <w:pStyle w:val="Heading2"/>
        <w:widowControl w:val="1"/>
        <w:spacing w:line="276" w:lineRule="auto"/>
        <w:ind w:right="1440"/>
        <w:jc w:val="both"/>
        <w:rPr>
          <w:rFonts w:ascii="IBM Plex Sans SemiBold" w:cs="IBM Plex Sans SemiBold" w:eastAsia="IBM Plex Sans SemiBold" w:hAnsi="IBM Plex Sans SemiBold"/>
          <w:sz w:val="44"/>
          <w:szCs w:val="44"/>
        </w:rPr>
      </w:pPr>
      <w:bookmarkStart w:colFirst="0" w:colLast="0" w:name="_c5x4tyrur7rq" w:id="13"/>
      <w:bookmarkEnd w:id="13"/>
      <w:r w:rsidDel="00000000" w:rsidR="00000000" w:rsidRPr="00000000">
        <w:rPr>
          <w:rtl w:val="0"/>
        </w:rPr>
      </w:r>
    </w:p>
    <w:p w:rsidR="00000000" w:rsidDel="00000000" w:rsidP="00000000" w:rsidRDefault="00000000" w:rsidRPr="00000000" w14:paraId="000000AB">
      <w:pPr>
        <w:pStyle w:val="Heading1"/>
        <w:spacing w:line="240" w:lineRule="auto"/>
        <w:ind w:left="1440" w:right="1440" w:firstLine="0"/>
        <w:rPr>
          <w:rFonts w:ascii="IBM Plex Sans" w:cs="IBM Plex Sans" w:eastAsia="IBM Plex Sans" w:hAnsi="IBM Plex Sans"/>
          <w:color w:val="064e3b"/>
        </w:rPr>
      </w:pPr>
      <w:bookmarkStart w:colFirst="0" w:colLast="0" w:name="_hi416wnl16p6" w:id="14"/>
      <w:bookmarkEnd w:id="14"/>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line="240" w:lineRule="auto"/>
        <w:ind w:left="1440" w:right="1440" w:firstLine="0"/>
        <w:rPr>
          <w:rFonts w:ascii="IBM Plex Sans" w:cs="IBM Plex Sans" w:eastAsia="IBM Plex Sans" w:hAnsi="IBM Plex Sans"/>
          <w:color w:val="064e3b"/>
        </w:rPr>
      </w:pPr>
      <w:bookmarkStart w:colFirst="0" w:colLast="0" w:name="_4aysvk3dt2ho" w:id="15"/>
      <w:bookmarkEnd w:id="15"/>
      <w:r w:rsidDel="00000000" w:rsidR="00000000" w:rsidRPr="00000000">
        <w:rPr>
          <w:rFonts w:ascii="IBM Plex Sans" w:cs="IBM Plex Sans" w:eastAsia="IBM Plex Sans" w:hAnsi="IBM Plex Sans"/>
          <w:color w:val="064e3b"/>
          <w:rtl w:val="0"/>
        </w:rPr>
        <w:t xml:space="preserve">Appendix</w:t>
      </w:r>
      <w:r w:rsidDel="00000000" w:rsidR="00000000" w:rsidRPr="00000000">
        <w:rPr>
          <w:rtl w:val="0"/>
        </w:rPr>
      </w:r>
    </w:p>
    <w:p w:rsidR="00000000" w:rsidDel="00000000" w:rsidP="00000000" w:rsidRDefault="00000000" w:rsidRPr="00000000" w14:paraId="000000AD">
      <w:pPr>
        <w:pStyle w:val="Heading1"/>
        <w:spacing w:line="240" w:lineRule="auto"/>
        <w:ind w:left="1440" w:right="1440" w:firstLine="0"/>
        <w:rPr>
          <w:rFonts w:ascii="IBM Plex Sans" w:cs="IBM Plex Sans" w:eastAsia="IBM Plex Sans" w:hAnsi="IBM Plex Sans"/>
          <w:sz w:val="48"/>
          <w:szCs w:val="48"/>
        </w:rPr>
      </w:pPr>
      <w:bookmarkStart w:colFirst="0" w:colLast="0" w:name="_dm8do3kt7b2f" w:id="16"/>
      <w:bookmarkEnd w:id="16"/>
      <w:r w:rsidDel="00000000" w:rsidR="00000000" w:rsidRPr="00000000">
        <w:rPr>
          <w:rtl w:val="0"/>
        </w:rPr>
      </w:r>
    </w:p>
    <w:p w:rsidR="00000000" w:rsidDel="00000000" w:rsidP="00000000" w:rsidRDefault="00000000" w:rsidRPr="00000000" w14:paraId="000000AE">
      <w:pPr>
        <w:spacing w:before="111"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AP Pentesting team used the following standards to rate the findings in the report. AP Pentesting derived these risk ratings from the industry and organizations such as OWASP &amp; the Common Weakness Enumeration (CWE) ratings.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40" w:right="1440" w:firstLine="0"/>
        <w:rPr>
          <w:rFonts w:ascii="IBM Plex Sans" w:cs="IBM Plex Sans" w:eastAsia="IBM Plex Sans" w:hAnsi="IBM Plex Sans"/>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spacing w:before="0" w:line="240" w:lineRule="auto"/>
        <w:ind w:left="1440" w:right="1440" w:firstLine="0"/>
        <w:rPr>
          <w:rFonts w:ascii="IBM Plex Sans" w:cs="IBM Plex Sans" w:eastAsia="IBM Plex Sans" w:hAnsi="IBM Plex Sans"/>
        </w:rPr>
      </w:pPr>
      <w:bookmarkStart w:colFirst="0" w:colLast="0" w:name="_brm340fnd5uq" w:id="17"/>
      <w:bookmarkEnd w:id="17"/>
      <w:r w:rsidDel="00000000" w:rsidR="00000000" w:rsidRPr="00000000">
        <w:rPr>
          <w:rFonts w:ascii="IBM Plex Sans" w:cs="IBM Plex Sans" w:eastAsia="IBM Plex Sans" w:hAnsi="IBM Plex Sans"/>
          <w:rtl w:val="0"/>
        </w:rPr>
        <w:t xml:space="preserve">Severity Descriptions</w:t>
      </w:r>
      <w:r w:rsidDel="00000000" w:rsidR="00000000" w:rsidRPr="00000000">
        <w:rPr>
          <w:rtl w:val="0"/>
        </w:rPr>
      </w:r>
    </w:p>
    <w:p w:rsidR="00000000" w:rsidDel="00000000" w:rsidP="00000000" w:rsidRDefault="00000000" w:rsidRPr="00000000" w14:paraId="000000B1">
      <w:pPr>
        <w:spacing w:before="18"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severity of each finding in this report is independent. Finding severity ratings combines direct technical and business impact with the worst-case scenario in an attack chain. The more significant the impact, and the fewer vulnerabilities that must be exploited to achieve that impact, the higher the severity.</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0" w:right="1440" w:firstLine="0"/>
        <w:rPr>
          <w:rFonts w:ascii="IBM Plex Sans" w:cs="IBM Plex Sans" w:eastAsia="IBM Plex Sans" w:hAnsi="IBM Plex Sans"/>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3">
      <w:pPr>
        <w:ind w:left="1440" w:right="1440" w:firstLine="0"/>
        <w:rPr>
          <w:rFonts w:ascii="IBM Plex Sans" w:cs="IBM Plex Sans" w:eastAsia="IBM Plex Sans" w:hAnsi="IBM Plex Sans"/>
          <w:color w:val="980000"/>
          <w:sz w:val="28"/>
          <w:szCs w:val="28"/>
        </w:rPr>
      </w:pPr>
      <w:r w:rsidDel="00000000" w:rsidR="00000000" w:rsidRPr="00000000">
        <w:rPr>
          <w:rFonts w:ascii="IBM Plex Sans" w:cs="IBM Plex Sans" w:eastAsia="IBM Plex Sans" w:hAnsi="IBM Plex Sans"/>
          <w:color w:val="980000"/>
          <w:sz w:val="28"/>
          <w:szCs w:val="28"/>
          <w:rtl w:val="0"/>
        </w:rPr>
        <w:t xml:space="preserve">Critical</w:t>
      </w:r>
    </w:p>
    <w:p w:rsidR="00000000" w:rsidDel="00000000" w:rsidP="00000000" w:rsidRDefault="00000000" w:rsidRPr="00000000" w14:paraId="000000B4">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is an otherwise high-severity issue with additional security implications that could lead to exceptional business impact. </w:t>
      </w:r>
    </w:p>
    <w:p w:rsidR="00000000" w:rsidDel="00000000" w:rsidP="00000000" w:rsidRDefault="00000000" w:rsidRPr="00000000" w14:paraId="000000B5">
      <w:pPr>
        <w:spacing w:before="0" w:line="271" w:lineRule="auto"/>
        <w:ind w:left="1440" w:right="1440" w:firstLine="0"/>
        <w:jc w:val="both"/>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Fonts w:ascii="IBM Plex Sans" w:cs="IBM Plex Sans" w:eastAsia="IBM Plex Sans" w:hAnsi="IBM Plex Sans"/>
          <w:rtl w:val="0"/>
        </w:rPr>
        <w:t xml:space="preserve">Examples: trivial exploit difficulty, business-critical data compromised, bypass of security controls, direct violation of communicated security objectives, and large- scale vulnerability exposure.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440" w:right="1440" w:firstLine="0"/>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7">
      <w:pPr>
        <w:ind w:left="1440" w:right="1440" w:firstLine="0"/>
        <w:rPr>
          <w:rFonts w:ascii="IBM Plex Sans" w:cs="IBM Plex Sans" w:eastAsia="IBM Plex Sans" w:hAnsi="IBM Plex Sans"/>
          <w:color w:val="ff0000"/>
          <w:sz w:val="28"/>
          <w:szCs w:val="28"/>
        </w:rPr>
      </w:pPr>
      <w:r w:rsidDel="00000000" w:rsidR="00000000" w:rsidRPr="00000000">
        <w:rPr>
          <w:rFonts w:ascii="IBM Plex Sans" w:cs="IBM Plex Sans" w:eastAsia="IBM Plex Sans" w:hAnsi="IBM Plex Sans"/>
          <w:color w:val="ff0000"/>
          <w:sz w:val="28"/>
          <w:szCs w:val="28"/>
          <w:rtl w:val="0"/>
        </w:rPr>
        <w:t xml:space="preserve">High</w:t>
      </w:r>
    </w:p>
    <w:p w:rsidR="00000000" w:rsidDel="00000000" w:rsidP="00000000" w:rsidRDefault="00000000" w:rsidRPr="00000000" w14:paraId="000000B8">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direct exposure including, but not limited to: the loss of application control, execution of malicious code, or compromise of underlying host systems. The issue may also create a breach in the confidentiality or integrity of sensitive business data, customer information, and administrative and user accounts. In some instances, this exposure may extend farther in the infrastructure beyond the data and systems associated with the </w:t>
      </w:r>
      <w:r w:rsidDel="00000000" w:rsidR="00000000" w:rsidRPr="00000000">
        <w:rPr>
          <w:rFonts w:ascii="IBM Plex Sans" w:cs="IBM Plex Sans" w:eastAsia="IBM Plex Sans" w:hAnsi="IBM Plex Sans"/>
          <w:rtl w:val="0"/>
        </w:rPr>
        <w:t xml:space="preserve">application.</w:t>
      </w:r>
    </w:p>
    <w:p w:rsidR="00000000" w:rsidDel="00000000" w:rsidP="00000000" w:rsidRDefault="00000000" w:rsidRPr="00000000" w14:paraId="000000B9">
      <w:pPr>
        <w:spacing w:before="0" w:line="271"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w14:paraId="000000BA">
      <w:pPr>
        <w:spacing w:before="100" w:lineRule="auto"/>
        <w:ind w:left="720" w:right="1440" w:firstLine="720"/>
        <w:rPr>
          <w:rFonts w:ascii="IBM Plex Sans" w:cs="IBM Plex Sans" w:eastAsia="IBM Plex Sans" w:hAnsi="IBM Plex Sans"/>
          <w:sz w:val="20"/>
          <w:szCs w:val="20"/>
        </w:rPr>
      </w:pPr>
      <w:r w:rsidDel="00000000" w:rsidR="00000000" w:rsidRPr="00000000">
        <w:rPr>
          <w:rFonts w:ascii="IBM Plex Sans" w:cs="IBM Plex Sans" w:eastAsia="IBM Plex Sans" w:hAnsi="IBM Plex Sans"/>
          <w:color w:val="f1c232"/>
          <w:sz w:val="28"/>
          <w:szCs w:val="28"/>
          <w:rtl w:val="0"/>
        </w:rPr>
        <w:t xml:space="preserve">Medium</w:t>
      </w:r>
      <w:r w:rsidDel="00000000" w:rsidR="00000000" w:rsidRPr="00000000">
        <w:rPr>
          <w:rtl w:val="0"/>
        </w:rPr>
      </w:r>
    </w:p>
    <w:p w:rsidR="00000000" w:rsidDel="00000000" w:rsidP="00000000" w:rsidRDefault="00000000" w:rsidRPr="00000000" w14:paraId="000000BB">
      <w:pPr>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does not lead directly to the exposure of critical application functionality, sensitive business and customer data, or application credentials. However, it can be executed multiple times or leveraged in conjunction with another issue to cause direct exposure. Examples include brute-forcing and client-side input validation.</w:t>
      </w:r>
    </w:p>
    <w:p w:rsidR="00000000" w:rsidDel="00000000" w:rsidP="00000000" w:rsidRDefault="00000000" w:rsidRPr="00000000" w14:paraId="000000BC">
      <w:pPr>
        <w:spacing w:before="58"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w14:paraId="000000BD">
      <w:pPr>
        <w:ind w:left="720" w:right="1440" w:firstLine="720"/>
        <w:rPr>
          <w:rFonts w:ascii="IBM Plex Sans" w:cs="IBM Plex Sans" w:eastAsia="IBM Plex Sans" w:hAnsi="IBM Plex Sans"/>
          <w:color w:val="6aa84f"/>
          <w:sz w:val="28"/>
          <w:szCs w:val="28"/>
        </w:rPr>
      </w:pPr>
      <w:r w:rsidDel="00000000" w:rsidR="00000000" w:rsidRPr="00000000">
        <w:rPr>
          <w:rtl w:val="0"/>
        </w:rPr>
      </w:r>
    </w:p>
    <w:p w:rsidR="00000000" w:rsidDel="00000000" w:rsidP="00000000" w:rsidRDefault="00000000" w:rsidRPr="00000000" w14:paraId="000000BE">
      <w:pPr>
        <w:ind w:left="720" w:right="1440" w:firstLine="720"/>
        <w:rPr>
          <w:rFonts w:ascii="IBM Plex Sans" w:cs="IBM Plex Sans" w:eastAsia="IBM Plex Sans" w:hAnsi="IBM Plex Sans"/>
          <w:color w:val="6aa84f"/>
          <w:sz w:val="28"/>
          <w:szCs w:val="28"/>
        </w:rPr>
      </w:pPr>
      <w:r w:rsidDel="00000000" w:rsidR="00000000" w:rsidRPr="00000000">
        <w:rPr>
          <w:rFonts w:ascii="IBM Plex Sans" w:cs="IBM Plex Sans" w:eastAsia="IBM Plex Sans" w:hAnsi="IBM Plex Sans"/>
          <w:color w:val="6aa84f"/>
          <w:sz w:val="28"/>
          <w:szCs w:val="28"/>
          <w:rtl w:val="0"/>
        </w:rPr>
        <w:t xml:space="preserve">Low</w:t>
      </w:r>
    </w:p>
    <w:p w:rsidR="00000000" w:rsidDel="00000000" w:rsidP="00000000" w:rsidRDefault="00000000" w:rsidRPr="00000000" w14:paraId="000000BF">
      <w:pPr>
        <w:spacing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limited exposure of application control, sensitive business and customer data, or system information. This type of issue provides value only when combined with one or more issues of a higher risk classification. Examples include overly detailed error messages, the disclosure of system versioning information, and minor reliability issues.</w:t>
      </w:r>
    </w:p>
    <w:p w:rsidR="00000000" w:rsidDel="00000000" w:rsidP="00000000" w:rsidRDefault="00000000" w:rsidRPr="00000000" w14:paraId="000000C0">
      <w:pPr>
        <w:spacing w:before="2" w:line="271" w:lineRule="auto"/>
        <w:ind w:left="1440" w:right="1440" w:firstLine="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1">
      <w:pPr>
        <w:pStyle w:val="Heading2"/>
        <w:spacing w:before="2" w:line="271" w:lineRule="auto"/>
        <w:ind w:left="720" w:right="1440" w:firstLine="720"/>
        <w:jc w:val="both"/>
        <w:rPr>
          <w:rFonts w:ascii="IBM Plex Sans" w:cs="IBM Plex Sans" w:eastAsia="IBM Plex Sans" w:hAnsi="IBM Plex Sans"/>
          <w:color w:val="34d399"/>
        </w:rPr>
      </w:pPr>
      <w:bookmarkStart w:colFirst="0" w:colLast="0" w:name="_6y94a3kluuov" w:id="18"/>
      <w:bookmarkEnd w:id="18"/>
      <w:r w:rsidDel="00000000" w:rsidR="00000000" w:rsidRPr="00000000">
        <w:rPr>
          <w:rFonts w:ascii="IBM Plex Sans" w:cs="IBM Plex Sans" w:eastAsia="IBM Plex Sans" w:hAnsi="IBM Plex Sans"/>
          <w:color w:val="34d399"/>
          <w:rtl w:val="0"/>
        </w:rPr>
        <w:t xml:space="preserve">Risk Matrix</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9999999999998"/>
        <w:gridCol w:w="1615.0000000000002"/>
        <w:gridCol w:w="1800"/>
        <w:gridCol w:w="1800"/>
        <w:gridCol w:w="1800"/>
        <w:gridCol w:w="1800"/>
        <w:tblGridChange w:id="0">
          <w:tblGrid>
            <w:gridCol w:w="1984.9999999999998"/>
            <w:gridCol w:w="1615.0000000000002"/>
            <w:gridCol w:w="1800"/>
            <w:gridCol w:w="1800"/>
            <w:gridCol w:w="1800"/>
            <w:gridCol w:w="1800"/>
          </w:tblGrid>
        </w:tblGridChange>
      </w:tblGrid>
      <w:tr>
        <w:trPr>
          <w:cantSplit w:val="0"/>
          <w:trHeight w:val="462.373046875" w:hRule="atLeast"/>
          <w:tblHeader w:val="0"/>
        </w:trPr>
        <w:tc>
          <w:tcPr>
            <w:shd w:fill="064e3b"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tl w:val="0"/>
              </w:rPr>
            </w:r>
          </w:p>
        </w:tc>
        <w:tc>
          <w:tcPr>
            <w:gridSpan w:val="5"/>
            <w:shd w:fill="064e3b"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Impact</w:t>
            </w:r>
          </w:p>
        </w:tc>
      </w:tr>
      <w:tr>
        <w:trPr>
          <w:cantSplit w:val="0"/>
          <w:tblHeader w:val="0"/>
        </w:trPr>
        <w:tc>
          <w:tcPr>
            <w:shd w:fill="064e3b"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Risk</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9">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Insignificant</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A">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Minor</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Major</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Almost Certain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CF">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0">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D1">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D2">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D3">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Likely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5">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6">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D9">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D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D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DE">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DF">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Unlikely</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E1">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E2">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E4">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E5">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r>
    </w:tbl>
    <w:p w:rsidR="00000000" w:rsidDel="00000000" w:rsidP="00000000" w:rsidRDefault="00000000" w:rsidRPr="00000000" w14:paraId="000000EC">
      <w:pPr>
        <w:spacing w:before="1" w:line="271" w:lineRule="auto"/>
        <w:ind w:left="0" w:right="1440" w:firstLine="0"/>
        <w:rPr>
          <w:rFonts w:ascii="IBM Plex Sans" w:cs="IBM Plex Sans" w:eastAsia="IBM Plex Sans" w:hAnsi="IBM Plex Sans"/>
          <w:sz w:val="32"/>
          <w:szCs w:val="32"/>
        </w:rPr>
      </w:pPr>
      <w:r w:rsidDel="00000000" w:rsidR="00000000" w:rsidRPr="00000000">
        <w:rPr>
          <w:rtl w:val="0"/>
        </w:rPr>
      </w:r>
    </w:p>
    <w:sectPr>
      <w:type w:val="nextPage"/>
      <w:pgSz w:h="15840" w:w="12240" w:orient="portrait"/>
      <w:pgMar w:bottom="720" w:top="7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Lucida San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kra Petch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Black">
    <w:embedRegular w:fontKey="{00000000-0000-0000-0000-000000000000}" r:id="rId13" w:subsetted="0"/>
  </w:font>
  <w:font w:name="IBM Plex Sans SemiBold">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rFonts w:ascii="IBM Plex Sans Medium" w:cs="IBM Plex Sans Medium" w:eastAsia="IBM Plex Sans Medium" w:hAnsi="IBM Plex Sans Medium"/>
        <w:sz w:val="24"/>
        <w:szCs w:val="24"/>
      </w:rPr>
    </w:pPr>
    <w:r w:rsidDel="00000000" w:rsidR="00000000" w:rsidRPr="00000000">
      <w:rPr>
        <w:rFonts w:ascii="IBM Plex Sans Medium" w:cs="IBM Plex Sans Medium" w:eastAsia="IBM Plex Sans Medium" w:hAnsi="IBM Plex Sans Medium"/>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789" w:lineRule="auto"/>
      <w:jc w:val="center"/>
    </w:pPr>
    <w:rPr>
      <w:rFonts w:ascii="Verdana" w:cs="Verdana" w:eastAsia="Verdana" w:hAnsi="Verdana"/>
      <w:sz w:val="70"/>
      <w:szCs w:val="70"/>
    </w:rPr>
  </w:style>
  <w:style w:type="paragraph" w:styleId="Heading2">
    <w:name w:val="heading 2"/>
    <w:basedOn w:val="Normal"/>
    <w:next w:val="Normal"/>
    <w:pPr>
      <w:ind w:left="1640"/>
    </w:pPr>
    <w:rPr>
      <w:rFonts w:ascii="Arial Black" w:cs="Arial Black" w:eastAsia="Arial Black" w:hAnsi="Arial Black"/>
      <w:sz w:val="46"/>
      <w:szCs w:val="46"/>
    </w:rPr>
  </w:style>
  <w:style w:type="paragraph" w:styleId="Heading3">
    <w:name w:val="heading 3"/>
    <w:basedOn w:val="Normal"/>
    <w:next w:val="Normal"/>
    <w:pPr>
      <w:ind w:left="1640"/>
    </w:pPr>
    <w:rPr>
      <w:rFonts w:ascii="Arial Black" w:cs="Arial Black" w:eastAsia="Arial Black" w:hAnsi="Arial Black"/>
      <w:sz w:val="44"/>
      <w:szCs w:val="44"/>
    </w:rPr>
  </w:style>
  <w:style w:type="paragraph" w:styleId="Heading4">
    <w:name w:val="heading 4"/>
    <w:basedOn w:val="Normal"/>
    <w:next w:val="Normal"/>
    <w:pPr>
      <w:spacing w:line="558" w:lineRule="auto"/>
      <w:jc w:val="center"/>
    </w:pPr>
    <w:rPr>
      <w:rFonts w:ascii="Lucida Sans" w:cs="Lucida Sans" w:eastAsia="Lucida Sans" w:hAnsi="Lucida Sans"/>
      <w:sz w:val="38"/>
      <w:szCs w:val="3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IBMPlexSansMedium-italic.ttf"/><Relationship Id="rId10" Type="http://schemas.openxmlformats.org/officeDocument/2006/relationships/font" Target="fonts/IBMPlexSansMedium-bold.ttf"/><Relationship Id="rId13" Type="http://schemas.openxmlformats.org/officeDocument/2006/relationships/font" Target="fonts/ArialBlack-regular.ttf"/><Relationship Id="rId12" Type="http://schemas.openxmlformats.org/officeDocument/2006/relationships/font" Target="fonts/IBMPlexSansMedium-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IBMPlexSansMedium-regular.ttf"/><Relationship Id="rId15" Type="http://schemas.openxmlformats.org/officeDocument/2006/relationships/font" Target="fonts/IBMPlexSansSemiBold-bold.ttf"/><Relationship Id="rId14" Type="http://schemas.openxmlformats.org/officeDocument/2006/relationships/font" Target="fonts/IBMPlexSansSemiBold-regular.ttf"/><Relationship Id="rId17" Type="http://schemas.openxmlformats.org/officeDocument/2006/relationships/font" Target="fonts/IBMPlexSansSemiBold-boldItalic.ttf"/><Relationship Id="rId16" Type="http://schemas.openxmlformats.org/officeDocument/2006/relationships/font" Target="fonts/IBMPlexSansSemiBold-italic.ttf"/><Relationship Id="rId5" Type="http://schemas.openxmlformats.org/officeDocument/2006/relationships/font" Target="fonts/ChakraPetchMedium-regular.ttf"/><Relationship Id="rId6" Type="http://schemas.openxmlformats.org/officeDocument/2006/relationships/font" Target="fonts/ChakraPetchMedium-bold.ttf"/><Relationship Id="rId7" Type="http://schemas.openxmlformats.org/officeDocument/2006/relationships/font" Target="fonts/ChakraPetchMedium-italic.ttf"/><Relationship Id="rId8" Type="http://schemas.openxmlformats.org/officeDocument/2006/relationships/font" Target="fonts/ChakraPetch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