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Fonts w:ascii="Chakra Petch Medium" w:cs="Chakra Petch Medium" w:eastAsia="Chakra Petch Medium" w:hAnsi="Chakra Petch Medium"/>
          <w:sz w:val="20"/>
          <w:szCs w:val="20"/>
        </w:rPr>
        <w:drawing>
          <wp:anchor allowOverlap="1" behindDoc="1" distB="0" distT="0" distL="0" distR="0" hidden="0" layoutInCell="1" locked="0" relativeHeight="0" simplePos="0">
            <wp:simplePos x="0" y="0"/>
            <wp:positionH relativeFrom="page">
              <wp:posOffset>-4759</wp:posOffset>
            </wp:positionH>
            <wp:positionV relativeFrom="page">
              <wp:posOffset>0</wp:posOffset>
            </wp:positionV>
            <wp:extent cx="7856371" cy="10163175"/>
            <wp:effectExtent b="0" l="0" r="0" t="0"/>
            <wp:wrapNone/>
            <wp:docPr id="1" name="image3.jpg"/>
            <a:graphic>
              <a:graphicData uri="http://schemas.openxmlformats.org/drawingml/2006/picture">
                <pic:pic>
                  <pic:nvPicPr>
                    <pic:cNvPr id="0" name="image3.jpg"/>
                    <pic:cNvPicPr preferRelativeResize="0"/>
                  </pic:nvPicPr>
                  <pic:blipFill>
                    <a:blip r:embed="rId7"/>
                    <a:srcRect b="34" l="0" r="0" t="34"/>
                    <a:stretch>
                      <a:fillRect/>
                    </a:stretch>
                  </pic:blipFill>
                  <pic:spPr>
                    <a:xfrm>
                      <a:off x="0" y="0"/>
                      <a:ext cx="7856371" cy="10163175"/>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sz w:val="20"/>
          <w:szCs w:val="20"/>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Fonts w:ascii="IBM Plex Sans" w:cs="IBM Plex Sans" w:eastAsia="IBM Plex Sans" w:hAnsi="IBM Plex Sans"/>
          <w:color w:val="94d882"/>
          <w:sz w:val="45"/>
          <w:szCs w:val="45"/>
          <w:rtl w:val="0"/>
        </w:rPr>
        <w:t xml:space="preserv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45"/>
          <w:szCs w:val="45"/>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34d399"/>
          <w:sz w:val="45"/>
          <w:szCs w:val="45"/>
          <w:shd w:fill="064e3b" w:val="clear"/>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45"/>
          <w:szCs w:val="45"/>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1440" w:right="1440" w:firstLine="0"/>
        <w:jc w:val="center"/>
        <w:rPr>
          <w:rFonts w:ascii="IBM Plex Sans" w:cs="IBM Plex Sans" w:eastAsia="IBM Plex Sans" w:hAnsi="IBM Plex Sans"/>
          <w:color w:val="064e3b"/>
          <w:sz w:val="35"/>
          <w:szCs w:val="35"/>
        </w:rPr>
      </w:pPr>
      <w:r w:rsidDel="00000000" w:rsidR="00000000" w:rsidRPr="00000000">
        <w:rPr>
          <w:rFonts w:ascii="IBM Plex Sans" w:cs="IBM Plex Sans" w:eastAsia="IBM Plex Sans" w:hAnsi="IBM Plex Sans"/>
          <w:color w:val="064e3b"/>
          <w:sz w:val="45"/>
          <w:szCs w:val="45"/>
          <w:rtl w:val="0"/>
        </w:rPr>
        <w:t xml:space="preserve">{{REPORT_TITLE}}</w:t>
      </w: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1F">
      <w:pPr>
        <w:spacing w:after="220" w:before="220" w:line="392.64"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Penetration Test on {{TARGET]]</w:t>
      </w:r>
    </w:p>
    <w:p w:rsidR="00000000" w:rsidDel="00000000" w:rsidP="00000000" w:rsidRDefault="00000000" w:rsidRPr="00000000" w14:paraId="00000020">
      <w:pPr>
        <w:spacing w:after="220" w:before="220" w:line="192.48000000000002" w:lineRule="auto"/>
        <w:jc w:val="center"/>
        <w:rPr>
          <w:rFonts w:ascii="IBM Plex Sans" w:cs="IBM Plex Sans" w:eastAsia="IBM Plex Sans" w:hAnsi="IBM Plex Sans"/>
          <w:color w:val="064e3b"/>
          <w:sz w:val="23"/>
          <w:szCs w:val="23"/>
        </w:rPr>
      </w:pPr>
      <w:r w:rsidDel="00000000" w:rsidR="00000000" w:rsidRPr="00000000">
        <w:rPr>
          <w:rFonts w:ascii="IBM Plex Sans" w:cs="IBM Plex Sans" w:eastAsia="IBM Plex Sans" w:hAnsi="IBM Plex Sans"/>
          <w:color w:val="064e3b"/>
          <w:sz w:val="23"/>
          <w:szCs w:val="23"/>
          <w:rtl w:val="0"/>
        </w:rPr>
        <w:t xml:space="preserve">Completed {{COMPLETION_DATE}}</w:t>
      </w:r>
    </w:p>
    <w:p w:rsidR="00000000" w:rsidDel="00000000" w:rsidP="00000000" w:rsidRDefault="00000000" w:rsidRPr="00000000" w14:paraId="00000021">
      <w:pPr>
        <w:ind w:left="720" w:right="1440" w:firstLine="0"/>
        <w:jc w:val="center"/>
        <w:rPr>
          <w:rFonts w:ascii="IBM Plex Sans" w:cs="IBM Plex Sans" w:eastAsia="IBM Plex Sans" w:hAnsi="IBM Plex Sans"/>
          <w:color w:val="064e3b"/>
          <w:sz w:val="33"/>
          <w:szCs w:val="33"/>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94d882"/>
          <w:sz w:val="35"/>
          <w:szCs w:val="35"/>
        </w:rPr>
      </w:pPr>
      <w:r w:rsidDel="00000000" w:rsidR="00000000" w:rsidRPr="00000000">
        <w:rPr>
          <w:rtl w:val="0"/>
        </w:rPr>
      </w:r>
    </w:p>
    <w:p w:rsidR="00000000" w:rsidDel="00000000" w:rsidP="00000000" w:rsidRDefault="00000000" w:rsidRPr="00000000" w14:paraId="00000023">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4">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5">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6">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7">
      <w:pPr>
        <w:spacing w:before="0" w:lineRule="auto"/>
        <w:ind w:left="1440" w:right="1440" w:firstLine="0"/>
        <w:jc w:val="center"/>
        <w:rPr>
          <w:rFonts w:ascii="IBM Plex Sans" w:cs="IBM Plex Sans" w:eastAsia="IBM Plex Sans" w:hAnsi="IBM Plex Sans"/>
          <w:color w:val="4590e2"/>
          <w:sz w:val="45"/>
          <w:szCs w:val="45"/>
        </w:rPr>
      </w:pPr>
      <w:r w:rsidDel="00000000" w:rsidR="00000000" w:rsidRPr="00000000">
        <w:rPr>
          <w:rFonts w:ascii="IBM Plex Sans" w:cs="IBM Plex Sans" w:eastAsia="IBM Plex Sans" w:hAnsi="IBM Plex Sans"/>
          <w:color w:val="4590e2"/>
          <w:sz w:val="45"/>
          <w:szCs w:val="45"/>
          <w:rtl w:val="0"/>
        </w:rPr>
        <w:t xml:space="preserve"> </w:t>
      </w:r>
    </w:p>
    <w:p w:rsidR="00000000" w:rsidDel="00000000" w:rsidP="00000000" w:rsidRDefault="00000000" w:rsidRPr="00000000" w14:paraId="00000028">
      <w:pPr>
        <w:spacing w:before="0" w:lineRule="auto"/>
        <w:ind w:left="144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9">
      <w:pPr>
        <w:spacing w:before="0" w:lineRule="auto"/>
        <w:ind w:left="0" w:right="1440" w:firstLine="0"/>
        <w:jc w:val="left"/>
        <w:rPr>
          <w:rFonts w:ascii="IBM Plex Sans" w:cs="IBM Plex Sans" w:eastAsia="IBM Plex Sans" w:hAnsi="IBM Plex Sans"/>
          <w:color w:val="4590e2"/>
          <w:sz w:val="35"/>
          <w:szCs w:val="35"/>
        </w:rPr>
      </w:pPr>
      <w:r w:rsidDel="00000000" w:rsidR="00000000" w:rsidRPr="00000000">
        <w:rPr>
          <w:rtl w:val="0"/>
        </w:rPr>
      </w:r>
    </w:p>
    <w:p w:rsidR="00000000" w:rsidDel="00000000" w:rsidP="00000000" w:rsidRDefault="00000000" w:rsidRPr="00000000" w14:paraId="0000002A">
      <w:pPr>
        <w:tabs>
          <w:tab w:val="left" w:leader="none" w:pos="10408"/>
          <w:tab w:val="left" w:leader="none" w:pos="11365"/>
        </w:tabs>
        <w:ind w:right="1440"/>
        <w:jc w:val="center"/>
        <w:rPr>
          <w:rFonts w:ascii="IBM Plex Sans" w:cs="IBM Plex Sans" w:eastAsia="IBM Plex Sans" w:hAnsi="IBM Plex Sans"/>
          <w:color w:val="4590e2"/>
          <w:sz w:val="36"/>
          <w:szCs w:val="36"/>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color w:val="ffffff"/>
          <w:sz w:val="36"/>
          <w:szCs w:val="36"/>
          <w:rtl w:val="0"/>
        </w:rPr>
        <w:t xml:space="preserve">     </w:t>
      </w:r>
      <w:r w:rsidDel="00000000" w:rsidR="00000000" w:rsidRPr="00000000">
        <w:rPr>
          <w:rtl w:val="0"/>
        </w:rPr>
      </w:r>
    </w:p>
    <w:p w:rsidR="00000000" w:rsidDel="00000000" w:rsidP="00000000" w:rsidRDefault="00000000" w:rsidRPr="00000000" w14:paraId="0000002C">
      <w:pPr>
        <w:ind w:left="1440" w:right="1440" w:firstLine="0"/>
        <w:rPr>
          <w:rFonts w:ascii="IBM Plex Sans" w:cs="IBM Plex Sans" w:eastAsia="IBM Plex Sans" w:hAnsi="IBM Plex Sans"/>
          <w:sz w:val="28"/>
          <w:szCs w:val="28"/>
        </w:rPr>
      </w:pPr>
      <w:r w:rsidDel="00000000" w:rsidR="00000000" w:rsidRPr="00000000">
        <w:rPr>
          <w:rFonts w:ascii="IBM Plex Sans" w:cs="IBM Plex Sans" w:eastAsia="IBM Plex Sans" w:hAnsi="IBM Plex Sans"/>
          <w:sz w:val="28"/>
          <w:szCs w:val="28"/>
          <w:rtl w:val="0"/>
        </w:rPr>
        <w:t xml:space="preserve">This report is confidential and intended solely for authorized</w:t>
      </w:r>
    </w:p>
    <w:p w:rsidR="00000000" w:rsidDel="00000000" w:rsidP="00000000" w:rsidRDefault="00000000" w:rsidRPr="00000000" w14:paraId="0000002D">
      <w:pPr>
        <w:spacing w:line="480" w:lineRule="auto"/>
        <w:ind w:left="1440" w:right="1440" w:firstLine="0"/>
        <w:jc w:val="center"/>
        <w:rPr>
          <w:rFonts w:ascii="IBM Plex Sans" w:cs="IBM Plex Sans" w:eastAsia="IBM Plex Sans" w:hAnsi="IBM Plex Sans"/>
          <w:color w:val="4590e2"/>
          <w:sz w:val="36"/>
          <w:szCs w:val="36"/>
        </w:rPr>
      </w:pPr>
      <w:r w:rsidDel="00000000" w:rsidR="00000000" w:rsidRPr="00000000">
        <w:rPr>
          <w:rFonts w:ascii="IBM Plex Sans" w:cs="IBM Plex Sans" w:eastAsia="IBM Plex Sans" w:hAnsi="IBM Plex Sans"/>
          <w:sz w:val="28"/>
          <w:szCs w:val="28"/>
          <w:rtl w:val="0"/>
        </w:rPr>
        <w:t xml:space="preserve">recipients.</w:t>
      </w:r>
      <w:r w:rsidDel="00000000" w:rsidR="00000000" w:rsidRPr="00000000">
        <w:rPr>
          <w:rFonts w:ascii="IBM Plex Sans" w:cs="IBM Plex Sans" w:eastAsia="IBM Plex Sans" w:hAnsi="IBM Plex Sans"/>
          <w:color w:val="4590e2"/>
          <w:sz w:val="36"/>
          <w:szCs w:val="36"/>
        </w:rPr>
        <w:drawing>
          <wp:anchor allowOverlap="1" behindDoc="0" distB="114300" distT="114300" distL="114300" distR="114300" hidden="0" layoutInCell="1" locked="0" relativeHeight="0" simplePos="0">
            <wp:simplePos x="0" y="0"/>
            <wp:positionH relativeFrom="page">
              <wp:posOffset>2486025</wp:posOffset>
            </wp:positionH>
            <wp:positionV relativeFrom="page">
              <wp:posOffset>4029075</wp:posOffset>
            </wp:positionV>
            <wp:extent cx="5329238" cy="5334000"/>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8"/>
                    <a:srcRect b="0" l="45" r="45" t="0"/>
                    <a:stretch>
                      <a:fillRect/>
                    </a:stretch>
                  </pic:blipFill>
                  <pic:spPr>
                    <a:xfrm>
                      <a:off x="0" y="0"/>
                      <a:ext cx="5329238" cy="5334000"/>
                    </a:xfrm>
                    <a:prstGeom prst="rect"/>
                    <a:ln/>
                  </pic:spPr>
                </pic:pic>
              </a:graphicData>
            </a:graphic>
          </wp:anchor>
        </w:drawing>
      </w:r>
      <w:r w:rsidDel="00000000" w:rsidR="00000000" w:rsidRPr="00000000">
        <w:rPr>
          <w:rtl w:val="0"/>
        </w:rPr>
      </w:r>
    </w:p>
    <w:tbl>
      <w:tblPr>
        <w:tblStyle w:val="Table1"/>
        <w:tblpPr w:leftFromText="180" w:rightFromText="180" w:topFromText="180" w:bottomFromText="180" w:vertAnchor="margin" w:horzAnchor="margin" w:tblpXSpec="center" w:tblpYSpec="top"/>
        <w:tblW w:w="9615.0" w:type="dxa"/>
        <w:jc w:val="center"/>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95"/>
        <w:gridCol w:w="1545"/>
        <w:gridCol w:w="2370"/>
        <w:gridCol w:w="4605"/>
        <w:tblGridChange w:id="0">
          <w:tblGrid>
            <w:gridCol w:w="1095"/>
            <w:gridCol w:w="1545"/>
            <w:gridCol w:w="2370"/>
            <w:gridCol w:w="4605"/>
          </w:tblGrid>
        </w:tblGridChange>
      </w:tblGrid>
      <w:tr>
        <w:trPr>
          <w:cantSplit w:val="0"/>
          <w:tblHeader w:val="0"/>
        </w:trPr>
        <w:tc>
          <w:tcPr>
            <w:shd w:fill="064e3b" w:val="clear"/>
          </w:tcPr>
          <w:p w:rsidR="00000000" w:rsidDel="00000000" w:rsidP="00000000" w:rsidRDefault="00000000" w:rsidRPr="00000000" w14:paraId="0000002E">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Version</w:t>
            </w:r>
          </w:p>
        </w:tc>
        <w:tc>
          <w:tcPr>
            <w:shd w:fill="064e3b" w:val="clear"/>
          </w:tcPr>
          <w:p w:rsidR="00000000" w:rsidDel="00000000" w:rsidP="00000000" w:rsidRDefault="00000000" w:rsidRPr="00000000" w14:paraId="0000002F">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Date</w:t>
            </w:r>
          </w:p>
        </w:tc>
        <w:tc>
          <w:tcPr>
            <w:shd w:fill="064e3b" w:val="clear"/>
          </w:tcPr>
          <w:p w:rsidR="00000000" w:rsidDel="00000000" w:rsidP="00000000" w:rsidRDefault="00000000" w:rsidRPr="00000000" w14:paraId="00000030">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Tester</w:t>
            </w:r>
          </w:p>
        </w:tc>
        <w:tc>
          <w:tcPr>
            <w:shd w:fill="064e3b" w:val="clear"/>
          </w:tcPr>
          <w:p w:rsidR="00000000" w:rsidDel="00000000" w:rsidP="00000000" w:rsidRDefault="00000000" w:rsidRPr="00000000" w14:paraId="00000031">
            <w:pPr>
              <w:jc w:val="center"/>
              <w:rPr>
                <w:rFonts w:ascii="IBM Plex Sans" w:cs="IBM Plex Sans" w:eastAsia="IBM Plex Sans" w:hAnsi="IBM Plex Sans"/>
                <w:color w:val="34d399"/>
                <w:sz w:val="24"/>
                <w:szCs w:val="24"/>
              </w:rPr>
            </w:pPr>
            <w:r w:rsidDel="00000000" w:rsidR="00000000" w:rsidRPr="00000000">
              <w:rPr>
                <w:rFonts w:ascii="IBM Plex Sans" w:cs="IBM Plex Sans" w:eastAsia="IBM Plex Sans" w:hAnsi="IBM Plex Sans"/>
                <w:color w:val="34d399"/>
                <w:sz w:val="24"/>
                <w:szCs w:val="24"/>
                <w:rtl w:val="0"/>
              </w:rPr>
              <w:t xml:space="preserve">Notes</w:t>
            </w:r>
          </w:p>
        </w:tc>
      </w:tr>
      <w:tr>
        <w:trPr>
          <w:cantSplit w:val="0"/>
          <w:tblHeader w:val="0"/>
        </w:trPr>
        <w:tc>
          <w:tcPr>
            <w:shd w:fill="ffffff" w:val="clear"/>
          </w:tcPr>
          <w:p w:rsidR="00000000" w:rsidDel="00000000" w:rsidP="00000000" w:rsidRDefault="00000000" w:rsidRPr="00000000" w14:paraId="00000032">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{{REPORT_VERSION</w:t>
            </w:r>
          </w:p>
        </w:tc>
        <w:tc>
          <w:tcPr>
            <w:shd w:fill="ffffff" w:val="clear"/>
          </w:tcPr>
          <w:p w:rsidR="00000000" w:rsidDel="00000000" w:rsidP="00000000" w:rsidRDefault="00000000" w:rsidRPr="00000000" w14:paraId="00000033">
            <w:pPr>
              <w:spacing w:before="200" w:line="36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{{REPORT_DATE}}</w:t>
            </w:r>
          </w:p>
        </w:tc>
        <w:tc>
          <w:tcPr>
            <w:shd w:fill="ffffff" w:val="clear"/>
          </w:tcPr>
          <w:p w:rsidR="00000000" w:rsidDel="00000000" w:rsidP="00000000" w:rsidRDefault="00000000" w:rsidRPr="00000000" w14:paraId="00000034">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{{TESTER_NAME]]</w:t>
            </w:r>
          </w:p>
        </w:tc>
        <w:tc>
          <w:tcPr>
            <w:shd w:fill="ffffff" w:val="clear"/>
          </w:tcPr>
          <w:p w:rsidR="00000000" w:rsidDel="00000000" w:rsidP="00000000" w:rsidRDefault="00000000" w:rsidRPr="00000000" w14:paraId="00000035">
            <w:pPr>
              <w:spacing w:after="220" w:before="220" w:line="240" w:lineRule="auto"/>
              <w:jc w:val="cente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Penetration Test for {{CLIENT_NAME}}</w:t>
            </w:r>
          </w:p>
        </w:tc>
      </w:tr>
    </w:tbl>
    <w:p w:rsidR="00000000" w:rsidDel="00000000" w:rsidP="00000000" w:rsidRDefault="00000000" w:rsidRPr="00000000" w14:paraId="00000036">
      <w:pPr>
        <w:spacing w:line="480" w:lineRule="auto"/>
        <w:ind w:left="0" w:right="1440" w:firstLine="0"/>
        <w:jc w:val="left"/>
        <w:rPr>
          <w:rFonts w:ascii="IBM Plex Sans" w:cs="IBM Plex Sans" w:eastAsia="IBM Plex Sans" w:hAnsi="IBM Plex Sans"/>
          <w:color w:val="4590e2"/>
          <w:sz w:val="36"/>
          <w:szCs w:val="36"/>
        </w:rPr>
        <w:sectPr>
          <w:footerReference r:id="rId9" w:type="default"/>
          <w:pgSz w:h="15840" w:w="12240" w:orient="portrait"/>
          <w:pgMar w:bottom="720" w:top="720" w:left="720" w:right="720" w:header="360" w:footer="360"/>
          <w:pgNumType w:start="1"/>
        </w:sectPr>
      </w:pPr>
      <w:r w:rsidDel="00000000" w:rsidR="00000000" w:rsidRPr="00000000">
        <w:rPr>
          <w:rtl w:val="0"/>
        </w:rPr>
      </w:r>
    </w:p>
    <w:p w:rsidR="00000000" w:rsidDel="00000000" w:rsidP="00000000" w:rsidRDefault="00000000" w:rsidRPr="00000000" w14:paraId="00000037">
      <w:pPr>
        <w:pStyle w:val="Heading1"/>
        <w:spacing w:line="240" w:lineRule="auto"/>
        <w:ind w:left="720" w:right="1440" w:firstLine="720"/>
        <w:jc w:val="center"/>
        <w:rPr>
          <w:rFonts w:ascii="IBM Plex Sans" w:cs="IBM Plex Sans" w:eastAsia="IBM Plex Sans" w:hAnsi="IBM Plex Sans"/>
          <w:color w:val="064e3b"/>
        </w:rPr>
      </w:pPr>
      <w:bookmarkStart w:colFirst="0" w:colLast="0" w:name="_heading=h.4rux5xkum9ro" w:id="0"/>
      <w:bookmarkEnd w:id="0"/>
      <w:r w:rsidDel="00000000" w:rsidR="00000000" w:rsidRPr="00000000">
        <w:rPr>
          <w:rFonts w:ascii="IBM Plex Sans" w:cs="IBM Plex Sans" w:eastAsia="IBM Plex Sans" w:hAnsi="IBM Plex Sans"/>
          <w:color w:val="064e3b"/>
          <w:rtl w:val="0"/>
        </w:rPr>
        <w:t xml:space="preserve">Table of Contents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sdt>
      <w:sdtPr>
        <w:id w:val="-2049185710"/>
        <w:docPartObj>
          <w:docPartGallery w:val="Table of Contents"/>
          <w:docPartUnique w:val="1"/>
        </w:docPartObj>
      </w:sdtPr>
      <w:sdtContent>
        <w:p w:rsidR="00000000" w:rsidDel="00000000" w:rsidP="00000000" w:rsidRDefault="00000000" w:rsidRPr="00000000" w14:paraId="0000003A">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4rux5xkum9ro">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B">
          <w:pPr>
            <w:tabs>
              <w:tab w:val="right" w:leader="none" w:pos="12000"/>
            </w:tabs>
            <w:spacing w:before="60" w:lineRule="auto"/>
            <w:rPr>
              <w:b w:val="1"/>
              <w:bCs w:val="1"/>
              <w:color w:val="000000"/>
              <w:u w:val="none"/>
            </w:rPr>
          </w:pPr>
          <w:hyperlink w:anchor="_heading=h.flwqcdbs0kgw">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About Affordable Pentesting</w:t>
              <w:tab/>
              <w:t xml:space="preserve">4</w:t>
            </w:r>
          </w:hyperlink>
          <w:r w:rsidDel="00000000" w:rsidR="00000000" w:rsidRPr="00000000">
            <w:rPr>
              <w:rtl w:val="0"/>
            </w:rPr>
          </w:r>
        </w:p>
        <w:p w:rsidR="00000000" w:rsidDel="00000000" w:rsidP="00000000" w:rsidRDefault="00000000" w:rsidRPr="00000000" w14:paraId="0000003C">
          <w:pPr>
            <w:tabs>
              <w:tab w:val="right" w:leader="none" w:pos="12000"/>
            </w:tabs>
            <w:spacing w:before="60" w:lineRule="auto"/>
            <w:ind w:left="720" w:firstLine="0"/>
            <w:rPr>
              <w:color w:val="000000"/>
              <w:u w:val="none"/>
            </w:rPr>
          </w:pPr>
          <w:hyperlink w:anchor="_heading=h.e7uqmm3nyvmu">
            <w:r w:rsidDel="00000000" w:rsidR="00000000" w:rsidRPr="00000000">
              <w:rPr>
                <w:rFonts w:ascii="Verdana" w:cs="Verdana" w:eastAsia="Verdana" w:hAnsi="Verdana"/>
                <w:b w:val="0"/>
                <w:bCs w:val="0"/>
                <w:i w:val="0"/>
                <w:iCs w:val="0"/>
                <w:smallCaps w:val="0"/>
                <w:strike w:val="0"/>
                <w:color w:val="000000"/>
                <w:sz w:val="22"/>
                <w:szCs w:val="22"/>
                <w:u w:val="none"/>
                <w:shd w:fill="auto" w:val="clear"/>
                <w:vertAlign w:val="baseline"/>
                <w:rtl w:val="0"/>
              </w:rPr>
              <w:t xml:space="preserve">Third-Party Attestation Statement</w:t>
              <w:tab/>
              <w:t xml:space="preserve">4</w:t>
            </w:r>
          </w:hyperlink>
          <w:r w:rsidDel="00000000" w:rsidR="00000000" w:rsidRPr="00000000">
            <w:rPr>
              <w:rtl w:val="0"/>
            </w:rPr>
          </w:r>
        </w:p>
        <w:p w:rsidR="00000000" w:rsidDel="00000000" w:rsidP="00000000" w:rsidRDefault="00000000" w:rsidRPr="00000000" w14:paraId="0000003D">
          <w:pPr>
            <w:tabs>
              <w:tab w:val="right" w:leader="none" w:pos="12000"/>
            </w:tabs>
            <w:spacing w:before="60" w:lineRule="auto"/>
            <w:rPr>
              <w:b w:val="1"/>
              <w:bCs w:val="1"/>
              <w:color w:val="000000"/>
              <w:u w:val="none"/>
            </w:rPr>
          </w:pPr>
          <w:hyperlink w:anchor="_heading=h.3lip5046076p">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Executive Summary</w:t>
              <w:tab/>
              <w:t xml:space="preserve">5</w:t>
            </w:r>
          </w:hyperlink>
          <w:r w:rsidDel="00000000" w:rsidR="00000000" w:rsidRPr="00000000">
            <w:rPr>
              <w:rtl w:val="0"/>
            </w:rPr>
          </w:r>
        </w:p>
        <w:p w:rsidR="00000000" w:rsidDel="00000000" w:rsidP="00000000" w:rsidRDefault="00000000" w:rsidRPr="00000000" w14:paraId="0000003E">
          <w:pPr>
            <w:tabs>
              <w:tab w:val="right" w:leader="none" w:pos="12000"/>
            </w:tabs>
            <w:spacing w:before="60" w:lineRule="auto"/>
            <w:rPr>
              <w:b w:val="1"/>
              <w:bCs w:val="1"/>
              <w:color w:val="000000"/>
              <w:u w:val="none"/>
            </w:rPr>
          </w:pPr>
          <w:hyperlink w:anchor="_heading=h.r6cwjzfa8xr2">
            <w:r w:rsidDel="00000000" w:rsidR="00000000" w:rsidRPr="00000000">
              <w:rPr>
                <w:rFonts w:ascii="Verdana" w:cs="Verdana" w:eastAsia="Verdana" w:hAnsi="Verdana"/>
                <w:b w:val="1"/>
                <w:bCs w:val="1"/>
                <w:i w:val="0"/>
                <w:iCs w:val="0"/>
                <w:smallCaps w:val="0"/>
                <w:strike w:val="0"/>
                <w:color w:val="000000"/>
                <w:sz w:val="22"/>
                <w:szCs w:val="22"/>
                <w:u w:val="none"/>
                <w:shd w:fill="auto" w:val="clear"/>
                <w:vertAlign w:val="baseline"/>
                <w:rtl w:val="0"/>
              </w:rPr>
              <w:t xml:space="preserve">Findings Summary</w:t>
              <w:tab/>
              <w:t xml:space="preserve">6</w:t>
            </w:r>
          </w:hyperlink>
          <w:r w:rsidDel="00000000" w:rsidR="00000000" w:rsidRPr="00000000">
            <w:rPr>
              <w:rtl w:val="0"/>
            </w:rPr>
          </w:r>
        </w:p>
        <w:p w:rsidR="00000000" w:rsidDel="00000000" w:rsidP="00000000" w:rsidRDefault="00000000" w:rsidRPr="00000000" w14:paraId="0000003F">
          <w:pPr>
            <w:tabs>
              <w:tab w:val="right" w:leader="none" w:pos="12000"/>
            </w:tabs>
            <w:spacing w:before="60" w:lineRule="auto"/>
            <w:rPr>
              <w:b w:val="1"/>
              <w:bCs w:val="1"/>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Assessment Overview</w:t>
              <w:tab/>
              <w:t xml:space="preserve">7</w:t>
            </w:r>
          </w:hyperlink>
          <w:r w:rsidDel="00000000" w:rsidR="00000000" w:rsidRPr="00000000">
            <w:rPr>
              <w:rtl w:val="0"/>
            </w:rPr>
          </w:r>
        </w:p>
        <w:p w:rsidR="00000000" w:rsidDel="00000000" w:rsidP="00000000" w:rsidRDefault="00000000" w:rsidRPr="00000000" w14:paraId="00000040">
          <w:pPr>
            <w:tabs>
              <w:tab w:val="right" w:leader="none" w:pos="12000"/>
            </w:tabs>
            <w:spacing w:before="60" w:lineRule="auto"/>
            <w:ind w:left="360" w:firstLine="0"/>
            <w:rPr>
              <w:color w:val="000000"/>
              <w:u w:val="none"/>
            </w:rPr>
          </w:pPr>
          <w:hyperlink w:anchor="_heading=h.wxt0f654wmu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Purpose</w:t>
              <w:tab/>
              <w:t xml:space="preserve">7</w:t>
            </w:r>
          </w:hyperlink>
          <w:r w:rsidDel="00000000" w:rsidR="00000000" w:rsidRPr="00000000">
            <w:rPr>
              <w:rtl w:val="0"/>
            </w:rPr>
          </w:r>
        </w:p>
        <w:p w:rsidR="00000000" w:rsidDel="00000000" w:rsidP="00000000" w:rsidRDefault="00000000" w:rsidRPr="00000000" w14:paraId="00000041">
          <w:pPr>
            <w:tabs>
              <w:tab w:val="right" w:leader="none" w:pos="12000"/>
            </w:tabs>
            <w:spacing w:before="60" w:lineRule="auto"/>
            <w:ind w:left="360" w:firstLine="0"/>
            <w:rPr>
              <w:color w:val="000000"/>
              <w:u w:val="none"/>
            </w:rPr>
          </w:pPr>
          <w:hyperlink w:anchor="_heading=h.k6m6hcb5rxg1">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Scope</w:t>
              <w:tab/>
              <w:t xml:space="preserve">7</w:t>
            </w:r>
          </w:hyperlink>
          <w:r w:rsidDel="00000000" w:rsidR="00000000" w:rsidRPr="00000000">
            <w:rPr>
              <w:rtl w:val="0"/>
            </w:rPr>
          </w:r>
        </w:p>
        <w:p w:rsidR="00000000" w:rsidDel="00000000" w:rsidP="00000000" w:rsidRDefault="00000000" w:rsidRPr="00000000" w14:paraId="00000042">
          <w:pPr>
            <w:tabs>
              <w:tab w:val="right" w:leader="none" w:pos="12000"/>
            </w:tabs>
            <w:spacing w:before="60" w:lineRule="auto"/>
            <w:ind w:left="360" w:firstLine="0"/>
            <w:rPr>
              <w:color w:val="000000"/>
              <w:u w:val="none"/>
            </w:rPr>
          </w:pPr>
          <w:hyperlink w:anchor="_heading=h.vfr7yihimo4t">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Tools and Test Cases</w:t>
              <w:tab/>
              <w:t xml:space="preserve">7</w:t>
            </w:r>
          </w:hyperlink>
          <w:r w:rsidDel="00000000" w:rsidR="00000000" w:rsidRPr="00000000">
            <w:rPr>
              <w:rtl w:val="0"/>
            </w:rPr>
          </w:r>
        </w:p>
        <w:p w:rsidR="00000000" w:rsidDel="00000000" w:rsidP="00000000" w:rsidRDefault="00000000" w:rsidRPr="00000000" w14:paraId="00000043">
          <w:pPr>
            <w:tabs>
              <w:tab w:val="right" w:leader="none" w:pos="12000"/>
            </w:tabs>
            <w:spacing w:before="60" w:lineRule="auto"/>
            <w:rPr>
              <w:b w:val="1"/>
              <w:bCs w:val="1"/>
              <w:color w:val="000000"/>
              <w:u w:val="none"/>
            </w:rPr>
          </w:pPr>
          <w:hyperlink w:anchor="_heading=h.fxf6t3fpqce6">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Methodology</w:t>
              <w:tab/>
              <w:t xml:space="preserve">8</w:t>
            </w:r>
          </w:hyperlink>
          <w:r w:rsidDel="00000000" w:rsidR="00000000" w:rsidRPr="00000000">
            <w:rPr>
              <w:rtl w:val="0"/>
            </w:rPr>
          </w:r>
        </w:p>
        <w:p w:rsidR="00000000" w:rsidDel="00000000" w:rsidP="00000000" w:rsidRDefault="00000000" w:rsidRPr="00000000" w14:paraId="00000044">
          <w:pPr>
            <w:tabs>
              <w:tab w:val="right" w:leader="none" w:pos="12000"/>
            </w:tabs>
            <w:spacing w:before="60" w:lineRule="auto"/>
            <w:rPr>
              <w:b w:val="1"/>
              <w:bCs w:val="1"/>
              <w:color w:val="000000"/>
              <w:u w:val="none"/>
            </w:rPr>
          </w:pPr>
          <w:hyperlink w:anchor="_heading=h.nqxrxh4maedu">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Technical Findings</w:t>
              <w:tab/>
              <w:t xml:space="preserve">9</w:t>
            </w:r>
          </w:hyperlink>
          <w:r w:rsidDel="00000000" w:rsidR="00000000" w:rsidRPr="00000000">
            <w:rPr>
              <w:rtl w:val="0"/>
            </w:rPr>
          </w:r>
        </w:p>
        <w:p w:rsidR="00000000" w:rsidDel="00000000" w:rsidP="00000000" w:rsidRDefault="00000000" w:rsidRPr="00000000" w14:paraId="00000045">
          <w:pPr>
            <w:tabs>
              <w:tab w:val="right" w:leader="none" w:pos="12000"/>
            </w:tabs>
            <w:spacing w:before="60" w:lineRule="auto"/>
            <w:ind w:left="360" w:firstLine="0"/>
            <w:rPr>
              <w:color w:val="000000"/>
              <w:u w:val="none"/>
            </w:rPr>
          </w:pPr>
          <w:hyperlink w:anchor="_heading=h.hmtzpkp11xg6">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01-Cross-tenant report injection on scanner /command_scan_private writes attacker-controlled scan records and report files into foreign tenant directories</w:t>
              <w:tab/>
              <w:t xml:space="preserve">9</w:t>
            </w:r>
          </w:hyperlink>
          <w:r w:rsidDel="00000000" w:rsidR="00000000" w:rsidRPr="00000000">
            <w:rPr>
              <w:rtl w:val="0"/>
            </w:rPr>
          </w:r>
        </w:p>
        <w:p w:rsidR="00000000" w:rsidDel="00000000" w:rsidP="00000000" w:rsidRDefault="00000000" w:rsidRPr="00000000" w14:paraId="00000046">
          <w:pPr>
            <w:tabs>
              <w:tab w:val="right" w:leader="none" w:pos="12000"/>
            </w:tabs>
            <w:spacing w:before="60" w:lineRule="auto"/>
            <w:ind w:left="360" w:firstLine="0"/>
            <w:rPr>
              <w:color w:val="000000"/>
              <w:u w:val="none"/>
            </w:rPr>
          </w:pPr>
          <w:hyperlink w:anchor="_heading=h.60z45231t1v7">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02-Cross-tenant tenant_id parameter accepted on scanner /command_scan_private allowing tenant-isolation bypass</w:t>
              <w:tab/>
              <w:t xml:space="preserve">13</w:t>
            </w:r>
          </w:hyperlink>
          <w:r w:rsidDel="00000000" w:rsidR="00000000" w:rsidRPr="00000000">
            <w:rPr>
              <w:rtl w:val="0"/>
            </w:rPr>
          </w:r>
        </w:p>
        <w:p w:rsidR="00000000" w:rsidDel="00000000" w:rsidP="00000000" w:rsidRDefault="00000000" w:rsidRPr="00000000" w14:paraId="00000047">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03-SSRF on scanner /command_scan_private chained via public 303 redirector exfiltrates Azure Managed Identity access tokens (full IMDS compromise)</w:t>
              <w:tab/>
              <w:t xml:space="preserve">16</w:t>
            </w:r>
          </w:hyperlink>
          <w:r w:rsidDel="00000000" w:rsidR="00000000" w:rsidRPr="00000000">
            <w:rPr>
              <w:rtl w:val="0"/>
            </w:rPr>
          </w:r>
        </w:p>
        <w:p w:rsidR="00000000" w:rsidDel="00000000" w:rsidP="00000000" w:rsidRDefault="00000000" w:rsidRPr="00000000" w14:paraId="00000048">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04-Server-Side Request Forgery in scanner /command_scan_private allows internal HTTP scanning and Azure IMDS access</w:t>
              <w:tab/>
              <w:t xml:space="preserve">20</w:t>
            </w:r>
          </w:hyperlink>
          <w:r w:rsidDel="00000000" w:rsidR="00000000" w:rsidRPr="00000000">
            <w:rPr>
              <w:rtl w:val="0"/>
            </w:rPr>
          </w:r>
        </w:p>
        <w:p w:rsidR="00000000" w:rsidDel="00000000" w:rsidP="00000000" w:rsidRDefault="00000000" w:rsidRPr="00000000" w14:paraId="00000049">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05-Cross-tenant file disclosure via scanner /app_runs/{tenant_folder}/{folder}/{filename} bypasses access-denied check</w:t>
              <w:tab/>
              <w:t xml:space="preserve">24</w:t>
            </w:r>
          </w:hyperlink>
          <w:r w:rsidDel="00000000" w:rsidR="00000000" w:rsidRPr="00000000">
            <w:rPr>
              <w:rtl w:val="0"/>
            </w:rPr>
          </w:r>
        </w:p>
        <w:p w:rsidR="00000000" w:rsidDel="00000000" w:rsidP="00000000" w:rsidRDefault="00000000" w:rsidRPr="00000000" w14:paraId="0000004A">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06-BOLA / IDOR on scanner /list_runs/{tenant_id} allows cross-tenant disclosure of scan run inventory</w:t>
              <w:tab/>
              <w:t xml:space="preserve">27</w:t>
            </w:r>
          </w:hyperlink>
          <w:r w:rsidDel="00000000" w:rsidR="00000000" w:rsidRPr="00000000">
            <w:rPr>
              <w:rtl w:val="0"/>
            </w:rPr>
          </w:r>
        </w:p>
        <w:p w:rsidR="00000000" w:rsidDel="00000000" w:rsidP="00000000" w:rsidRDefault="00000000" w:rsidRPr="00000000" w14:paraId="0000004B">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07-Unauthenticated access to /internal/logs on scanner-staging.acmecorp.example leaks cross-tenant audit records</w:t>
              <w:tab/>
              <w:t xml:space="preserve">29</w:t>
            </w:r>
          </w:hyperlink>
          <w:r w:rsidDel="00000000" w:rsidR="00000000" w:rsidRPr="00000000">
            <w:rPr>
              <w:rtl w:val="0"/>
            </w:rPr>
          </w:r>
        </w:p>
        <w:p w:rsidR="00000000" w:rsidDel="00000000" w:rsidP="00000000" w:rsidRDefault="00000000" w:rsidRPr="00000000" w14:paraId="0000004C">
          <w:pPr>
            <w:tabs>
              <w:tab w:val="right" w:leader="none" w:pos="12000"/>
            </w:tabs>
            <w:spacing w:before="60" w:lineRule="auto"/>
            <w:ind w:left="360" w:firstLine="0"/>
            <w:rPr>
              <w:color w:val="000000"/>
              <w:u w:val="none"/>
            </w:rPr>
          </w:pPr>
          <w:hyperlink w:anchor="_heading=">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08-Unauthenticated access to /internal/logs on trust-score-staging.acmecorp.example leaks 10,000+ cross-tenant audit records</w:t>
              <w:tab/>
              <w:t xml:space="preserve">32</w:t>
            </w:r>
          </w:hyperlink>
          <w:r w:rsidDel="00000000" w:rsidR="00000000" w:rsidRPr="00000000">
            <w:rPr>
              <w:rtl w:val="0"/>
            </w:rPr>
          </w:r>
        </w:p>
        <w:p w:rsidR="00000000" w:rsidDel="00000000" w:rsidP="00000000" w:rsidRDefault="00000000" w:rsidRPr="00000000" w14:paraId="0000004D">
          <w:pPr>
            <w:tabs>
              <w:tab w:val="right" w:leader="none" w:pos="12000"/>
            </w:tabs>
            <w:spacing w:before="60" w:lineRule="auto"/>
            <w:rPr>
              <w:b w:val="1"/>
              <w:bCs w:val="1"/>
              <w:color w:val="000000"/>
              <w:u w:val="none"/>
            </w:rPr>
          </w:pPr>
          <w:hyperlink w:anchor="_heading=h.ydp05i6nnsp">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Appendix</w:t>
              <w:tab/>
              <w:t xml:space="preserve">35</w:t>
            </w:r>
          </w:hyperlink>
          <w:r w:rsidDel="00000000" w:rsidR="00000000" w:rsidRPr="00000000">
            <w:rPr>
              <w:rtl w:val="0"/>
            </w:rPr>
          </w:r>
        </w:p>
        <w:p w:rsidR="00000000" w:rsidDel="00000000" w:rsidP="00000000" w:rsidRDefault="00000000" w:rsidRPr="00000000" w14:paraId="0000004E">
          <w:pPr>
            <w:tabs>
              <w:tab w:val="right" w:leader="none" w:pos="12000"/>
            </w:tabs>
            <w:spacing w:before="60" w:lineRule="auto"/>
            <w:ind w:left="360" w:firstLine="0"/>
            <w:rPr>
              <w:color w:val="000000"/>
              <w:u w:val="none"/>
            </w:rPr>
          </w:pPr>
          <w:hyperlink w:anchor="_heading=h.l1a82dfgjzek">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Severity Descriptions</w:t>
              <w:tab/>
              <w:t xml:space="preserve">35</w:t>
            </w:r>
          </w:hyperlink>
          <w:r w:rsidDel="00000000" w:rsidR="00000000" w:rsidRPr="00000000">
            <w:rPr>
              <w:rtl w:val="0"/>
            </w:rPr>
          </w:r>
        </w:p>
        <w:p w:rsidR="00000000" w:rsidDel="00000000" w:rsidP="00000000" w:rsidRDefault="00000000" w:rsidRPr="00000000" w14:paraId="0000004F">
          <w:pPr>
            <w:tabs>
              <w:tab w:val="right" w:leader="none" w:pos="12000"/>
            </w:tabs>
            <w:spacing w:before="60" w:lineRule="auto"/>
            <w:ind w:left="360" w:firstLine="0"/>
            <w:rPr>
              <w:color w:val="000000"/>
              <w:u w:val="none"/>
            </w:rPr>
          </w:pPr>
          <w:hyperlink w:anchor="_heading=h.17l2zyu7ec8">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Risk Matrix</w:t>
              <w:tab/>
              <w:t xml:space="preserve">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52">
      <w:pPr>
        <w:pStyle w:val="Heading1"/>
        <w:spacing w:line="240" w:lineRule="auto"/>
        <w:ind w:left="720" w:right="1440" w:firstLine="720"/>
        <w:rPr>
          <w:rFonts w:ascii="IBM Plex Sans" w:cs="IBM Plex Sans" w:eastAsia="IBM Plex Sans" w:hAnsi="IBM Plex Sans"/>
          <w:color w:val="04092f"/>
          <w:sz w:val="50"/>
          <w:szCs w:val="50"/>
        </w:rPr>
      </w:pPr>
      <w:bookmarkStart w:colFirst="0" w:colLast="0" w:name="_heading=h.flwqcdbs0kgw" w:id="1"/>
      <w:bookmarkEnd w:id="1"/>
      <w:r w:rsidDel="00000000" w:rsidR="00000000" w:rsidRPr="00000000">
        <w:rPr>
          <w:rFonts w:ascii="IBM Plex Sans" w:cs="IBM Plex Sans" w:eastAsia="IBM Plex Sans" w:hAnsi="IBM Plex Sans"/>
          <w:color w:val="064e3b"/>
          <w:sz w:val="60"/>
          <w:szCs w:val="60"/>
          <w:rtl w:val="0"/>
        </w:rPr>
        <w:t xml:space="preserve">About Affordable Pentesting</w:t>
      </w:r>
      <w:r w:rsidDel="00000000" w:rsidR="00000000" w:rsidRPr="00000000">
        <w:rPr>
          <w:rtl w:val="0"/>
        </w:rPr>
      </w:r>
    </w:p>
    <w:p w:rsidR="00000000" w:rsidDel="00000000" w:rsidP="00000000" w:rsidRDefault="00000000" w:rsidRPr="00000000" w14:paraId="00000053">
      <w:pPr>
        <w:spacing w:after="240" w:before="240" w:line="240" w:lineRule="auto"/>
        <w:rPr>
          <w:rFonts w:ascii="IBM Plex Sans" w:cs="IBM Plex Sans" w:eastAsia="IBM Plex Sans" w:hAnsi="IBM Plex Sans"/>
          <w:b w:val="1"/>
          <w:bCs w:val="1"/>
          <w:color w:val="04092f"/>
          <w:sz w:val="26"/>
          <w:szCs w:val="26"/>
        </w:rPr>
      </w:pPr>
      <w:r w:rsidDel="00000000" w:rsidR="00000000" w:rsidRPr="00000000">
        <w:rPr>
          <w:rFonts w:ascii="IBM Plex Sans" w:cs="IBM Plex Sans" w:eastAsia="IBM Plex Sans" w:hAnsi="IBM Plex Sans"/>
          <w:rtl w:val="0"/>
        </w:rPr>
        <w:t xml:space="preserve">Security is a fundamental right, not a corporate luxury. At </w:t>
      </w:r>
      <w:r w:rsidDel="00000000" w:rsidR="00000000" w:rsidRPr="00000000">
        <w:rPr>
          <w:rFonts w:ascii="IBM Plex Sans" w:cs="IBM Plex Sans" w:eastAsia="IBM Plex Sans" w:hAnsi="IBM Plex Sans"/>
          <w:b w:val="1"/>
          <w:bCs w:val="1"/>
          <w:rtl w:val="0"/>
        </w:rPr>
        <w:t xml:space="preserve">AffordablePentesting.com</w:t>
      </w:r>
      <w:r w:rsidDel="00000000" w:rsidR="00000000" w:rsidRPr="00000000">
        <w:rPr>
          <w:rFonts w:ascii="IBM Plex Sans" w:cs="IBM Plex Sans" w:eastAsia="IBM Plex Sans" w:hAnsi="IBM Plex Sans"/>
          <w:rtl w:val="0"/>
        </w:rPr>
        <w:t xml:space="preserve">, we specialize in providing high-impact, manual security assessments designed for organizations that require elite technical depth without the enterprise price tag. We bridge the gap between automated scanning and expensive consultancy, ensuring that your data remains yours.</w:t>
      </w:r>
      <w:r w:rsidDel="00000000" w:rsidR="00000000" w:rsidRPr="00000000">
        <w:rPr>
          <w:rtl w:val="0"/>
        </w:rPr>
      </w:r>
    </w:p>
    <w:p w:rsidR="00000000" w:rsidDel="00000000" w:rsidP="00000000" w:rsidRDefault="00000000" w:rsidRPr="00000000" w14:paraId="00000054">
      <w:pPr>
        <w:spacing w:after="240" w:before="240" w:lin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Every finding within this document is vetted through a rigorous validation process. We don't just "run tools". Our methodology is built on three core pillars:</w:t>
      </w:r>
    </w:p>
    <w:p w:rsidR="00000000" w:rsidDel="00000000" w:rsidP="00000000" w:rsidRDefault="00000000" w:rsidRPr="00000000" w14:paraId="00000055">
      <w:pPr>
        <w:numPr>
          <w:ilvl w:val="0"/>
          <w:numId w:val="2"/>
        </w:numPr>
        <w:spacing w:after="0" w:before="240" w:line="240" w:lineRule="auto"/>
        <w:ind w:left="720" w:hanging="360"/>
        <w:jc w:val="left"/>
        <w:rPr/>
      </w:pPr>
      <w:r w:rsidDel="00000000" w:rsidR="00000000" w:rsidRPr="00000000">
        <w:rPr>
          <w:rFonts w:ascii="IBM Plex Sans" w:cs="IBM Plex Sans" w:eastAsia="IBM Plex Sans" w:hAnsi="IBM Plex Sans"/>
          <w:b w:val="1"/>
          <w:bCs w:val="1"/>
          <w:rtl w:val="0"/>
        </w:rPr>
        <w:t xml:space="preserve">Autonomous Intelligence</w:t>
      </w:r>
      <w:r w:rsidDel="00000000" w:rsidR="00000000" w:rsidRPr="00000000">
        <w:rPr>
          <w:rFonts w:ascii="IBM Plex Sans" w:cs="IBM Plex Sans" w:eastAsia="IBM Plex Sans" w:hAnsi="IBM Plex Sans"/>
          <w:rtl w:val="0"/>
        </w:rPr>
        <w:t xml:space="preserve">: Utilizing the latest AI models, we leverage hacking agents that think and evolve in real-time. Unlike static automated scripts or slow human testers, our AI identifies complex attack chains and multi-step vulnerabilities at machine speed, uncovering deep-seated logic flaws that legacy methods miss.</w:t>
      </w:r>
      <w:r w:rsidDel="00000000" w:rsidR="00000000" w:rsidRPr="00000000">
        <w:rPr>
          <w:rtl w:val="0"/>
        </w:rPr>
      </w:r>
    </w:p>
    <w:p w:rsidR="00000000" w:rsidDel="00000000" w:rsidP="00000000" w:rsidRDefault="00000000" w:rsidRPr="00000000" w14:paraId="00000056">
      <w:pPr>
        <w:numPr>
          <w:ilvl w:val="0"/>
          <w:numId w:val="2"/>
        </w:numPr>
        <w:spacing w:after="0" w:before="0" w:line="240" w:lineRule="auto"/>
        <w:ind w:left="720" w:hanging="360"/>
        <w:jc w:val="left"/>
        <w:rPr/>
      </w:pPr>
      <w:r w:rsidDel="00000000" w:rsidR="00000000" w:rsidRPr="00000000">
        <w:rPr>
          <w:rFonts w:ascii="IBM Plex Sans" w:cs="IBM Plex Sans" w:eastAsia="IBM Plex Sans" w:hAnsi="IBM Plex Sans"/>
          <w:b w:val="1"/>
          <w:bCs w:val="1"/>
          <w:rtl w:val="0"/>
        </w:rPr>
        <w:t xml:space="preserve">Industry Standards</w:t>
      </w:r>
      <w:r w:rsidDel="00000000" w:rsidR="00000000" w:rsidRPr="00000000">
        <w:rPr>
          <w:rFonts w:ascii="IBM Plex Sans" w:cs="IBM Plex Sans" w:eastAsia="IBM Plex Sans" w:hAnsi="IBM Plex Sans"/>
          <w:rtl w:val="0"/>
        </w:rPr>
        <w:t xml:space="preserve">: Our testing workflows are mapped to the OWASP Top 10, NIST SP 800-115, and PTES (Penetration Testing Execution Standard) frameworks.</w:t>
      </w:r>
      <w:r w:rsidDel="00000000" w:rsidR="00000000" w:rsidRPr="00000000">
        <w:rPr>
          <w:rtl w:val="0"/>
        </w:rPr>
      </w:r>
    </w:p>
    <w:p w:rsidR="00000000" w:rsidDel="00000000" w:rsidP="00000000" w:rsidRDefault="00000000" w:rsidRPr="00000000" w14:paraId="00000057">
      <w:pPr>
        <w:numPr>
          <w:ilvl w:val="0"/>
          <w:numId w:val="2"/>
        </w:numPr>
        <w:spacing w:after="240" w:before="0" w:line="240" w:lineRule="auto"/>
        <w:ind w:left="720" w:hanging="360"/>
        <w:jc w:val="left"/>
        <w:rPr/>
      </w:pPr>
      <w:r w:rsidDel="00000000" w:rsidR="00000000" w:rsidRPr="00000000">
        <w:rPr>
          <w:rFonts w:ascii="IBM Plex Sans" w:cs="IBM Plex Sans" w:eastAsia="IBM Plex Sans" w:hAnsi="IBM Plex Sans"/>
          <w:b w:val="1"/>
          <w:bCs w:val="1"/>
          <w:rtl w:val="0"/>
        </w:rPr>
        <w:t xml:space="preserve">Dynamic Risk Context</w:t>
      </w:r>
      <w:r w:rsidDel="00000000" w:rsidR="00000000" w:rsidRPr="00000000">
        <w:rPr>
          <w:rFonts w:ascii="IBM Plex Sans" w:cs="IBM Plex Sans" w:eastAsia="IBM Plex Sans" w:hAnsi="IBM Plex Sans"/>
          <w:rtl w:val="0"/>
        </w:rPr>
        <w:t xml:space="preserve">: Our AI engine analyzes your specific business logic to categorize risks based on real-world impact. We filter out the noise, making sure your remediation efforts are focused on the vulnerabilities that pose a genuine threat to your operations and data.</w:t>
      </w:r>
      <w:r w:rsidDel="00000000" w:rsidR="00000000" w:rsidRPr="00000000">
        <w:rPr>
          <w:rtl w:val="0"/>
        </w:rPr>
      </w:r>
    </w:p>
    <w:p w:rsidR="00000000" w:rsidDel="00000000" w:rsidP="00000000" w:rsidRDefault="00000000" w:rsidRPr="00000000" w14:paraId="00000058">
      <w:pPr>
        <w:spacing w:line="240" w:lineRule="auto"/>
        <w:ind w:left="720" w:right="1440" w:firstLine="720"/>
        <w:rPr>
          <w:rFonts w:ascii="IBM Plex Sans" w:cs="IBM Plex Sans" w:eastAsia="IBM Plex Sans" w:hAnsi="IBM Plex San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3"/>
        <w:spacing w:after="80" w:before="280" w:lineRule="auto"/>
        <w:ind w:left="0" w:firstLine="0"/>
        <w:rPr>
          <w:rFonts w:ascii="IBM Plex Sans" w:cs="IBM Plex Sans" w:eastAsia="IBM Plex Sans" w:hAnsi="IBM Plex Sans"/>
          <w:b w:val="1"/>
          <w:bCs w:val="1"/>
          <w:sz w:val="26"/>
          <w:szCs w:val="26"/>
        </w:rPr>
      </w:pPr>
      <w:bookmarkStart w:colFirst="0" w:colLast="0" w:name="_heading=h.e7uqmm3nyvmu" w:id="2"/>
      <w:bookmarkEnd w:id="2"/>
      <w:r w:rsidDel="00000000" w:rsidR="00000000" w:rsidRPr="00000000">
        <w:rPr>
          <w:rFonts w:ascii="IBM Plex Sans" w:cs="IBM Plex Sans" w:eastAsia="IBM Plex Sans" w:hAnsi="IBM Plex Sans"/>
          <w:b w:val="1"/>
          <w:bCs w:val="1"/>
          <w:sz w:val="26"/>
          <w:szCs w:val="26"/>
          <w:rtl w:val="0"/>
        </w:rPr>
        <w:t xml:space="preserve">Third-Party Attestation Statement</w:t>
      </w:r>
    </w:p>
    <w:p w:rsidR="00000000" w:rsidDel="00000000" w:rsidP="00000000" w:rsidRDefault="00000000" w:rsidRPr="00000000" w14:paraId="0000005A">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 xml:space="preserve">Affordable Pentesting</w:t>
      </w:r>
      <w:r w:rsidDel="00000000" w:rsidR="00000000" w:rsidRPr="00000000">
        <w:rPr>
          <w:rFonts w:ascii="IBM Plex Sans" w:cs="IBM Plex Sans" w:eastAsia="IBM Plex Sans" w:hAnsi="IBM Plex Sans"/>
          <w:rtl w:val="0"/>
        </w:rPr>
        <w:t xml:space="preserve"> attests that the security assessment documented in this report was conducted using industry standard cybersecurity testing methodologies. This engagement was performed independently to identify, validate, and categorize security vulnerabilities within the defined scope.</w:t>
      </w:r>
    </w:p>
    <w:p w:rsidR="00000000" w:rsidDel="00000000" w:rsidP="00000000" w:rsidRDefault="00000000" w:rsidRPr="00000000" w14:paraId="0000005B">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findings herein represent a rigorous, point-in-time evaluation of the target environment's resilience against modern adversarial tactics. This statement serves as formal verification for stakeholders, partners, and regulatory bodies that {{CLIENT_NAME}} has undergone professional third-party security validation.</w:t>
      </w:r>
    </w:p>
    <w:p w:rsidR="00000000" w:rsidDel="00000000" w:rsidP="00000000" w:rsidRDefault="00000000" w:rsidRPr="00000000" w14:paraId="0000005C">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 ElMetennani</w:t>
      </w:r>
    </w:p>
    <w:p w:rsidR="00000000" w:rsidDel="00000000" w:rsidP="00000000" w:rsidRDefault="00000000" w:rsidRPr="00000000" w14:paraId="0000005D">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Security Lead</w:t>
      </w:r>
    </w:p>
    <w:p w:rsidR="00000000" w:rsidDel="00000000" w:rsidP="00000000" w:rsidRDefault="00000000" w:rsidRPr="00000000" w14:paraId="0000005E">
      <w:pPr>
        <w:shd w:fill="ffffff" w:val="clear"/>
        <w:spacing w:line="240" w:lineRule="auto"/>
        <w:ind w:left="720" w:right="1440" w:firstLine="0"/>
        <w:jc w:val="left"/>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zack@affordablepentesting.com</w:t>
      </w:r>
    </w:p>
    <w:p w:rsidR="00000000" w:rsidDel="00000000" w:rsidP="00000000" w:rsidRDefault="00000000" w:rsidRPr="00000000" w14:paraId="0000005F">
      <w:pPr>
        <w:shd w:fill="ffffff" w:val="clear"/>
        <w:spacing w:line="240" w:lineRule="auto"/>
        <w:ind w:left="720" w:right="1440" w:firstLine="0"/>
        <w:jc w:val="left"/>
        <w:rPr>
          <w:rFonts w:ascii="IBM Plex Sans" w:cs="IBM Plex Sans" w:eastAsia="IBM Plex Sans" w:hAnsi="IBM Plex Sans"/>
        </w:rPr>
      </w:pPr>
      <w:hyperlink r:id="rId10">
        <w:r w:rsidDel="00000000" w:rsidR="00000000" w:rsidRPr="00000000">
          <w:rPr>
            <w:rFonts w:ascii="IBM Plex Sans" w:cs="IBM Plex Sans" w:eastAsia="IBM Plex Sans" w:hAnsi="IBM Plex Sans"/>
            <w:color w:val="1155cc"/>
            <w:u w:val="single"/>
            <w:rtl w:val="0"/>
          </w:rPr>
          <w:t xml:space="preserve">Affordable Pentesting</w:t>
        </w:r>
      </w:hyperlink>
      <w:r w:rsidDel="00000000" w:rsidR="00000000" w:rsidRPr="00000000">
        <w:rPr>
          <w:rtl w:val="0"/>
        </w:rPr>
      </w:r>
    </w:p>
    <w:p w:rsidR="00000000" w:rsidDel="00000000" w:rsidP="00000000" w:rsidRDefault="00000000" w:rsidRPr="00000000" w14:paraId="00000060">
      <w:pPr>
        <w:pStyle w:val="Heading1"/>
        <w:shd w:fill="ffffff" w:val="clear"/>
        <w:spacing w:line="240" w:lineRule="auto"/>
        <w:ind w:left="720" w:right="1440" w:firstLine="0"/>
        <w:jc w:val="left"/>
        <w:rPr>
          <w:rFonts w:ascii="Arial" w:cs="Arial" w:eastAsia="Arial" w:hAnsi="Arial"/>
          <w:color w:val="222222"/>
          <w:sz w:val="22"/>
          <w:szCs w:val="22"/>
        </w:rPr>
      </w:pPr>
      <w:bookmarkStart w:colFirst="0" w:colLast="0" w:name="_heading=h.b911in3epikb" w:id="3"/>
      <w:bookmarkEnd w:id="3"/>
      <w:r w:rsidDel="00000000" w:rsidR="00000000" w:rsidRPr="00000000">
        <w:rPr>
          <w:rtl w:val="0"/>
        </w:rPr>
      </w:r>
    </w:p>
    <w:p w:rsidR="00000000" w:rsidDel="00000000" w:rsidP="00000000" w:rsidRDefault="00000000" w:rsidRPr="00000000" w14:paraId="00000061">
      <w:pPr>
        <w:pStyle w:val="Heading1"/>
        <w:shd w:fill="ffffff" w:val="clear"/>
        <w:spacing w:line="240" w:lineRule="auto"/>
        <w:ind w:left="720" w:right="1440" w:firstLine="0"/>
        <w:jc w:val="left"/>
        <w:rPr>
          <w:rFonts w:ascii="IBM Plex Sans" w:cs="IBM Plex Sans" w:eastAsia="IBM Plex Sans" w:hAnsi="IBM Plex Sans"/>
          <w:color w:val="064e3b"/>
        </w:rPr>
      </w:pPr>
      <w:bookmarkStart w:colFirst="0" w:colLast="0" w:name="_heading=h.yvau2frrheup" w:id="4"/>
      <w:bookmarkEnd w:id="4"/>
      <w:r w:rsidDel="00000000" w:rsidR="00000000" w:rsidRPr="00000000">
        <w:rPr>
          <w:rFonts w:ascii="Arial" w:cs="Arial" w:eastAsia="Arial" w:hAnsi="Arial"/>
          <w:color w:val="222222"/>
          <w:sz w:val="22"/>
          <w:szCs w:val="22"/>
        </w:rPr>
        <w:drawing>
          <wp:inline distB="114300" distT="114300" distL="114300" distR="114300">
            <wp:extent cx="928688" cy="928688"/>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928688" cy="92868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spacing w:line="240" w:lineRule="auto"/>
        <w:ind w:left="1440" w:right="1440" w:firstLine="0"/>
        <w:rPr>
          <w:rFonts w:ascii="IBM Plex Sans" w:cs="IBM Plex Sans" w:eastAsia="IBM Plex Sans" w:hAnsi="IBM Plex Sans"/>
        </w:rPr>
      </w:pPr>
      <w:bookmarkStart w:colFirst="0" w:colLast="0" w:name="_heading=h.3lip5046076p" w:id="5"/>
      <w:bookmarkEnd w:id="5"/>
      <w:r w:rsidDel="00000000" w:rsidR="00000000" w:rsidRPr="00000000">
        <w:rPr>
          <w:rFonts w:ascii="IBM Plex Sans" w:cs="IBM Plex Sans" w:eastAsia="IBM Plex Sans" w:hAnsi="IBM Plex Sans"/>
          <w:color w:val="064e3b"/>
          <w:rtl w:val="0"/>
        </w:rPr>
        <w:t xml:space="preserve">Executive Summary</w:t>
      </w:r>
      <w:r w:rsidDel="00000000" w:rsidR="00000000" w:rsidRPr="00000000">
        <w:rPr>
          <w:rtl w:val="0"/>
        </w:rPr>
      </w:r>
    </w:p>
    <w:p w:rsidR="00000000" w:rsidDel="00000000" w:rsidP="00000000" w:rsidRDefault="00000000" w:rsidRPr="00000000" w14:paraId="00000063">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4">
      <w:pPr>
        <w:tabs>
          <w:tab w:val="left" w:leader="none" w:pos="1440"/>
        </w:tabs>
        <w:spacing w:before="12" w:line="276" w:lineRule="auto"/>
        <w:ind w:left="0" w:right="1440" w:firstLine="0"/>
        <w:jc w:val="left"/>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5">
      <w:pPr>
        <w:tabs>
          <w:tab w:val="left" w:leader="none" w:pos="1440"/>
        </w:tabs>
        <w:spacing w:before="12" w:line="276" w:lineRule="auto"/>
        <w:ind w:left="144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{{EXECUTIVE_SUMMARY}}</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A">
      <w:pPr>
        <w:ind w:left="1440" w:right="1440" w:firstLine="0"/>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IBM Plex Sans" w:cs="IBM Plex Sans" w:eastAsia="IBM Plex Sans" w:hAnsi="IBM Plex Sans"/>
          <w:sz w:val="28"/>
          <w:szCs w:val="28"/>
        </w:rPr>
        <w:sectPr>
          <w:type w:val="nextPage"/>
          <w:pgSz w:h="15840" w:w="12240" w:orient="portrait"/>
          <w:pgMar w:bottom="720" w:top="720" w:left="720" w:right="720" w:header="360" w:footer="360"/>
        </w:sectPr>
      </w:pPr>
      <w:r w:rsidDel="00000000" w:rsidR="00000000" w:rsidRPr="00000000">
        <w:rPr>
          <w:rtl w:val="0"/>
        </w:rPr>
      </w:r>
    </w:p>
    <w:p w:rsidR="00000000" w:rsidDel="00000000" w:rsidP="00000000" w:rsidRDefault="00000000" w:rsidRPr="00000000" w14:paraId="0000006D">
      <w:pPr>
        <w:pStyle w:val="Heading1"/>
        <w:spacing w:line="240" w:lineRule="auto"/>
        <w:ind w:left="1440" w:right="1440" w:firstLine="0"/>
        <w:rPr>
          <w:rFonts w:ascii="IBM Plex Sans" w:cs="IBM Plex Sans" w:eastAsia="IBM Plex Sans" w:hAnsi="IBM Plex Sans"/>
        </w:rPr>
      </w:pPr>
      <w:bookmarkStart w:colFirst="0" w:colLast="0" w:name="_heading=h.r6cwjzfa8xr2" w:id="6"/>
      <w:bookmarkEnd w:id="6"/>
      <w:r w:rsidDel="00000000" w:rsidR="00000000" w:rsidRPr="00000000">
        <w:rPr>
          <w:rFonts w:ascii="IBM Plex Sans" w:cs="IBM Plex Sans" w:eastAsia="IBM Plex Sans" w:hAnsi="IBM Plex Sans"/>
          <w:color w:val="064e3b"/>
          <w:rtl w:val="0"/>
        </w:rPr>
        <w:t xml:space="preserve">Findings Summary</w:t>
      </w:r>
      <w:r w:rsidDel="00000000" w:rsidR="00000000" w:rsidRPr="00000000">
        <w:rPr>
          <w:rtl w:val="0"/>
        </w:rPr>
      </w:r>
    </w:p>
    <w:p w:rsidR="00000000" w:rsidDel="00000000" w:rsidP="00000000" w:rsidRDefault="00000000" w:rsidRPr="00000000" w14:paraId="0000006E">
      <w:pPr>
        <w:tabs>
          <w:tab w:val="left" w:leader="none" w:pos="1440"/>
        </w:tabs>
        <w:spacing w:before="12" w:line="276" w:lineRule="auto"/>
        <w:ind w:right="144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6F">
      <w:pPr>
        <w:pStyle w:val="Heading1"/>
        <w:spacing w:line="240" w:lineRule="auto"/>
        <w:ind w:left="1440" w:right="1440" w:firstLine="0"/>
        <w:rPr>
          <w:rFonts w:ascii="IBM Plex Sans" w:cs="IBM Plex Sans" w:eastAsia="IBM Plex Sans" w:hAnsi="IBM Plex Sans"/>
          <w:sz w:val="22"/>
          <w:szCs w:val="22"/>
        </w:rPr>
      </w:pPr>
      <w:bookmarkStart w:colFirst="0" w:colLast="0" w:name="_heading=h.fb4legl2pb9w" w:id="7"/>
      <w:bookmarkEnd w:id="7"/>
      <w:r w:rsidDel="00000000" w:rsidR="00000000" w:rsidRPr="00000000">
        <w:rPr>
          <w:rtl w:val="0"/>
        </w:rPr>
      </w:r>
    </w:p>
    <w:sdt>
      <w:sdtPr>
        <w:lock w:val="contentLocked"/>
        <w:id w:val="461929697"/>
        <w:tag w:val="goog_rdk_0"/>
      </w:sdtPr>
      <w:sdtContent>
        <w:tbl>
          <w:tblPr>
            <w:tblStyle w:val="Table2"/>
            <w:tblpPr w:leftFromText="180" w:rightFromText="180" w:topFromText="180" w:bottomFromText="180" w:vertAnchor="text" w:horzAnchor="text" w:tblpX="720" w:tblpY="458.09999999999945"/>
            <w:tblW w:w="9360.000000000002"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p w:rsidR="00000000" w:rsidDel="00000000" w:rsidP="00000000" w:rsidRDefault="00000000" w:rsidRPr="00000000" w14:paraId="00000070">
                <w:pPr>
                  <w:rPr>
                    <w:rFonts w:ascii="IBM Plex Sans" w:cs="IBM Plex Sans" w:eastAsia="IBM Plex Sans" w:hAnsi="IBM Plex Sans"/>
                    <w:b w:val="1"/>
                    <w:bCs w:val="1"/>
                    <w:color w:val="660000"/>
                    <w:sz w:val="24"/>
                    <w:szCs w:val="24"/>
                  </w:rPr>
                </w:pPr>
                <w:r w:rsidDel="00000000" w:rsidR="00000000" w:rsidRPr="00000000">
                  <w:rPr>
                    <w:rFonts w:ascii="IBM Plex Sans" w:cs="IBM Plex Sans" w:eastAsia="IBM Plex Sans" w:hAnsi="IBM Plex Sans"/>
                    <w:b w:val="1"/>
                    <w:bCs w:val="1"/>
                    <w:color w:val="660000"/>
                    <w:sz w:val="24"/>
                    <w:szCs w:val="24"/>
                    <w:rtl w:val="0"/>
                  </w:rPr>
                  <w:t xml:space="preserve">Critical</w:t>
                </w:r>
              </w:p>
            </w:tc>
            <w:tc>
              <w:tcPr/>
              <w:p w:rsidR="00000000" w:rsidDel="00000000" w:rsidP="00000000" w:rsidRDefault="00000000" w:rsidRPr="00000000" w14:paraId="00000071">
                <w:pPr>
                  <w:rPr>
                    <w:rFonts w:ascii="IBM Plex Sans" w:cs="IBM Plex Sans" w:eastAsia="IBM Plex Sans" w:hAnsi="IBM Plex Sans"/>
                    <w:b w:val="1"/>
                    <w:bCs w:val="1"/>
                    <w:color w:val="cc0000"/>
                    <w:sz w:val="24"/>
                    <w:szCs w:val="24"/>
                  </w:rPr>
                </w:pPr>
                <w:r w:rsidDel="00000000" w:rsidR="00000000" w:rsidRPr="00000000">
                  <w:rPr>
                    <w:rFonts w:ascii="IBM Plex Sans" w:cs="IBM Plex Sans" w:eastAsia="IBM Plex Sans" w:hAnsi="IBM Plex Sans"/>
                    <w:b w:val="1"/>
                    <w:bCs w:val="1"/>
                    <w:color w:val="cc0000"/>
                    <w:sz w:val="24"/>
                    <w:szCs w:val="24"/>
                    <w:rtl w:val="0"/>
                  </w:rPr>
                  <w:t xml:space="preserve">High</w:t>
                </w:r>
              </w:p>
            </w:tc>
            <w:tc>
              <w:tcPr/>
              <w:p w:rsidR="00000000" w:rsidDel="00000000" w:rsidP="00000000" w:rsidRDefault="00000000" w:rsidRPr="00000000" w14:paraId="00000072">
                <w:pPr>
                  <w:rPr>
                    <w:rFonts w:ascii="IBM Plex Sans" w:cs="IBM Plex Sans" w:eastAsia="IBM Plex Sans" w:hAnsi="IBM Plex Sans"/>
                    <w:b w:val="1"/>
                    <w:bCs w:val="1"/>
                    <w:color w:val="f1c232"/>
                    <w:sz w:val="24"/>
                    <w:szCs w:val="24"/>
                  </w:rPr>
                </w:pPr>
                <w:r w:rsidDel="00000000" w:rsidR="00000000" w:rsidRPr="00000000">
                  <w:rPr>
                    <w:rFonts w:ascii="IBM Plex Sans" w:cs="IBM Plex Sans" w:eastAsia="IBM Plex Sans" w:hAnsi="IBM Plex Sans"/>
                    <w:b w:val="1"/>
                    <w:bCs w:val="1"/>
                    <w:color w:val="f1c232"/>
                    <w:sz w:val="24"/>
                    <w:szCs w:val="24"/>
                    <w:rtl w:val="0"/>
                  </w:rPr>
                  <w:t xml:space="preserve">Medium</w:t>
                </w:r>
              </w:p>
            </w:tc>
            <w:tc>
              <w:tcPr/>
              <w:p w:rsidR="00000000" w:rsidDel="00000000" w:rsidP="00000000" w:rsidRDefault="00000000" w:rsidRPr="00000000" w14:paraId="00000073">
                <w:pPr>
                  <w:rPr>
                    <w:rFonts w:ascii="IBM Plex Sans" w:cs="IBM Plex Sans" w:eastAsia="IBM Plex Sans" w:hAnsi="IBM Plex Sans"/>
                    <w:b w:val="1"/>
                    <w:bCs w:val="1"/>
                    <w:color w:val="6aa84f"/>
                    <w:sz w:val="24"/>
                    <w:szCs w:val="24"/>
                  </w:rPr>
                </w:pPr>
                <w:r w:rsidDel="00000000" w:rsidR="00000000" w:rsidRPr="00000000">
                  <w:rPr>
                    <w:rFonts w:ascii="IBM Plex Sans" w:cs="IBM Plex Sans" w:eastAsia="IBM Plex Sans" w:hAnsi="IBM Plex Sans"/>
                    <w:b w:val="1"/>
                    <w:bCs w:val="1"/>
                    <w:color w:val="6aa84f"/>
                    <w:sz w:val="24"/>
                    <w:szCs w:val="24"/>
                    <w:rtl w:val="0"/>
                  </w:rPr>
                  <w:t xml:space="preserve">Low</w:t>
                </w:r>
              </w:p>
            </w:tc>
            <w:tc>
              <w:tcPr/>
              <w:p w:rsidR="00000000" w:rsidDel="00000000" w:rsidP="00000000" w:rsidRDefault="00000000" w:rsidRPr="00000000" w14:paraId="00000074">
                <w:pPr>
                  <w:rPr>
                    <w:rFonts w:ascii="IBM Plex Sans" w:cs="IBM Plex Sans" w:eastAsia="IBM Plex Sans" w:hAnsi="IBM Plex Sans"/>
                    <w:b w:val="1"/>
                    <w:bCs w:val="1"/>
                    <w:color w:val="3c78d8"/>
                    <w:sz w:val="24"/>
                    <w:szCs w:val="24"/>
                  </w:rPr>
                </w:pPr>
                <w:r w:rsidDel="00000000" w:rsidR="00000000" w:rsidRPr="00000000">
                  <w:rPr>
                    <w:rFonts w:ascii="IBM Plex Sans" w:cs="IBM Plex Sans" w:eastAsia="IBM Plex Sans" w:hAnsi="IBM Plex Sans"/>
                    <w:b w:val="1"/>
                    <w:bCs w:val="1"/>
                    <w:color w:val="3c78d8"/>
                    <w:sz w:val="24"/>
                    <w:szCs w:val="24"/>
                    <w:rtl w:val="0"/>
                  </w:rPr>
                  <w:t xml:space="preserve">Informational</w:t>
                </w:r>
              </w:p>
            </w:tc>
          </w:tr>
          <w:tr>
            <w:trPr>
              <w:cantSplit w:val="0"/>
              <w:tblHeader w:val="0"/>
            </w:trPr>
            <w:tc>
              <w:tcPr/>
              <w:p w:rsidR="00000000" w:rsidDel="00000000" w:rsidP="00000000" w:rsidRDefault="00000000" w:rsidRPr="00000000" w14:paraId="00000075">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{{CRITICAL_COUNT}}</w:t>
                </w:r>
              </w:p>
            </w:tc>
            <w:tc>
              <w:tcPr/>
              <w:p w:rsidR="00000000" w:rsidDel="00000000" w:rsidP="00000000" w:rsidRDefault="00000000" w:rsidRPr="00000000" w14:paraId="0000007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{{HIGH_COUNT}}</w:t>
                </w:r>
              </w:p>
            </w:tc>
            <w:tc>
              <w:tcPr/>
              <w:p w:rsidR="00000000" w:rsidDel="00000000" w:rsidP="00000000" w:rsidRDefault="00000000" w:rsidRPr="00000000" w14:paraId="00000077">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{{MEDIUM_COUNT}}</w:t>
                </w:r>
              </w:p>
            </w:tc>
            <w:tc>
              <w:tcPr/>
              <w:p w:rsidR="00000000" w:rsidDel="00000000" w:rsidP="00000000" w:rsidRDefault="00000000" w:rsidRPr="00000000" w14:paraId="00000078">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{{LOW_COUNT}}</w:t>
                </w:r>
              </w:p>
            </w:tc>
            <w:tc>
              <w:tcPr/>
              <w:p w:rsidR="00000000" w:rsidDel="00000000" w:rsidP="00000000" w:rsidRDefault="00000000" w:rsidRPr="00000000" w14:paraId="00000079">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{{INFO_COUNT]]</w:t>
                </w:r>
              </w:p>
            </w:tc>
          </w:tr>
        </w:tbl>
      </w:sdtContent>
    </w:sdt>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spacing w:line="240" w:lineRule="auto"/>
        <w:ind w:left="0" w:right="1440" w:firstLine="0"/>
        <w:rPr/>
      </w:pPr>
      <w:bookmarkStart w:colFirst="0" w:colLast="0" w:name="_heading=h.o7s8tbx9ufao" w:id="8"/>
      <w:bookmarkEnd w:id="8"/>
      <w:r w:rsidDel="00000000" w:rsidR="00000000" w:rsidRPr="00000000">
        <w:rPr>
          <w:rtl w:val="0"/>
        </w:rPr>
      </w:r>
    </w:p>
    <w:p w:rsidR="00000000" w:rsidDel="00000000" w:rsidP="00000000" w:rsidRDefault="00000000" w:rsidRPr="00000000" w14:paraId="0000007C">
      <w:pPr>
        <w:pStyle w:val="Heading2"/>
        <w:spacing w:line="240" w:lineRule="auto"/>
        <w:ind w:left="1440" w:right="1440" w:firstLine="0"/>
        <w:rPr/>
      </w:pPr>
      <w:bookmarkStart w:colFirst="0" w:colLast="0" w:name="_heading=h.hqxtk9hkyrew" w:id="9"/>
      <w:bookmarkEnd w:id="9"/>
      <w:r w:rsidDel="00000000" w:rsidR="00000000" w:rsidRPr="00000000">
        <w:br w:type="page"/>
      </w:r>
      <w:r w:rsidDel="00000000" w:rsidR="00000000" w:rsidRPr="00000000">
        <w:rPr>
          <w:rtl w:val="0"/>
        </w:rPr>
      </w:r>
    </w:p>
    <w:p w:rsidR="00000000" w:rsidDel="00000000" w:rsidP="00000000" w:rsidRDefault="00000000" w:rsidRPr="00000000" w14:paraId="0000007D">
      <w:pPr>
        <w:pStyle w:val="Heading1"/>
        <w:spacing w:line="240" w:lineRule="auto"/>
        <w:ind w:left="1440" w:right="1440" w:firstLine="0"/>
        <w:rPr>
          <w:rFonts w:ascii="IBM Plex Sans" w:cs="IBM Plex Sans" w:eastAsia="IBM Plex Sans" w:hAnsi="IBM Plex Sans"/>
          <w:color w:val="064e3b"/>
        </w:rPr>
      </w:pPr>
      <w:r w:rsidDel="00000000" w:rsidR="00000000" w:rsidRPr="00000000">
        <w:rPr>
          <w:rFonts w:ascii="IBM Plex Sans" w:cs="IBM Plex Sans" w:eastAsia="IBM Plex Sans" w:hAnsi="IBM Plex Sans"/>
          <w:color w:val="064e3b"/>
          <w:rtl w:val="0"/>
        </w:rPr>
        <w:t xml:space="preserve">Assessment Overview</w:t>
      </w:r>
    </w:p>
    <w:p w:rsidR="00000000" w:rsidDel="00000000" w:rsidP="00000000" w:rsidRDefault="00000000" w:rsidRPr="00000000" w14:paraId="0000007E">
      <w:pPr>
        <w:pStyle w:val="Heading1"/>
        <w:spacing w:line="240" w:lineRule="auto"/>
        <w:ind w:left="1440" w:right="1440" w:firstLine="0"/>
        <w:rPr>
          <w:rFonts w:ascii="IBM Plex Sans" w:cs="IBM Plex Sans" w:eastAsia="IBM Plex Sans" w:hAnsi="IBM Plex Sans"/>
          <w:sz w:val="48"/>
          <w:szCs w:val="48"/>
        </w:rPr>
      </w:pPr>
      <w:bookmarkStart w:colFirst="0" w:colLast="0" w:name="_heading=h.bxnru1aofgpx" w:id="10"/>
      <w:bookmarkEnd w:id="10"/>
      <w:r w:rsidDel="00000000" w:rsidR="00000000" w:rsidRPr="00000000">
        <w:rPr>
          <w:rtl w:val="0"/>
        </w:rPr>
      </w:r>
    </w:p>
    <w:p w:rsidR="00000000" w:rsidDel="00000000" w:rsidP="00000000" w:rsidRDefault="00000000" w:rsidRPr="00000000" w14:paraId="0000007F">
      <w:pPr>
        <w:pStyle w:val="Heading2"/>
        <w:tabs>
          <w:tab w:val="left" w:leader="none" w:pos="1440"/>
        </w:tabs>
        <w:spacing w:after="200" w:before="12" w:lineRule="auto"/>
        <w:ind w:left="0" w:right="1440" w:firstLine="0"/>
        <w:rPr>
          <w:rFonts w:ascii="IBM Plex Sans" w:cs="IBM Plex Sans" w:eastAsia="IBM Plex Sans" w:hAnsi="IBM Plex Sans"/>
        </w:rPr>
      </w:pPr>
      <w:bookmarkStart w:colFirst="0" w:colLast="0" w:name="_heading=h.wxt0f654wmur" w:id="11"/>
      <w:bookmarkEnd w:id="11"/>
      <w:r w:rsidDel="00000000" w:rsidR="00000000" w:rsidRPr="00000000">
        <w:rPr>
          <w:rFonts w:ascii="IBM Plex Sans" w:cs="IBM Plex Sans" w:eastAsia="IBM Plex Sans" w:hAnsi="IBM Plex Sans"/>
          <w:rtl w:val="0"/>
        </w:rPr>
        <w:t xml:space="preserve">Purpose</w:t>
      </w:r>
    </w:p>
    <w:p w:rsidR="00000000" w:rsidDel="00000000" w:rsidP="00000000" w:rsidRDefault="00000000" w:rsidRPr="00000000" w14:paraId="00000080">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This assessment was conducted to identify security issues and assess the risk and impact these vulnerabilities would have on the organization if exploited by a malicious actor. </w:t>
      </w:r>
    </w:p>
    <w:p w:rsidR="00000000" w:rsidDel="00000000" w:rsidP="00000000" w:rsidRDefault="00000000" w:rsidRPr="00000000" w14:paraId="00000081">
      <w:pPr>
        <w:tabs>
          <w:tab w:val="left" w:leader="none" w:pos="1440"/>
        </w:tabs>
        <w:spacing w:line="276" w:lineRule="auto"/>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2">
      <w:pPr>
        <w:tabs>
          <w:tab w:val="left" w:leader="none" w:pos="1440"/>
        </w:tabs>
        <w:spacing w:line="276" w:lineRule="auto"/>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AP Pentesting ensured the confidentiality, integrity, &amp; availability of the data held within the application was maintained. The discovery of the findings during this assessment did not negatively impact the application’s functionality or data integrity in any way.</w:t>
        <w:br w:type="textWrapping"/>
      </w:r>
    </w:p>
    <w:p w:rsidR="00000000" w:rsidDel="00000000" w:rsidP="00000000" w:rsidRDefault="00000000" w:rsidRPr="00000000" w14:paraId="00000083">
      <w:pPr>
        <w:tabs>
          <w:tab w:val="left" w:leader="none" w:pos="1440"/>
        </w:tabs>
        <w:ind w:left="72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4">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k6m6hcb5rxg1" w:id="12"/>
      <w:bookmarkEnd w:id="12"/>
      <w:r w:rsidDel="00000000" w:rsidR="00000000" w:rsidRPr="00000000">
        <w:rPr>
          <w:rFonts w:ascii="IBM Plex Sans" w:cs="IBM Plex Sans" w:eastAsia="IBM Plex Sans" w:hAnsi="IBM Plex Sans"/>
          <w:rtl w:val="0"/>
        </w:rPr>
        <w:t xml:space="preserve">Scope</w:t>
      </w:r>
    </w:p>
    <w:p w:rsidR="00000000" w:rsidDel="00000000" w:rsidP="00000000" w:rsidRDefault="00000000" w:rsidRPr="00000000" w14:paraId="00000085">
      <w:pPr>
        <w:tabs>
          <w:tab w:val="left" w:leader="none" w:pos="1440"/>
        </w:tabs>
        <w:ind w:left="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following targets were included in the scope of the penetration test: </w:t>
      </w:r>
    </w:p>
    <w:p w:rsidR="00000000" w:rsidDel="00000000" w:rsidP="00000000" w:rsidRDefault="00000000" w:rsidRPr="00000000" w14:paraId="00000086">
      <w:pPr>
        <w:tabs>
          <w:tab w:val="left" w:leader="none" w:pos="1440"/>
        </w:tabs>
        <w:ind w:left="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87">
      <w:pPr>
        <w:numPr>
          <w:ilvl w:val="0"/>
          <w:numId w:val="1"/>
        </w:numPr>
        <w:tabs>
          <w:tab w:val="left" w:leader="none" w:pos="1440"/>
        </w:tabs>
        <w:ind w:left="1440" w:hanging="360"/>
        <w:rPr>
          <w:rFonts w:ascii="IBM Plex Sans" w:cs="IBM Plex Sans" w:eastAsia="IBM Plex Sans" w:hAnsi="IBM Plex Sans"/>
          <w:u w:val="none"/>
        </w:rPr>
      </w:pPr>
      <w:r w:rsidDel="00000000" w:rsidR="00000000" w:rsidRPr="00000000">
        <w:rPr>
          <w:rFonts w:ascii="IBM Plex Sans" w:cs="IBM Plex Sans" w:eastAsia="IBM Plex Sans" w:hAnsi="IBM Plex Sans"/>
          <w:rtl w:val="0"/>
        </w:rPr>
        <w:t xml:space="preserve">{{SCOPE_TARGET}}</w:t>
      </w:r>
      <w:r w:rsidDel="00000000" w:rsidR="00000000" w:rsidRPr="00000000">
        <w:rPr>
          <w:rtl w:val="0"/>
        </w:rPr>
      </w:r>
    </w:p>
    <w:p w:rsidR="00000000" w:rsidDel="00000000" w:rsidP="00000000" w:rsidRDefault="00000000" w:rsidRPr="00000000" w14:paraId="00000088">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uqzf5nvlbbo0" w:id="13"/>
      <w:bookmarkEnd w:id="13"/>
      <w:r w:rsidDel="00000000" w:rsidR="00000000" w:rsidRPr="00000000">
        <w:rPr>
          <w:rtl w:val="0"/>
        </w:rPr>
      </w:r>
    </w:p>
    <w:p w:rsidR="00000000" w:rsidDel="00000000" w:rsidP="00000000" w:rsidRDefault="00000000" w:rsidRPr="00000000" w14:paraId="00000089">
      <w:pPr>
        <w:pStyle w:val="Heading2"/>
        <w:tabs>
          <w:tab w:val="left" w:leader="none" w:pos="1440"/>
        </w:tabs>
        <w:spacing w:after="200" w:lineRule="auto"/>
        <w:ind w:left="0" w:firstLine="0"/>
        <w:rPr>
          <w:rFonts w:ascii="IBM Plex Sans" w:cs="IBM Plex Sans" w:eastAsia="IBM Plex Sans" w:hAnsi="IBM Plex Sans"/>
        </w:rPr>
      </w:pPr>
      <w:bookmarkStart w:colFirst="0" w:colLast="0" w:name="_heading=h.vfr7yihimo4t" w:id="14"/>
      <w:bookmarkEnd w:id="14"/>
      <w:r w:rsidDel="00000000" w:rsidR="00000000" w:rsidRPr="00000000">
        <w:rPr>
          <w:rFonts w:ascii="IBM Plex Sans" w:cs="IBM Plex Sans" w:eastAsia="IBM Plex Sans" w:hAnsi="IBM Plex Sans"/>
          <w:rtl w:val="0"/>
        </w:rPr>
        <w:t xml:space="preserve">Tools and Test Cases</w:t>
      </w:r>
    </w:p>
    <w:p w:rsidR="00000000" w:rsidDel="00000000" w:rsidP="00000000" w:rsidRDefault="00000000" w:rsidRPr="00000000" w14:paraId="0000008A">
      <w:pPr>
        <w:tabs>
          <w:tab w:val="left" w:leader="none" w:pos="1440"/>
        </w:tabs>
        <w:rPr>
          <w:rFonts w:ascii="IBM Plex Sans" w:cs="IBM Plex Sans" w:eastAsia="IBM Plex Sans" w:hAnsi="IBM Plex Sans"/>
        </w:rPr>
        <w:sectPr>
          <w:type w:val="nextPage"/>
          <w:pgSz w:h="15840" w:w="12240" w:orient="portrait"/>
          <w:pgMar w:bottom="720" w:top="720" w:left="720" w:right="720" w:header="360" w:footer="360"/>
        </w:sectPr>
      </w:pPr>
      <w:r w:rsidDel="00000000" w:rsidR="00000000" w:rsidRPr="00000000">
        <w:rPr>
          <w:rFonts w:ascii="IBM Plex Sans" w:cs="IBM Plex Sans" w:eastAsia="IBM Plex Sans" w:hAnsi="IBM Plex Sans"/>
          <w:rtl w:val="0"/>
        </w:rPr>
        <w:t xml:space="preserve">The methodology combined automated reconnaissance with targeted exploitation of API logic and service-to-service trust. Initial enumeration utilized wafw00f, katana, paramspider, and gau to map the attack surface and identify high-risk endpoints within the React-based SPA and its backend microservices. Testing pivoted to exploitation using custom node.js scripts and curl to validate Broken Object Level Authorization (BOLA) across tenant-parameterized routes and to perform JWT analysis. The primary attack vector involved chaining a Server-Side Request Forgery (SSRF) in the scanner service with a public 303 redirector to bypass protocol constraints and exfiltrate Azure IMDS metadata. Additionally, fuzzing of multipart upload and scan configuration parameters was used to identify path-traversal sinks and second-order injection vulnerabilities in the report generation pipeline.</w:t>
      </w:r>
    </w:p>
    <w:p w:rsidR="00000000" w:rsidDel="00000000" w:rsidP="00000000" w:rsidRDefault="00000000" w:rsidRPr="00000000" w14:paraId="0000008B">
      <w:pPr>
        <w:pStyle w:val="Heading1"/>
        <w:spacing w:line="240" w:lineRule="auto"/>
        <w:ind w:left="1440" w:right="1440" w:firstLine="0"/>
        <w:rPr>
          <w:rFonts w:ascii="IBM Plex Sans" w:cs="IBM Plex Sans" w:eastAsia="IBM Plex Sans" w:hAnsi="IBM Plex Sans"/>
          <w:color w:val="064e3b"/>
        </w:rPr>
      </w:pPr>
      <w:bookmarkStart w:colFirst="0" w:colLast="0" w:name="_heading=h.fxf6t3fpqce6" w:id="15"/>
      <w:bookmarkEnd w:id="15"/>
      <w:r w:rsidDel="00000000" w:rsidR="00000000" w:rsidRPr="00000000">
        <w:rPr>
          <w:rFonts w:ascii="IBM Plex Sans" w:cs="IBM Plex Sans" w:eastAsia="IBM Plex Sans" w:hAnsi="IBM Plex Sans"/>
          <w:color w:val="064e3b"/>
          <w:rtl w:val="0"/>
        </w:rPr>
        <w:t xml:space="preserve">Methodology</w:t>
      </w:r>
    </w:p>
    <w:p w:rsidR="00000000" w:rsidDel="00000000" w:rsidP="00000000" w:rsidRDefault="00000000" w:rsidRPr="00000000" w14:paraId="0000008C">
      <w:pPr>
        <w:pStyle w:val="Heading1"/>
        <w:spacing w:line="240" w:lineRule="auto"/>
        <w:ind w:left="1440" w:right="1440" w:firstLine="0"/>
        <w:rPr>
          <w:rFonts w:ascii="IBM Plex Sans" w:cs="IBM Plex Sans" w:eastAsia="IBM Plex Sans" w:hAnsi="IBM Plex Sans"/>
          <w:color w:val="064e3b"/>
        </w:rPr>
      </w:pPr>
      <w:bookmarkStart w:colFirst="0" w:colLast="0" w:name="_heading=h.sln8lrlq15ez" w:id="16"/>
      <w:bookmarkEnd w:id="16"/>
      <w:r w:rsidDel="00000000" w:rsidR="00000000" w:rsidRPr="00000000">
        <w:rPr>
          <w:rtl w:val="0"/>
        </w:rPr>
      </w:r>
    </w:p>
    <w:sdt>
      <w:sdtPr>
        <w:lock w:val="contentLocked"/>
        <w:id w:val="484871040"/>
        <w:tag w:val="goog_rdk_1"/>
      </w:sdtPr>
      <w:sdtContent>
        <w:tbl>
          <w:tblPr>
            <w:tblStyle w:val="Table3"/>
            <w:tblpPr w:leftFromText="180" w:rightFromText="180" w:topFromText="180" w:bottomFromText="180" w:vertAnchor="text" w:horzAnchor="text" w:tblpX="945" w:tblpY="0"/>
            <w:tblW w:w="93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34d399" w:val="clear"/>
              </w:tcPr>
              <w:p w:rsidR="00000000" w:rsidDel="00000000" w:rsidP="00000000" w:rsidRDefault="00000000" w:rsidRPr="00000000" w14:paraId="0000008D">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Asset Discovery</w:t>
                </w:r>
              </w:p>
            </w:tc>
            <w:tc>
              <w:tcPr>
                <w:shd w:fill="34d399" w:val="clear"/>
              </w:tcPr>
              <w:p w:rsidR="00000000" w:rsidDel="00000000" w:rsidP="00000000" w:rsidRDefault="00000000" w:rsidRPr="00000000" w14:paraId="0000008E">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Fingerprinting</w:t>
                </w:r>
              </w:p>
            </w:tc>
          </w:tr>
          <w:tr>
            <w:trPr>
              <w:cantSplit w:val="0"/>
              <w:trHeight w:val="3699.9999999999995" w:hRule="atLeast"/>
              <w:tblHeader w:val="0"/>
            </w:trPr>
            <w:tc>
              <w:tcPr/>
              <w:p w:rsidR="00000000" w:rsidDel="00000000" w:rsidP="00000000" w:rsidRDefault="00000000" w:rsidRPr="00000000" w14:paraId="0000008F">
                <w:pPr>
                  <w:jc w:val="cente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90">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 begin by identifying assets</w:t>
                </w:r>
              </w:p>
              <w:p w:rsidR="00000000" w:rsidDel="00000000" w:rsidP="00000000" w:rsidRDefault="00000000" w:rsidRPr="00000000" w14:paraId="0000009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tied to your domain through</w:t>
                </w:r>
              </w:p>
              <w:p w:rsidR="00000000" w:rsidDel="00000000" w:rsidP="00000000" w:rsidRDefault="00000000" w:rsidRPr="00000000" w14:paraId="0000009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 port</w:t>
                </w:r>
              </w:p>
              <w:p w:rsidR="00000000" w:rsidDel="00000000" w:rsidP="00000000" w:rsidRDefault="00000000" w:rsidRPr="00000000" w14:paraId="0000009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scanning, and OSINT techniques.</w:t>
                </w:r>
              </w:p>
              <w:p w:rsidR="00000000" w:rsidDel="00000000" w:rsidP="00000000" w:rsidRDefault="00000000" w:rsidRPr="00000000" w14:paraId="00000094">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Nmap, Shodan, and</w:t>
                </w:r>
              </w:p>
              <w:p w:rsidR="00000000" w:rsidDel="00000000" w:rsidP="00000000" w:rsidRDefault="00000000" w:rsidRPr="00000000" w14:paraId="00000095">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subdomain enumeration</w:t>
                </w:r>
              </w:p>
              <w:p w:rsidR="00000000" w:rsidDel="00000000" w:rsidP="00000000" w:rsidRDefault="00000000" w:rsidRPr="00000000" w14:paraId="0000009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frameworks are used to uncover</w:t>
                </w:r>
              </w:p>
              <w:p w:rsidR="00000000" w:rsidDel="00000000" w:rsidP="00000000" w:rsidRDefault="00000000" w:rsidRPr="00000000" w14:paraId="0000009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reachable systems and open</w:t>
                </w:r>
              </w:p>
              <w:p w:rsidR="00000000" w:rsidDel="00000000" w:rsidP="00000000" w:rsidRDefault="00000000" w:rsidRPr="00000000" w14:paraId="0000009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ports.</w:t>
                </w:r>
              </w:p>
            </w:tc>
            <w:tc>
              <w:tcPr/>
              <w:p w:rsidR="00000000" w:rsidDel="00000000" w:rsidP="00000000" w:rsidRDefault="00000000" w:rsidRPr="00000000" w14:paraId="00000099">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9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Each asset is fingerprinted to</w:t>
                </w:r>
              </w:p>
              <w:p w:rsidR="00000000" w:rsidDel="00000000" w:rsidP="00000000" w:rsidRDefault="00000000" w:rsidRPr="00000000" w14:paraId="0000009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determine the underlying</w:t>
                </w:r>
              </w:p>
              <w:p w:rsidR="00000000" w:rsidDel="00000000" w:rsidP="00000000" w:rsidRDefault="00000000" w:rsidRPr="00000000" w14:paraId="0000009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technologies, versions, and</w:t>
                </w:r>
              </w:p>
              <w:p w:rsidR="00000000" w:rsidDel="00000000" w:rsidP="00000000" w:rsidRDefault="00000000" w:rsidRPr="00000000" w14:paraId="0000009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exposed services. This includes</w:t>
                </w:r>
              </w:p>
              <w:p w:rsidR="00000000" w:rsidDel="00000000" w:rsidP="00000000" w:rsidRDefault="00000000" w:rsidRPr="00000000" w14:paraId="0000009E">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banner grabbing, directory</w:t>
                </w:r>
              </w:p>
              <w:p w:rsidR="00000000" w:rsidDel="00000000" w:rsidP="00000000" w:rsidRDefault="00000000" w:rsidRPr="00000000" w14:paraId="0000009F">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bruteforcing, web crawling, and</w:t>
                </w:r>
              </w:p>
              <w:p w:rsidR="00000000" w:rsidDel="00000000" w:rsidP="00000000" w:rsidRDefault="00000000" w:rsidRPr="00000000" w14:paraId="000000A0">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tools like Wappalyzer to identify</w:t>
                </w:r>
              </w:p>
              <w:p w:rsidR="00000000" w:rsidDel="00000000" w:rsidP="00000000" w:rsidRDefault="00000000" w:rsidRPr="00000000" w14:paraId="000000A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software such as WordPress, RDP,</w:t>
                </w:r>
              </w:p>
              <w:p w:rsidR="00000000" w:rsidDel="00000000" w:rsidP="00000000" w:rsidRDefault="00000000" w:rsidRPr="00000000" w14:paraId="000000A2">
                <w:pPr>
                  <w:rPr>
                    <w:rFonts w:ascii="IBM Plex Sans" w:cs="IBM Plex Sans" w:eastAsia="IBM Plex Sans" w:hAnsi="IBM Plex Sans"/>
                    <w:color w:val="064e3b"/>
                    <w:sz w:val="70"/>
                    <w:szCs w:val="70"/>
                  </w:rPr>
                </w:pPr>
                <w:r w:rsidDel="00000000" w:rsidR="00000000" w:rsidRPr="00000000">
                  <w:rPr>
                    <w:rFonts w:ascii="IBM Plex Sans" w:cs="IBM Plex Sans" w:eastAsia="IBM Plex Sans" w:hAnsi="IBM Plex Sans"/>
                    <w:color w:val="064e3b"/>
                    <w:sz w:val="24"/>
                    <w:szCs w:val="24"/>
                    <w:rtl w:val="0"/>
                  </w:rPr>
                  <w:t xml:space="preserve">Citrix, etc.</w:t>
                </w:r>
                <w:r w:rsidDel="00000000" w:rsidR="00000000" w:rsidRPr="00000000">
                  <w:rPr>
                    <w:rtl w:val="0"/>
                  </w:rPr>
                </w:r>
              </w:p>
            </w:tc>
          </w:tr>
          <w:tr>
            <w:trPr>
              <w:cantSplit w:val="0"/>
              <w:trHeight w:val="1050" w:hRule="atLeast"/>
              <w:tblHeader w:val="0"/>
            </w:trPr>
            <w:tc>
              <w:tcPr>
                <w:shd w:fill="34d399" w:val="clear"/>
              </w:tcPr>
              <w:p w:rsidR="00000000" w:rsidDel="00000000" w:rsidP="00000000" w:rsidRDefault="00000000" w:rsidRPr="00000000" w14:paraId="000000A3">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Exploitation</w:t>
                </w:r>
              </w:p>
            </w:tc>
            <w:tc>
              <w:tcPr>
                <w:shd w:fill="34d399" w:val="clear"/>
              </w:tcPr>
              <w:p w:rsidR="00000000" w:rsidDel="00000000" w:rsidP="00000000" w:rsidRDefault="00000000" w:rsidRPr="00000000" w14:paraId="000000A4">
                <w:pPr>
                  <w:jc w:val="center"/>
                  <w:rPr>
                    <w:rFonts w:ascii="IBM Plex Sans" w:cs="IBM Plex Sans" w:eastAsia="IBM Plex Sans" w:hAnsi="IBM Plex Sans"/>
                    <w:color w:val="064e3b"/>
                    <w:sz w:val="36"/>
                    <w:szCs w:val="36"/>
                  </w:rPr>
                </w:pPr>
                <w:r w:rsidDel="00000000" w:rsidR="00000000" w:rsidRPr="00000000">
                  <w:rPr>
                    <w:rFonts w:ascii="IBM Plex Sans" w:cs="IBM Plex Sans" w:eastAsia="IBM Plex Sans" w:hAnsi="IBM Plex Sans"/>
                    <w:color w:val="064e3b"/>
                    <w:sz w:val="36"/>
                    <w:szCs w:val="36"/>
                    <w:rtl w:val="0"/>
                  </w:rPr>
                  <w:t xml:space="preserve">Reporting</w:t>
                </w:r>
              </w:p>
            </w:tc>
          </w:tr>
          <w:tr>
            <w:trPr>
              <w:cantSplit w:val="0"/>
              <w:trHeight w:val="3480" w:hRule="atLeast"/>
              <w:tblHeader w:val="0"/>
            </w:trPr>
            <w:tc>
              <w:tcPr/>
              <w:p w:rsidR="00000000" w:rsidDel="00000000" w:rsidP="00000000" w:rsidRDefault="00000000" w:rsidRPr="00000000" w14:paraId="000000A5">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6">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Using the data from discovery</w:t>
                </w:r>
              </w:p>
              <w:p w:rsidR="00000000" w:rsidDel="00000000" w:rsidP="00000000" w:rsidRDefault="00000000" w:rsidRPr="00000000" w14:paraId="000000A7">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and fingerprinting, we search</w:t>
                </w:r>
              </w:p>
              <w:p w:rsidR="00000000" w:rsidDel="00000000" w:rsidP="00000000" w:rsidRDefault="00000000" w:rsidRPr="00000000" w14:paraId="000000A8">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for known vulnerabilities and</w:t>
                </w:r>
              </w:p>
              <w:p w:rsidR="00000000" w:rsidDel="00000000" w:rsidP="00000000" w:rsidRDefault="00000000" w:rsidRPr="00000000" w14:paraId="000000A9">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misconfigurations. This includes</w:t>
                </w:r>
              </w:p>
              <w:p w:rsidR="00000000" w:rsidDel="00000000" w:rsidP="00000000" w:rsidRDefault="00000000" w:rsidRPr="00000000" w14:paraId="000000AA">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CVE scanning, OWASP Top 10</w:t>
                </w:r>
              </w:p>
              <w:p w:rsidR="00000000" w:rsidDel="00000000" w:rsidP="00000000" w:rsidRDefault="00000000" w:rsidRPr="00000000" w14:paraId="000000AB">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testing, and automated or</w:t>
                </w:r>
              </w:p>
              <w:p w:rsidR="00000000" w:rsidDel="00000000" w:rsidP="00000000" w:rsidRDefault="00000000" w:rsidRPr="00000000" w14:paraId="000000AC">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manual validation of</w:t>
                </w:r>
              </w:p>
              <w:p w:rsidR="00000000" w:rsidDel="00000000" w:rsidP="00000000" w:rsidRDefault="00000000" w:rsidRPr="00000000" w14:paraId="000000AD">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weaknesses.</w:t>
                </w:r>
              </w:p>
            </w:tc>
            <w:tc>
              <w:tcPr/>
              <w:p w:rsidR="00000000" w:rsidDel="00000000" w:rsidP="00000000" w:rsidRDefault="00000000" w:rsidRPr="00000000" w14:paraId="000000AE">
                <w:pPr>
                  <w:rPr>
                    <w:rFonts w:ascii="IBM Plex Sans" w:cs="IBM Plex Sans" w:eastAsia="IBM Plex Sans" w:hAnsi="IBM Plex Sans"/>
                    <w:color w:val="064e3b"/>
                    <w:sz w:val="24"/>
                    <w:szCs w:val="24"/>
                  </w:rPr>
                </w:pPr>
                <w:r w:rsidDel="00000000" w:rsidR="00000000" w:rsidRPr="00000000">
                  <w:rPr>
                    <w:rtl w:val="0"/>
                  </w:rPr>
                </w:r>
              </w:p>
              <w:p w:rsidR="00000000" w:rsidDel="00000000" w:rsidP="00000000" w:rsidRDefault="00000000" w:rsidRPr="00000000" w14:paraId="000000AF">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Finally, our system generates a</w:t>
                </w:r>
              </w:p>
              <w:p w:rsidR="00000000" w:rsidDel="00000000" w:rsidP="00000000" w:rsidRDefault="00000000" w:rsidRPr="00000000" w14:paraId="000000B0">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detailed report including all</w:t>
                </w:r>
              </w:p>
              <w:p w:rsidR="00000000" w:rsidDel="00000000" w:rsidP="00000000" w:rsidRDefault="00000000" w:rsidRPr="00000000" w14:paraId="000000B1">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findings, exploitation paths, and</w:t>
                </w:r>
              </w:p>
              <w:p w:rsidR="00000000" w:rsidDel="00000000" w:rsidP="00000000" w:rsidRDefault="00000000" w:rsidRPr="00000000" w14:paraId="000000B2">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remediation recommendations.</w:t>
                </w:r>
              </w:p>
              <w:p w:rsidR="00000000" w:rsidDel="00000000" w:rsidP="00000000" w:rsidRDefault="00000000" w:rsidRPr="00000000" w14:paraId="000000B3">
                <w:pPr>
                  <w:rPr>
                    <w:rFonts w:ascii="IBM Plex Sans" w:cs="IBM Plex Sans" w:eastAsia="IBM Plex Sans" w:hAnsi="IBM Plex Sans"/>
                    <w:color w:val="064e3b"/>
                    <w:sz w:val="24"/>
                    <w:szCs w:val="24"/>
                  </w:rPr>
                </w:pPr>
                <w:r w:rsidDel="00000000" w:rsidR="00000000" w:rsidRPr="00000000">
                  <w:rPr>
                    <w:rFonts w:ascii="IBM Plex Sans" w:cs="IBM Plex Sans" w:eastAsia="IBM Plex Sans" w:hAnsi="IBM Plex Sans"/>
                    <w:color w:val="064e3b"/>
                    <w:sz w:val="24"/>
                    <w:szCs w:val="24"/>
                    <w:rtl w:val="0"/>
                  </w:rPr>
                  <w:t xml:space="preserve">This report is review by our certified cybersecurity analysts to ensure consistency and completeness.</w:t>
                </w:r>
              </w:p>
            </w:tc>
          </w:tr>
        </w:tbl>
      </w:sdtContent>
    </w:sdt>
    <w:p w:rsidR="00000000" w:rsidDel="00000000" w:rsidP="00000000" w:rsidRDefault="00000000" w:rsidRPr="00000000" w14:paraId="000000B4">
      <w:pPr>
        <w:spacing w:line="240" w:lineRule="auto"/>
        <w:ind w:left="1440" w:right="1440" w:firstLine="0"/>
        <w:jc w:val="cente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5">
      <w:pPr>
        <w:pStyle w:val="Heading1"/>
        <w:spacing w:line="240" w:lineRule="auto"/>
        <w:ind w:left="0" w:right="1440" w:firstLine="0"/>
        <w:jc w:val="left"/>
        <w:rPr>
          <w:rFonts w:ascii="IBM Plex Sans" w:cs="IBM Plex Sans" w:eastAsia="IBM Plex Sans" w:hAnsi="IBM Plex Sans"/>
          <w:color w:val="064e3b"/>
        </w:rPr>
      </w:pPr>
      <w:bookmarkStart w:colFirst="0" w:colLast="0" w:name="_heading=h.kc5t64kgnxh8" w:id="17"/>
      <w:bookmarkEnd w:id="17"/>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1"/>
        <w:spacing w:line="240" w:lineRule="auto"/>
        <w:ind w:left="1440" w:right="1440" w:firstLine="0"/>
        <w:rPr>
          <w:rFonts w:ascii="IBM Plex Sans" w:cs="IBM Plex Sans" w:eastAsia="IBM Plex Sans" w:hAnsi="IBM Plex Sans"/>
          <w:color w:val="064e3b"/>
        </w:rPr>
      </w:pPr>
      <w:bookmarkStart w:colFirst="0" w:colLast="0" w:name="_heading=h.nqxrxh4maedu" w:id="18"/>
      <w:bookmarkEnd w:id="18"/>
      <w:r w:rsidDel="00000000" w:rsidR="00000000" w:rsidRPr="00000000">
        <w:rPr>
          <w:rFonts w:ascii="IBM Plex Sans" w:cs="IBM Plex Sans" w:eastAsia="IBM Plex Sans" w:hAnsi="IBM Plex Sans"/>
          <w:color w:val="064e3b"/>
          <w:rtl w:val="0"/>
        </w:rPr>
        <w:t xml:space="preserve">Technical Findings</w:t>
      </w:r>
    </w:p>
    <w:p w:rsidR="00000000" w:rsidDel="00000000" w:rsidP="00000000" w:rsidRDefault="00000000" w:rsidRPr="00000000" w14:paraId="000000B7">
      <w:pPr>
        <w:ind w:left="0" w:right="144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8">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9">
      <w:pPr>
        <w:pStyle w:val="Heading2"/>
        <w:widowControl w:val="1"/>
        <w:spacing w:line="276" w:lineRule="auto"/>
        <w:ind w:left="-90" w:right="720" w:firstLine="0"/>
        <w:jc w:val="both"/>
        <w:rPr>
          <w:rFonts w:ascii="IBM Plex Sans SemiBold" w:cs="IBM Plex Sans SemiBold" w:eastAsia="IBM Plex Sans SemiBold" w:hAnsi="IBM Plex Sans SemiBold"/>
          <w:sz w:val="30"/>
          <w:szCs w:val="30"/>
        </w:rPr>
      </w:pPr>
      <w:bookmarkStart w:colFirst="0" w:colLast="0" w:name="_heading=h.hmtzpkp11xg6" w:id="19"/>
      <w:bookmarkEnd w:id="19"/>
      <w:r w:rsidDel="00000000" w:rsidR="00000000" w:rsidRPr="00000000">
        <w:rPr>
          <w:rFonts w:ascii="IBM Plex Sans SemiBold" w:cs="IBM Plex Sans SemiBold" w:eastAsia="IBM Plex Sans SemiBold" w:hAnsi="IBM Plex Sans SemiBold"/>
          <w:sz w:val="42"/>
          <w:szCs w:val="42"/>
          <w:rtl w:val="0"/>
        </w:rPr>
        <w:t xml:space="preserve">{{#findings}}</w:t>
        <w:br w:type="textWrapping"/>
        <w:t xml:space="preserve">01-{{index}}-{{title}}</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Finding Description:</w:t>
      </w:r>
    </w:p>
    <w:p w:rsidR="00000000" w:rsidDel="00000000" w:rsidP="00000000" w:rsidRDefault="00000000" w:rsidRPr="00000000" w14:paraId="000000BC">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B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{{description}}</w:t>
      </w:r>
    </w:p>
    <w:p w:rsidR="00000000" w:rsidDel="00000000" w:rsidP="00000000" w:rsidRDefault="00000000" w:rsidRPr="00000000" w14:paraId="000000BE">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BF">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0">
      <w:pPr>
        <w:rPr>
          <w:rFonts w:ascii="IBM Plex Sans" w:cs="IBM Plex Sans" w:eastAsia="IBM Plex Sans" w:hAnsi="IBM Plex Sans"/>
          <w:color w:val="660000"/>
          <w:highlight w:val="white"/>
        </w:rPr>
      </w:pPr>
      <w:r w:rsidDel="00000000" w:rsidR="00000000" w:rsidRPr="00000000">
        <w:rPr>
          <w:rFonts w:ascii="IBM Plex Sans" w:cs="IBM Plex Sans" w:eastAsia="IBM Plex Sans" w:hAnsi="IBM Plex Sans"/>
          <w:b w:val="1"/>
          <w:bCs w:val="1"/>
          <w:sz w:val="26"/>
          <w:szCs w:val="26"/>
          <w:rtl w:val="0"/>
        </w:rPr>
        <w:t xml:space="preserve">Severity: </w:t>
      </w:r>
      <w:r w:rsidDel="00000000" w:rsidR="00000000" w:rsidRPr="00000000">
        <w:rPr>
          <w:rFonts w:ascii="IBM Plex Sans" w:cs="IBM Plex Sans" w:eastAsia="IBM Plex Sans" w:hAnsi="IBM Plex Sans"/>
          <w:b w:val="1"/>
          <w:bCs w:val="1"/>
          <w:color w:val="660000"/>
          <w:sz w:val="26"/>
          <w:szCs w:val="26"/>
          <w:rtl w:val="0"/>
        </w:rPr>
        <w:t xml:space="preserve">{{severity}}</w:t>
      </w:r>
      <w:r w:rsidDel="00000000" w:rsidR="00000000" w:rsidRPr="00000000">
        <w:rPr>
          <w:rtl w:val="0"/>
        </w:rPr>
      </w:r>
    </w:p>
    <w:p w:rsidR="00000000" w:rsidDel="00000000" w:rsidP="00000000" w:rsidRDefault="00000000" w:rsidRPr="00000000" w14:paraId="000000C1">
      <w:pPr>
        <w:rPr>
          <w:rFonts w:ascii="IBM Plex Sans" w:cs="IBM Plex Sans" w:eastAsia="IBM Plex Sans" w:hAnsi="IBM Plex Sans"/>
          <w:b w:val="1"/>
          <w:bCs w:val="1"/>
          <w:color w:val="cc0000"/>
          <w:sz w:val="26"/>
          <w:szCs w:val="26"/>
        </w:rPr>
      </w:pPr>
      <w:r w:rsidDel="00000000" w:rsidR="00000000" w:rsidRPr="00000000">
        <w:rPr>
          <w:rFonts w:ascii="IBM Plex Sans" w:cs="IBM Plex Sans" w:eastAsia="IBM Plex Sans" w:hAnsi="IBM Plex Sans"/>
          <w:b w:val="1"/>
          <w:bCs w:val="1"/>
          <w:sz w:val="26"/>
          <w:szCs w:val="26"/>
          <w:rtl w:val="0"/>
        </w:rPr>
        <w:t xml:space="preserve">CVSS:4.0/AV:N/AC:L/AT:N/PR:L/UI:N/VC:N/VI:L/VA:L/SC:N/SI:H/SA:L</w:t>
      </w:r>
      <w:r w:rsidDel="00000000" w:rsidR="00000000" w:rsidRPr="00000000">
        <w:rPr>
          <w:rtl w:val="0"/>
        </w:rPr>
      </w:r>
    </w:p>
    <w:p w:rsidR="00000000" w:rsidDel="00000000" w:rsidP="00000000" w:rsidRDefault="00000000" w:rsidRPr="00000000" w14:paraId="000000C2">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3">
      <w:pPr>
        <w:rPr>
          <w:rFonts w:ascii="IBM Plex Sans" w:cs="IBM Plex Sans" w:eastAsia="IBM Plex Sans" w:hAnsi="IBM Plex Sans"/>
          <w:b w:val="1"/>
          <w:bCs w:val="1"/>
          <w:color w:val="980000"/>
          <w:sz w:val="26"/>
          <w:szCs w:val="26"/>
        </w:rPr>
      </w:pPr>
      <w:r w:rsidDel="00000000" w:rsidR="00000000" w:rsidRPr="00000000">
        <w:rPr>
          <w:rtl w:val="0"/>
        </w:rPr>
      </w:r>
    </w:p>
    <w:p w:rsidR="00000000" w:rsidDel="00000000" w:rsidP="00000000" w:rsidRDefault="00000000" w:rsidRPr="00000000" w14:paraId="000000C4">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Impact: </w:t>
      </w:r>
    </w:p>
    <w:p w:rsidR="00000000" w:rsidDel="00000000" w:rsidP="00000000" w:rsidRDefault="00000000" w:rsidRPr="00000000" w14:paraId="000000C5">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6">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{{impact}</w:t>
      </w:r>
    </w:p>
    <w:p w:rsidR="00000000" w:rsidDel="00000000" w:rsidP="00000000" w:rsidRDefault="00000000" w:rsidRPr="00000000" w14:paraId="000000C7">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8">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9">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CA">
      <w:pPr>
        <w:rPr>
          <w:rFonts w:ascii="IBM Plex Sans" w:cs="IBM Plex Sans" w:eastAsia="IBM Plex Sans" w:hAnsi="IBM Plex Sans"/>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B">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t xml:space="preserve">Proof of Concept:</w:t>
      </w:r>
    </w:p>
    <w:p w:rsidR="00000000" w:rsidDel="00000000" w:rsidP="00000000" w:rsidRDefault="00000000" w:rsidRPr="00000000" w14:paraId="000000CC">
      <w:pPr>
        <w:rPr>
          <w:rFonts w:ascii="IBM Plex Sans" w:cs="IBM Plex Sans" w:eastAsia="IBM Plex Sans" w:hAnsi="IBM Plex Sans"/>
          <w:b w:val="1"/>
          <w:bCs w:val="1"/>
          <w:sz w:val="26"/>
          <w:szCs w:val="26"/>
        </w:rPr>
      </w:pPr>
      <w:r w:rsidDel="00000000" w:rsidR="00000000" w:rsidRPr="00000000">
        <w:rPr>
          <w:rtl w:val="0"/>
        </w:rPr>
      </w:r>
    </w:p>
    <w:tbl>
      <w:tblPr>
        <w:tblStyle w:val="Table4"/>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rHeight w:val="23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{{poc}}</w:t>
            </w:r>
          </w:p>
        </w:tc>
      </w:tr>
    </w:tbl>
    <w:p w:rsidR="00000000" w:rsidDel="00000000" w:rsidP="00000000" w:rsidRDefault="00000000" w:rsidRPr="00000000" w14:paraId="000000CE">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CF">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0">
      <w:pPr>
        <w:rPr>
          <w:rFonts w:ascii="IBM Plex Sans" w:cs="IBM Plex Sans" w:eastAsia="IBM Plex Sans" w:hAnsi="IBM Plex Sans"/>
          <w:b w:val="1"/>
          <w:bCs w:val="1"/>
          <w:sz w:val="26"/>
          <w:szCs w:val="26"/>
        </w:rPr>
      </w:pPr>
      <w:r w:rsidDel="00000000" w:rsidR="00000000" w:rsidRPr="00000000">
        <w:rPr>
          <w:rFonts w:ascii="IBM Plex Sans" w:cs="IBM Plex Sans" w:eastAsia="IBM Plex Sans" w:hAnsi="IBM Plex Sans"/>
          <w:b w:val="1"/>
          <w:bCs w:val="1"/>
          <w:sz w:val="26"/>
          <w:szCs w:val="26"/>
          <w:rtl w:val="0"/>
        </w:rPr>
        <w:br w:type="textWrapping"/>
        <w:t xml:space="preserve">Remediation Recommendations:</w:t>
      </w:r>
    </w:p>
    <w:p w:rsidR="00000000" w:rsidDel="00000000" w:rsidP="00000000" w:rsidRDefault="00000000" w:rsidRPr="00000000" w14:paraId="000000D1">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D2">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{{remediation}}</w:t>
      </w:r>
    </w:p>
    <w:p w:rsidR="00000000" w:rsidDel="00000000" w:rsidP="00000000" w:rsidRDefault="00000000" w:rsidRPr="00000000" w14:paraId="000000D3">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4">
      <w:pPr>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D5">
      <w:pPr>
        <w:pStyle w:val="Heading2"/>
        <w:rPr>
          <w:rFonts w:ascii="IBM Plex Sans" w:cs="IBM Plex Sans" w:eastAsia="IBM Plex Sans" w:hAnsi="IBM Plex Sans"/>
          <w:b w:val="1"/>
          <w:bCs w:val="1"/>
          <w:sz w:val="42"/>
          <w:szCs w:val="42"/>
        </w:rPr>
      </w:pPr>
      <w:bookmarkStart w:colFirst="0" w:colLast="0" w:name="_heading=h.jmbgrfkhb926" w:id="20"/>
      <w:bookmarkEnd w:id="20"/>
      <w:r w:rsidDel="00000000" w:rsidR="00000000" w:rsidRPr="00000000">
        <w:rPr>
          <w:rFonts w:ascii="IBM Plex Sans" w:cs="IBM Plex Sans" w:eastAsia="IBM Plex Sans" w:hAnsi="IBM Plex Sans"/>
          <w:b w:val="1"/>
          <w:bCs w:val="1"/>
          <w:sz w:val="42"/>
          <w:szCs w:val="42"/>
          <w:rtl w:val="0"/>
        </w:rPr>
        <w:t xml:space="preserve">{{/findings}}</w:t>
      </w:r>
    </w:p>
    <w:p w:rsidR="00000000" w:rsidDel="00000000" w:rsidP="00000000" w:rsidRDefault="00000000" w:rsidRPr="00000000" w14:paraId="000000D6">
      <w:pPr>
        <w:rPr>
          <w:rFonts w:ascii="IBM Plex Sans" w:cs="IBM Plex Sans" w:eastAsia="IBM Plex Sans" w:hAnsi="IBM Plex Sans"/>
          <w:b w:val="1"/>
          <w:bCs w:val="1"/>
          <w:sz w:val="26"/>
          <w:szCs w:val="26"/>
        </w:rPr>
      </w:pPr>
      <w:r w:rsidDel="00000000" w:rsidR="00000000" w:rsidRPr="00000000">
        <w:rPr>
          <w:rtl w:val="0"/>
        </w:rPr>
      </w:r>
    </w:p>
    <w:p w:rsidR="00000000" w:rsidDel="00000000" w:rsidP="00000000" w:rsidRDefault="00000000" w:rsidRPr="00000000" w14:paraId="000000D7">
      <w:pPr>
        <w:pStyle w:val="Heading1"/>
        <w:spacing w:line="240" w:lineRule="auto"/>
        <w:ind w:left="1440" w:right="1440" w:firstLine="0"/>
        <w:rPr>
          <w:rFonts w:ascii="IBM Plex Sans" w:cs="IBM Plex Sans" w:eastAsia="IBM Plex Sans" w:hAnsi="IBM Plex Sans"/>
          <w:color w:val="064e3b"/>
        </w:rPr>
      </w:pPr>
      <w:bookmarkStart w:colFirst="0" w:colLast="0" w:name="_heading=h.hpmnc3gdvycv" w:id="21"/>
      <w:bookmarkEnd w:id="21"/>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spacing w:line="240" w:lineRule="auto"/>
        <w:ind w:left="1440" w:right="1440" w:firstLine="0"/>
        <w:rPr>
          <w:rFonts w:ascii="IBM Plex Sans" w:cs="IBM Plex Sans" w:eastAsia="IBM Plex Sans" w:hAnsi="IBM Plex Sans"/>
          <w:color w:val="064e3b"/>
        </w:rPr>
      </w:pPr>
      <w:bookmarkStart w:colFirst="0" w:colLast="0" w:name="_heading=h.ydp05i6nnsp" w:id="22"/>
      <w:bookmarkEnd w:id="22"/>
      <w:r w:rsidDel="00000000" w:rsidR="00000000" w:rsidRPr="00000000">
        <w:rPr>
          <w:rFonts w:ascii="IBM Plex Sans" w:cs="IBM Plex Sans" w:eastAsia="IBM Plex Sans" w:hAnsi="IBM Plex Sans"/>
          <w:color w:val="064e3b"/>
          <w:rtl w:val="0"/>
        </w:rPr>
        <w:t xml:space="preserve">Appendix</w:t>
      </w:r>
    </w:p>
    <w:p w:rsidR="00000000" w:rsidDel="00000000" w:rsidP="00000000" w:rsidRDefault="00000000" w:rsidRPr="00000000" w14:paraId="000000D9">
      <w:pPr>
        <w:pStyle w:val="Heading1"/>
        <w:spacing w:line="240" w:lineRule="auto"/>
        <w:ind w:left="1440" w:right="1440" w:firstLine="0"/>
        <w:rPr>
          <w:rFonts w:ascii="IBM Plex Sans" w:cs="IBM Plex Sans" w:eastAsia="IBM Plex Sans" w:hAnsi="IBM Plex Sans"/>
          <w:sz w:val="48"/>
          <w:szCs w:val="48"/>
        </w:rPr>
      </w:pPr>
      <w:bookmarkStart w:colFirst="0" w:colLast="0" w:name="_heading=h.9hc0f77doppw" w:id="23"/>
      <w:bookmarkEnd w:id="23"/>
      <w:r w:rsidDel="00000000" w:rsidR="00000000" w:rsidRPr="00000000">
        <w:rPr>
          <w:rtl w:val="0"/>
        </w:rPr>
      </w:r>
    </w:p>
    <w:p w:rsidR="00000000" w:rsidDel="00000000" w:rsidP="00000000" w:rsidRDefault="00000000" w:rsidRPr="00000000" w14:paraId="000000DA">
      <w:pPr>
        <w:spacing w:before="111"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AP Pentesting team used the following standards to rate the findings in the report. AP Pentesting derived these risk ratings from the industry and organizations such as OWASP &amp; the Common Weakness Enumeration (CWE) ratings.</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440" w:right="1440" w:firstLine="0"/>
        <w:rPr>
          <w:rFonts w:ascii="IBM Plex Sans" w:cs="IBM Plex Sans" w:eastAsia="IBM Plex Sans" w:hAnsi="IBM Plex Sans"/>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DC">
      <w:pPr>
        <w:pStyle w:val="Heading2"/>
        <w:spacing w:before="0" w:line="240" w:lineRule="auto"/>
        <w:ind w:left="1440" w:right="1440" w:firstLine="0"/>
        <w:rPr>
          <w:rFonts w:ascii="IBM Plex Sans" w:cs="IBM Plex Sans" w:eastAsia="IBM Plex Sans" w:hAnsi="IBM Plex Sans"/>
        </w:rPr>
      </w:pPr>
      <w:bookmarkStart w:colFirst="0" w:colLast="0" w:name="_heading=h.l1a82dfgjzek" w:id="24"/>
      <w:bookmarkEnd w:id="24"/>
      <w:r w:rsidDel="00000000" w:rsidR="00000000" w:rsidRPr="00000000">
        <w:rPr>
          <w:rFonts w:ascii="IBM Plex Sans" w:cs="IBM Plex Sans" w:eastAsia="IBM Plex Sans" w:hAnsi="IBM Plex Sans"/>
          <w:rtl w:val="0"/>
        </w:rPr>
        <w:t xml:space="preserve">Severity Descriptions</w:t>
      </w:r>
    </w:p>
    <w:p w:rsidR="00000000" w:rsidDel="00000000" w:rsidP="00000000" w:rsidRDefault="00000000" w:rsidRPr="00000000" w14:paraId="000000DD">
      <w:pPr>
        <w:spacing w:before="18" w:line="240"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severity of each finding in this report is independent. Finding severity ratings combines direct technical and business impact with the worst-case scenario in an attack chain. The more significant the impact, and the fewer vulnerabilities that must be exploited to achieve that impact, the higher the severity.</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40" w:right="1440" w:firstLine="0"/>
        <w:rPr>
          <w:rFonts w:ascii="IBM Plex Sans" w:cs="IBM Plex Sans" w:eastAsia="IBM Plex Sans" w:hAnsi="IBM Plex Sans"/>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DF">
      <w:pPr>
        <w:ind w:left="1440" w:right="1440" w:firstLine="0"/>
        <w:rPr>
          <w:rFonts w:ascii="IBM Plex Sans" w:cs="IBM Plex Sans" w:eastAsia="IBM Plex Sans" w:hAnsi="IBM Plex Sans"/>
          <w:color w:val="980000"/>
          <w:sz w:val="28"/>
          <w:szCs w:val="28"/>
        </w:rPr>
      </w:pPr>
      <w:r w:rsidDel="00000000" w:rsidR="00000000" w:rsidRPr="00000000">
        <w:rPr>
          <w:rFonts w:ascii="IBM Plex Sans" w:cs="IBM Plex Sans" w:eastAsia="IBM Plex Sans" w:hAnsi="IBM Plex Sans"/>
          <w:color w:val="980000"/>
          <w:sz w:val="28"/>
          <w:szCs w:val="28"/>
          <w:rtl w:val="0"/>
        </w:rPr>
        <w:t xml:space="preserve">Critical</w:t>
      </w:r>
    </w:p>
    <w:p w:rsidR="00000000" w:rsidDel="00000000" w:rsidP="00000000" w:rsidRDefault="00000000" w:rsidRPr="00000000" w14:paraId="000000E0">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is an otherwise high-severity issue with additional security implications that could lead to exceptional business impact. </w:t>
      </w:r>
    </w:p>
    <w:p w:rsidR="00000000" w:rsidDel="00000000" w:rsidP="00000000" w:rsidRDefault="00000000" w:rsidRPr="00000000" w14:paraId="000000E1">
      <w:pPr>
        <w:spacing w:before="0" w:line="271" w:lineRule="auto"/>
        <w:ind w:left="1440" w:right="1440" w:firstLine="0"/>
        <w:jc w:val="both"/>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Fonts w:ascii="IBM Plex Sans" w:cs="IBM Plex Sans" w:eastAsia="IBM Plex Sans" w:hAnsi="IBM Plex Sans"/>
          <w:rtl w:val="0"/>
        </w:rPr>
        <w:t xml:space="preserve">Examples: trivial exploit difficulty, business-critical data compromised, bypass of security controls, direct violation of communicated security objectives, and large- scale vulnerability exposure.</w:t>
      </w: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440" w:right="1440" w:firstLine="0"/>
        <w:rPr>
          <w:rFonts w:ascii="IBM Plex Sans" w:cs="IBM Plex Sans" w:eastAsia="IBM Plex Sans" w:hAnsi="IBM Plex Sans"/>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3">
      <w:pPr>
        <w:ind w:left="1440" w:right="1440" w:firstLine="0"/>
        <w:rPr>
          <w:rFonts w:ascii="IBM Plex Sans" w:cs="IBM Plex Sans" w:eastAsia="IBM Plex Sans" w:hAnsi="IBM Plex Sans"/>
          <w:color w:val="ff0000"/>
          <w:sz w:val="28"/>
          <w:szCs w:val="28"/>
        </w:rPr>
      </w:pPr>
      <w:r w:rsidDel="00000000" w:rsidR="00000000" w:rsidRPr="00000000">
        <w:rPr>
          <w:rFonts w:ascii="IBM Plex Sans" w:cs="IBM Plex Sans" w:eastAsia="IBM Plex Sans" w:hAnsi="IBM Plex Sans"/>
          <w:color w:val="ff0000"/>
          <w:sz w:val="28"/>
          <w:szCs w:val="28"/>
          <w:rtl w:val="0"/>
        </w:rPr>
        <w:t xml:space="preserve">High</w:t>
      </w:r>
    </w:p>
    <w:p w:rsidR="00000000" w:rsidDel="00000000" w:rsidP="00000000" w:rsidRDefault="00000000" w:rsidRPr="00000000" w14:paraId="000000E4">
      <w:pPr>
        <w:spacing w:before="0"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direct exposure including, but not limited to: the loss of application control, execution of malicious code, or compromise of underlying host systems. The issue may also create a breach in the confidentiality or integrity of sensitive business data, customer information, and administrative and user accounts. In some instances, this exposure may extend farther in the infrastructure beyond the data and systems associated with the application.</w:t>
      </w:r>
    </w:p>
    <w:p w:rsidR="00000000" w:rsidDel="00000000" w:rsidP="00000000" w:rsidRDefault="00000000" w:rsidRPr="00000000" w14:paraId="000000E5">
      <w:pPr>
        <w:spacing w:before="0" w:line="271"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6">
      <w:pPr>
        <w:spacing w:before="100" w:lineRule="auto"/>
        <w:ind w:left="720" w:right="1440" w:firstLine="720"/>
        <w:rPr>
          <w:rFonts w:ascii="IBM Plex Sans" w:cs="IBM Plex Sans" w:eastAsia="IBM Plex Sans" w:hAnsi="IBM Plex Sans"/>
          <w:sz w:val="20"/>
          <w:szCs w:val="20"/>
        </w:rPr>
      </w:pPr>
      <w:r w:rsidDel="00000000" w:rsidR="00000000" w:rsidRPr="00000000">
        <w:rPr>
          <w:rFonts w:ascii="IBM Plex Sans" w:cs="IBM Plex Sans" w:eastAsia="IBM Plex Sans" w:hAnsi="IBM Plex Sans"/>
          <w:color w:val="f1c232"/>
          <w:sz w:val="28"/>
          <w:szCs w:val="28"/>
          <w:rtl w:val="0"/>
        </w:rPr>
        <w:t xml:space="preserve">Medium</w:t>
      </w:r>
      <w:r w:rsidDel="00000000" w:rsidR="00000000" w:rsidRPr="00000000">
        <w:rPr>
          <w:rtl w:val="0"/>
        </w:rPr>
      </w:r>
    </w:p>
    <w:p w:rsidR="00000000" w:rsidDel="00000000" w:rsidP="00000000" w:rsidRDefault="00000000" w:rsidRPr="00000000" w14:paraId="000000E7">
      <w:pPr>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does not lead directly to the exposure of critical application functionality, sensitive business and customer data, or application credentials. However, it can be executed multiple times or leveraged in conjunction with another issue to cause direct exposure. Examples include brute-forcing and client-side input validation.</w:t>
      </w:r>
    </w:p>
    <w:p w:rsidR="00000000" w:rsidDel="00000000" w:rsidP="00000000" w:rsidRDefault="00000000" w:rsidRPr="00000000" w14:paraId="000000E8">
      <w:pPr>
        <w:spacing w:before="58" w:lineRule="auto"/>
        <w:ind w:left="1440" w:right="1440" w:firstLine="0"/>
        <w:rPr>
          <w:rFonts w:ascii="IBM Plex Sans" w:cs="IBM Plex Sans" w:eastAsia="IBM Plex Sans" w:hAnsi="IBM Plex Sans"/>
          <w:sz w:val="32"/>
          <w:szCs w:val="32"/>
        </w:rPr>
      </w:pPr>
      <w:r w:rsidDel="00000000" w:rsidR="00000000" w:rsidRPr="00000000">
        <w:rPr>
          <w:rtl w:val="0"/>
        </w:rPr>
      </w:r>
    </w:p>
    <w:p w:rsidR="00000000" w:rsidDel="00000000" w:rsidP="00000000" w:rsidRDefault="00000000" w:rsidRPr="00000000" w14:paraId="000000E9">
      <w:pPr>
        <w:ind w:left="720" w:right="1440" w:firstLine="720"/>
        <w:rPr>
          <w:rFonts w:ascii="IBM Plex Sans" w:cs="IBM Plex Sans" w:eastAsia="IBM Plex Sans" w:hAnsi="IBM Plex Sans"/>
          <w:color w:val="6aa84f"/>
          <w:sz w:val="28"/>
          <w:szCs w:val="28"/>
        </w:rPr>
      </w:pPr>
      <w:r w:rsidDel="00000000" w:rsidR="00000000" w:rsidRPr="00000000">
        <w:rPr>
          <w:rtl w:val="0"/>
        </w:rPr>
      </w:r>
    </w:p>
    <w:p w:rsidR="00000000" w:rsidDel="00000000" w:rsidP="00000000" w:rsidRDefault="00000000" w:rsidRPr="00000000" w14:paraId="000000EA">
      <w:pPr>
        <w:ind w:left="720" w:right="1440" w:firstLine="720"/>
        <w:rPr>
          <w:rFonts w:ascii="IBM Plex Sans" w:cs="IBM Plex Sans" w:eastAsia="IBM Plex Sans" w:hAnsi="IBM Plex Sans"/>
          <w:color w:val="6aa84f"/>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EB">
      <w:pPr>
        <w:ind w:left="720" w:right="1440" w:firstLine="720"/>
        <w:rPr>
          <w:rFonts w:ascii="IBM Plex Sans" w:cs="IBM Plex Sans" w:eastAsia="IBM Plex Sans" w:hAnsi="IBM Plex Sans"/>
          <w:color w:val="6aa84f"/>
          <w:sz w:val="28"/>
          <w:szCs w:val="28"/>
        </w:rPr>
      </w:pPr>
      <w:r w:rsidDel="00000000" w:rsidR="00000000" w:rsidRPr="00000000">
        <w:rPr>
          <w:rFonts w:ascii="IBM Plex Sans" w:cs="IBM Plex Sans" w:eastAsia="IBM Plex Sans" w:hAnsi="IBM Plex Sans"/>
          <w:color w:val="6aa84f"/>
          <w:sz w:val="28"/>
          <w:szCs w:val="28"/>
          <w:rtl w:val="0"/>
        </w:rPr>
        <w:t xml:space="preserve">Low</w:t>
      </w:r>
    </w:p>
    <w:p w:rsidR="00000000" w:rsidDel="00000000" w:rsidP="00000000" w:rsidRDefault="00000000" w:rsidRPr="00000000" w14:paraId="000000EC">
      <w:pPr>
        <w:spacing w:line="271" w:lineRule="auto"/>
        <w:ind w:left="1440" w:right="144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Vulnerability may result in limited exposure of application control, sensitive business and customer data, or system information. This type of issue provides value only when combined with one or more issues of a higher risk classification. Examples include overly detailed error messages, the disclosure of system versioning information, and minor reliability issues.</w:t>
      </w:r>
    </w:p>
    <w:p w:rsidR="00000000" w:rsidDel="00000000" w:rsidP="00000000" w:rsidRDefault="00000000" w:rsidRPr="00000000" w14:paraId="000000ED">
      <w:pPr>
        <w:spacing w:before="2" w:line="271" w:lineRule="auto"/>
        <w:ind w:left="1440" w:right="1440" w:firstLine="0"/>
        <w:jc w:val="both"/>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EE">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k5zz4s1ovofg" w:id="25"/>
      <w:bookmarkEnd w:id="25"/>
      <w:r w:rsidDel="00000000" w:rsidR="00000000" w:rsidRPr="00000000">
        <w:rPr>
          <w:rtl w:val="0"/>
        </w:rPr>
      </w:r>
    </w:p>
    <w:p w:rsidR="00000000" w:rsidDel="00000000" w:rsidP="00000000" w:rsidRDefault="00000000" w:rsidRPr="00000000" w14:paraId="000000EF">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pwg15d37gotb" w:id="26"/>
      <w:bookmarkEnd w:id="26"/>
      <w:r w:rsidDel="00000000" w:rsidR="00000000" w:rsidRPr="00000000">
        <w:rPr>
          <w:rtl w:val="0"/>
        </w:rPr>
      </w:r>
    </w:p>
    <w:p w:rsidR="00000000" w:rsidDel="00000000" w:rsidP="00000000" w:rsidRDefault="00000000" w:rsidRPr="00000000" w14:paraId="000000F0">
      <w:pPr>
        <w:pStyle w:val="Heading2"/>
        <w:spacing w:before="2" w:line="271" w:lineRule="auto"/>
        <w:ind w:left="720" w:right="1440" w:firstLine="720"/>
        <w:jc w:val="both"/>
        <w:rPr>
          <w:rFonts w:ascii="IBM Plex Sans" w:cs="IBM Plex Sans" w:eastAsia="IBM Plex Sans" w:hAnsi="IBM Plex Sans"/>
          <w:color w:val="34d399"/>
        </w:rPr>
      </w:pPr>
      <w:bookmarkStart w:colFirst="0" w:colLast="0" w:name="_heading=h.17l2zyu7ec8" w:id="27"/>
      <w:bookmarkEnd w:id="27"/>
      <w:r w:rsidDel="00000000" w:rsidR="00000000" w:rsidRPr="00000000">
        <w:rPr>
          <w:rFonts w:ascii="IBM Plex Sans" w:cs="IBM Plex Sans" w:eastAsia="IBM Plex Sans" w:hAnsi="IBM Plex Sans"/>
          <w:color w:val="34d399"/>
          <w:rtl w:val="0"/>
        </w:rPr>
        <w:t xml:space="preserve">Risk Matrix</w:t>
      </w:r>
    </w:p>
    <w:p w:rsidR="00000000" w:rsidDel="00000000" w:rsidP="00000000" w:rsidRDefault="00000000" w:rsidRPr="00000000" w14:paraId="000000F1">
      <w:pPr>
        <w:rPr/>
      </w:pPr>
      <w:r w:rsidDel="00000000" w:rsidR="00000000" w:rsidRPr="00000000">
        <w:rPr>
          <w:rtl w:val="0"/>
        </w:rPr>
      </w:r>
    </w:p>
    <w:tbl>
      <w:tblPr>
        <w:tblStyle w:val="Table5"/>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4.9999999999998"/>
        <w:gridCol w:w="1615.0000000000002"/>
        <w:gridCol w:w="1800"/>
        <w:gridCol w:w="1800"/>
        <w:gridCol w:w="1800"/>
        <w:gridCol w:w="1800"/>
        <w:tblGridChange w:id="0">
          <w:tblGrid>
            <w:gridCol w:w="1984.9999999999998"/>
            <w:gridCol w:w="1615.0000000000002"/>
            <w:gridCol w:w="1800"/>
            <w:gridCol w:w="1800"/>
            <w:gridCol w:w="1800"/>
            <w:gridCol w:w="1800"/>
          </w:tblGrid>
        </w:tblGridChange>
      </w:tblGrid>
      <w:tr>
        <w:trPr>
          <w:cantSplit w:val="0"/>
          <w:trHeight w:val="462.373046875" w:hRule="atLeast"/>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tl w:val="0"/>
              </w:rPr>
            </w:r>
          </w:p>
        </w:tc>
        <w:tc>
          <w:tcPr>
            <w:gridSpan w:val="5"/>
            <w:shd w:fill="064e3b"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Impact</w:t>
            </w:r>
          </w:p>
        </w:tc>
      </w:tr>
      <w:tr>
        <w:trPr>
          <w:cantSplit w:val="0"/>
          <w:tblHeader w:val="0"/>
        </w:trPr>
        <w:tc>
          <w:tcPr>
            <w:shd w:fill="064e3b" w:val="clear"/>
            <w:tcMar>
              <w:top w:w="100.0" w:type="dxa"/>
              <w:left w:w="100.0" w:type="dxa"/>
              <w:bottom w:w="100.0" w:type="dxa"/>
              <w:right w:w="100.0" w:type="dxa"/>
            </w:tcMar>
            <w:vAlign w:val="top"/>
          </w:tcPr>
          <w:p w:rsidR="00000000" w:rsidDel="00000000" w:rsidP="00000000" w:rsidRDefault="00000000" w:rsidRPr="00000000" w14:paraId="000000F8">
            <w:pPr>
              <w:jc w:val="center"/>
              <w:rPr>
                <w:rFonts w:ascii="IBM Plex Sans" w:cs="IBM Plex Sans" w:eastAsia="IBM Plex Sans" w:hAnsi="IBM Plex Sans"/>
                <w:color w:val="34d399"/>
              </w:rPr>
            </w:pPr>
            <w:r w:rsidDel="00000000" w:rsidR="00000000" w:rsidRPr="00000000">
              <w:rPr>
                <w:rFonts w:ascii="IBM Plex Sans" w:cs="IBM Plex Sans" w:eastAsia="IBM Plex Sans" w:hAnsi="IBM Plex Sans"/>
                <w:color w:val="34d399"/>
                <w:rtl w:val="0"/>
              </w:rPr>
              <w:t xml:space="preserve">Risk</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9">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Insignificant</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A">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Minor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C">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Major</w:t>
            </w:r>
          </w:p>
        </w:tc>
        <w:tc>
          <w:tcPr>
            <w:shd w:fill="efefef" w:val="clear"/>
            <w:tcMar>
              <w:top w:w="100.0" w:type="dxa"/>
              <w:left w:w="100.0" w:type="dxa"/>
              <w:bottom w:w="100.0" w:type="dxa"/>
              <w:right w:w="100.0" w:type="dxa"/>
            </w:tcMar>
            <w:vAlign w:val="center"/>
          </w:tcPr>
          <w:p w:rsidR="00000000" w:rsidDel="00000000" w:rsidP="00000000" w:rsidRDefault="00000000" w:rsidRPr="00000000" w14:paraId="000000FD">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Almost Certain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0F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0">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1">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2">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3">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Likely</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5">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6">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8">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9">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0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0C">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D">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E">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F">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Unlikely</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1">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2">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4">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5">
            <w:pPr>
              <w:jc w:val="center"/>
              <w:rPr>
                <w:rFonts w:ascii="IBM Plex Sans" w:cs="IBM Plex Sans" w:eastAsia="IBM Plex Sans" w:hAnsi="IBM Plex Sans"/>
                <w:color w:val="ffffff"/>
              </w:rPr>
            </w:pPr>
            <w:r w:rsidDel="00000000" w:rsidR="00000000" w:rsidRPr="00000000">
              <w:rPr>
                <w:rFonts w:ascii="IBM Plex Sans" w:cs="IBM Plex Sans" w:eastAsia="IBM Plex Sans" w:hAnsi="IBM Plex Sans"/>
                <w:color w:val="ffffff"/>
                <w:rtl w:val="0"/>
              </w:rPr>
              <w:t xml:space="preserve">Critical</w:t>
            </w:r>
          </w:p>
        </w:tc>
      </w:tr>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Rare</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w:t>
            </w:r>
          </w:p>
        </w:tc>
      </w:tr>
    </w:tbl>
    <w:p w:rsidR="00000000" w:rsidDel="00000000" w:rsidP="00000000" w:rsidRDefault="00000000" w:rsidRPr="00000000" w14:paraId="0000011C">
      <w:pPr>
        <w:spacing w:before="1" w:line="271" w:lineRule="auto"/>
        <w:ind w:left="0" w:right="1440" w:firstLine="0"/>
        <w:rPr>
          <w:rFonts w:ascii="IBM Plex Sans" w:cs="IBM Plex Sans" w:eastAsia="IBM Plex Sans" w:hAnsi="IBM Plex Sans"/>
          <w:sz w:val="32"/>
          <w:szCs w:val="32"/>
        </w:rPr>
      </w:pPr>
      <w:r w:rsidDel="00000000" w:rsidR="00000000" w:rsidRPr="00000000">
        <w:rPr>
          <w:rtl w:val="0"/>
        </w:rPr>
      </w:r>
    </w:p>
    <w:sectPr>
      <w:type w:val="nextPage"/>
      <w:pgSz w:h="15840" w:w="12240" w:orient="portrait"/>
      <w:pgMar w:bottom="720" w:top="720" w:left="72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Lucida San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hakra Petch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BM Plex Sans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ial Black">
    <w:embedRegular w:fontKey="{00000000-0000-0000-0000-000000000000}" r:id="rId13" w:subsetted="0"/>
  </w:font>
  <w:font w:name="IBM Plex Sans SemiBold">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jc w:val="right"/>
      <w:rPr>
        <w:rFonts w:ascii="IBM Plex Sans Medium" w:cs="IBM Plex Sans Medium" w:eastAsia="IBM Plex Sans Medium" w:hAnsi="IBM Plex Sans Medium"/>
        <w:sz w:val="24"/>
        <w:szCs w:val="24"/>
      </w:rPr>
    </w:pPr>
    <w:r w:rsidDel="00000000" w:rsidR="00000000" w:rsidRPr="00000000">
      <w:rPr>
        <w:rFonts w:ascii="IBM Plex Sans Medium" w:cs="IBM Plex Sans Medium" w:eastAsia="IBM Plex Sans Medium" w:hAnsi="IBM Plex Sans Medium"/>
        <w:sz w:val="24"/>
        <w:szCs w:val="24"/>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789" w:lineRule="auto"/>
      <w:jc w:val="center"/>
    </w:pPr>
    <w:rPr>
      <w:rFonts w:ascii="Verdana" w:cs="Verdana" w:eastAsia="Verdana" w:hAnsi="Verdana"/>
      <w:sz w:val="70"/>
      <w:szCs w:val="70"/>
    </w:rPr>
  </w:style>
  <w:style w:type="paragraph" w:styleId="Heading2">
    <w:name w:val="heading 2"/>
    <w:basedOn w:val="Normal"/>
    <w:next w:val="Normal"/>
    <w:pPr>
      <w:ind w:left="1640"/>
    </w:pPr>
    <w:rPr>
      <w:rFonts w:ascii="Arial Black" w:cs="Arial Black" w:eastAsia="Arial Black" w:hAnsi="Arial Black"/>
      <w:sz w:val="46"/>
      <w:szCs w:val="46"/>
    </w:rPr>
  </w:style>
  <w:style w:type="paragraph" w:styleId="Heading3">
    <w:name w:val="heading 3"/>
    <w:basedOn w:val="Normal"/>
    <w:next w:val="Normal"/>
    <w:pPr>
      <w:ind w:left="1640"/>
    </w:pPr>
    <w:rPr>
      <w:rFonts w:ascii="Arial Black" w:cs="Arial Black" w:eastAsia="Arial Black" w:hAnsi="Arial Black"/>
      <w:sz w:val="44"/>
      <w:szCs w:val="44"/>
    </w:rPr>
  </w:style>
  <w:style w:type="paragraph" w:styleId="Heading4">
    <w:name w:val="heading 4"/>
    <w:basedOn w:val="Normal"/>
    <w:next w:val="Normal"/>
    <w:pPr>
      <w:spacing w:line="558" w:lineRule="auto"/>
      <w:jc w:val="center"/>
    </w:pPr>
    <w:rPr>
      <w:rFonts w:ascii="Lucida Sans" w:cs="Lucida Sans" w:eastAsia="Lucida Sans" w:hAnsi="Lucida Sans"/>
      <w:sz w:val="38"/>
      <w:szCs w:val="3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hyperlink" Target="https://dxbfnc04.na2.hs-sales-engage.com/Ctc/OV+23284/dxBFnc04/JkM2-6qcW6N1vHY6lZ3q4N8Ll_sBbCFwgW6pzL5L6CWsxMW81BmlF3WN9prW5_4Yj18fGHs-W28T9pH67wkn-W8jfHWB7f0XgtW1gZ0Vp5-BnFhW8thgxJ94g6ydW88m-_58p7dHvN36D1L44PlZCN5BwPs3tFwPTN8d0V6sPVc_nMN_sC5Q32YqW98lmmK3G1kMcW2bVJlZ4sdbhWW5jWQZ76sXvWZW5GdjGH2MrHnnN7kh0NsNlsm4W5Nwmbl7WZ3-YW2fXLfl4ZFc6wW5Z3f422lMDvwW5cpF3M2Lnkc7f6Mz5Md0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1" Type="http://schemas.openxmlformats.org/officeDocument/2006/relationships/font" Target="fonts/IBMPlexSansMedium-italic.ttf"/><Relationship Id="rId10" Type="http://schemas.openxmlformats.org/officeDocument/2006/relationships/font" Target="fonts/IBMPlexSansMedium-bold.ttf"/><Relationship Id="rId13" Type="http://schemas.openxmlformats.org/officeDocument/2006/relationships/font" Target="fonts/ArialBlack-regular.ttf"/><Relationship Id="rId12" Type="http://schemas.openxmlformats.org/officeDocument/2006/relationships/font" Target="fonts/IBMPlexSansMedium-boldItalic.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IBMPlexSansMedium-regular.ttf"/><Relationship Id="rId15" Type="http://schemas.openxmlformats.org/officeDocument/2006/relationships/font" Target="fonts/IBMPlexSansSemiBold-bold.ttf"/><Relationship Id="rId14" Type="http://schemas.openxmlformats.org/officeDocument/2006/relationships/font" Target="fonts/IBMPlexSansSemiBold-regular.ttf"/><Relationship Id="rId17" Type="http://schemas.openxmlformats.org/officeDocument/2006/relationships/font" Target="fonts/IBMPlexSansSemiBold-boldItalic.ttf"/><Relationship Id="rId16" Type="http://schemas.openxmlformats.org/officeDocument/2006/relationships/font" Target="fonts/IBMPlexSansSemiBold-italic.ttf"/><Relationship Id="rId5" Type="http://schemas.openxmlformats.org/officeDocument/2006/relationships/font" Target="fonts/ChakraPetchMedium-regular.ttf"/><Relationship Id="rId6" Type="http://schemas.openxmlformats.org/officeDocument/2006/relationships/font" Target="fonts/ChakraPetchMedium-bold.ttf"/><Relationship Id="rId7" Type="http://schemas.openxmlformats.org/officeDocument/2006/relationships/font" Target="fonts/ChakraPetchMedium-italic.ttf"/><Relationship Id="rId8" Type="http://schemas.openxmlformats.org/officeDocument/2006/relationships/font" Target="fonts/ChakraPetch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NialLs3nd8FqvhDCdaDdvNGiuA==">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