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Fonts w:ascii="Chakra Petch Medium" w:cs="Chakra Petch Medium" w:eastAsia="Chakra Petch Medium" w:hAnsi="Chakra Petch Medium"/>
          <w:sz w:val="20"/>
          <w:szCs w:val="20"/>
        </w:rPr>
        <w:drawing>
          <wp:anchor allowOverlap="1" behindDoc="1" distB="0" distT="0" distL="0" distR="0" hidden="0" layoutInCell="1" locked="0" relativeHeight="0" simplePos="0">
            <wp:simplePos x="0" y="0"/>
            <wp:positionH relativeFrom="page">
              <wp:posOffset>-4758</wp:posOffset>
            </wp:positionH>
            <wp:positionV relativeFrom="page">
              <wp:posOffset>0</wp:posOffset>
            </wp:positionV>
            <wp:extent cx="7856371" cy="10163175"/>
            <wp:effectExtent b="0" l="0" r="0" t="0"/>
            <wp:wrapNone/>
            <wp:docPr id="4" name="image1.jpg"/>
            <a:graphic>
              <a:graphicData uri="http://schemas.openxmlformats.org/drawingml/2006/picture">
                <pic:pic>
                  <pic:nvPicPr>
                    <pic:cNvPr id="0" name="image1.jpg"/>
                    <pic:cNvPicPr preferRelativeResize="0"/>
                  </pic:nvPicPr>
                  <pic:blipFill>
                    <a:blip r:embed="rId7"/>
                    <a:srcRect b="34" l="0" r="0" t="34"/>
                    <a:stretch>
                      <a:fillRect/>
                    </a:stretch>
                  </pic:blipFill>
                  <pic:spPr>
                    <a:xfrm>
                      <a:off x="0" y="0"/>
                      <a:ext cx="7856371" cy="101631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Fonts w:ascii="IBM Plex Sans" w:cs="IBM Plex Sans" w:eastAsia="IBM Plex Sans" w:hAnsi="IBM Plex Sans"/>
          <w:color w:val="94d882"/>
          <w:sz w:val="45"/>
          <w:szCs w:val="45"/>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45"/>
          <w:szCs w:val="45"/>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34d399"/>
          <w:sz w:val="45"/>
          <w:szCs w:val="45"/>
          <w:shd w:fill="064e3b" w:val="clear"/>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45"/>
          <w:szCs w:val="45"/>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1440" w:right="1440" w:firstLine="0"/>
        <w:jc w:val="center"/>
        <w:rPr>
          <w:rFonts w:ascii="IBM Plex Sans" w:cs="IBM Plex Sans" w:eastAsia="IBM Plex Sans" w:hAnsi="IBM Plex Sans"/>
          <w:color w:val="064e3b"/>
          <w:sz w:val="35"/>
          <w:szCs w:val="35"/>
        </w:rPr>
      </w:pPr>
      <w:r w:rsidDel="00000000" w:rsidR="00000000" w:rsidRPr="00000000">
        <w:rPr>
          <w:rFonts w:ascii="IBM Plex Sans" w:cs="IBM Plex Sans" w:eastAsia="IBM Plex Sans" w:hAnsi="IBM Plex Sans"/>
          <w:color w:val="064e3b"/>
          <w:sz w:val="45"/>
          <w:szCs w:val="45"/>
          <w:rtl w:val="0"/>
        </w:rPr>
        <w:t xml:space="preserve">{{REPORT_TITLE}}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w14:paraId="0000001F">
      <w:pPr>
        <w:spacing w:after="220" w:before="220" w:line="392.64"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Penetration Test on {{TARGET}}</w:t>
      </w:r>
    </w:p>
    <w:p w:rsidR="00000000" w:rsidDel="00000000" w:rsidP="00000000" w:rsidRDefault="00000000" w:rsidRPr="00000000" w14:paraId="00000020">
      <w:pPr>
        <w:spacing w:after="220" w:before="220" w:line="192.48000000000002" w:lineRule="auto"/>
        <w:jc w:val="center"/>
        <w:rPr>
          <w:rFonts w:ascii="IBM Plex Sans" w:cs="IBM Plex Sans" w:eastAsia="IBM Plex Sans" w:hAnsi="IBM Plex Sans"/>
          <w:color w:val="064e3b"/>
          <w:sz w:val="23"/>
          <w:szCs w:val="23"/>
        </w:rPr>
      </w:pPr>
      <w:r w:rsidDel="00000000" w:rsidR="00000000" w:rsidRPr="00000000">
        <w:rPr>
          <w:rFonts w:ascii="IBM Plex Sans" w:cs="IBM Plex Sans" w:eastAsia="IBM Plex Sans" w:hAnsi="IBM Plex Sans"/>
          <w:color w:val="064e3b"/>
          <w:sz w:val="23"/>
          <w:szCs w:val="23"/>
          <w:rtl w:val="0"/>
        </w:rPr>
        <w:t xml:space="preserve">Completed {{COMPLETION_DATE}}</w:t>
      </w:r>
    </w:p>
    <w:p w:rsidR="00000000" w:rsidDel="00000000" w:rsidP="00000000" w:rsidRDefault="00000000" w:rsidRPr="00000000" w14:paraId="00000021">
      <w:pPr>
        <w:ind w:left="720" w:right="1440" w:firstLine="0"/>
        <w:jc w:val="center"/>
        <w:rPr>
          <w:rFonts w:ascii="IBM Plex Sans" w:cs="IBM Plex Sans" w:eastAsia="IBM Plex Sans" w:hAnsi="IBM Plex Sans"/>
          <w:color w:val="064e3b"/>
          <w:sz w:val="33"/>
          <w:szCs w:val="33"/>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94d882"/>
          <w:sz w:val="35"/>
          <w:szCs w:val="35"/>
        </w:rPr>
      </w:pPr>
      <w:r w:rsidDel="00000000" w:rsidR="00000000" w:rsidRPr="00000000">
        <w:rPr>
          <w:rtl w:val="0"/>
        </w:rPr>
      </w:r>
    </w:p>
    <w:p w:rsidR="00000000" w:rsidDel="00000000" w:rsidP="00000000" w:rsidRDefault="00000000" w:rsidRPr="00000000" w14:paraId="00000023">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4">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5">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6">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7">
      <w:pPr>
        <w:spacing w:before="0" w:lineRule="auto"/>
        <w:ind w:left="1440" w:right="1440" w:firstLine="0"/>
        <w:jc w:val="center"/>
        <w:rPr>
          <w:rFonts w:ascii="IBM Plex Sans" w:cs="IBM Plex Sans" w:eastAsia="IBM Plex Sans" w:hAnsi="IBM Plex Sans"/>
          <w:color w:val="4590e2"/>
          <w:sz w:val="45"/>
          <w:szCs w:val="45"/>
        </w:rPr>
      </w:pPr>
      <w:r w:rsidDel="00000000" w:rsidR="00000000" w:rsidRPr="00000000">
        <w:rPr>
          <w:rFonts w:ascii="IBM Plex Sans" w:cs="IBM Plex Sans" w:eastAsia="IBM Plex Sans" w:hAnsi="IBM Plex Sans"/>
          <w:color w:val="4590e2"/>
          <w:sz w:val="45"/>
          <w:szCs w:val="45"/>
          <w:rtl w:val="0"/>
        </w:rPr>
        <w:t xml:space="preserve"> </w:t>
      </w:r>
    </w:p>
    <w:p w:rsidR="00000000" w:rsidDel="00000000" w:rsidP="00000000" w:rsidRDefault="00000000" w:rsidRPr="00000000" w14:paraId="00000028">
      <w:pPr>
        <w:spacing w:before="0" w:lineRule="auto"/>
        <w:ind w:left="144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9">
      <w:pPr>
        <w:spacing w:before="0" w:lineRule="auto"/>
        <w:ind w:left="0" w:right="1440" w:firstLine="0"/>
        <w:jc w:val="left"/>
        <w:rPr>
          <w:rFonts w:ascii="IBM Plex Sans" w:cs="IBM Plex Sans" w:eastAsia="IBM Plex Sans" w:hAnsi="IBM Plex Sans"/>
          <w:color w:val="4590e2"/>
          <w:sz w:val="35"/>
          <w:szCs w:val="35"/>
        </w:rPr>
      </w:pPr>
      <w:r w:rsidDel="00000000" w:rsidR="00000000" w:rsidRPr="00000000">
        <w:rPr>
          <w:rtl w:val="0"/>
        </w:rPr>
      </w:r>
    </w:p>
    <w:p w:rsidR="00000000" w:rsidDel="00000000" w:rsidP="00000000" w:rsidRDefault="00000000" w:rsidRPr="00000000" w14:paraId="0000002A">
      <w:pPr>
        <w:tabs>
          <w:tab w:val="left" w:leader="none" w:pos="10408"/>
          <w:tab w:val="left" w:leader="none" w:pos="11365"/>
        </w:tabs>
        <w:ind w:right="1440"/>
        <w:jc w:val="center"/>
        <w:rPr>
          <w:rFonts w:ascii="IBM Plex Sans" w:cs="IBM Plex Sans" w:eastAsia="IBM Plex Sans" w:hAnsi="IBM Plex Sans"/>
          <w:color w:val="4590e2"/>
          <w:sz w:val="36"/>
          <w:szCs w:val="36"/>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08"/>
          <w:tab w:val="left" w:leader="none" w:pos="11365"/>
        </w:tabs>
        <w:spacing w:after="0" w:before="0" w:line="240" w:lineRule="auto"/>
        <w:ind w:left="0" w:right="144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color w:val="ffffff"/>
          <w:sz w:val="36"/>
          <w:szCs w:val="36"/>
          <w:rtl w:val="0"/>
        </w:rPr>
        <w:t xml:space="preserve">     </w:t>
      </w:r>
      <w:r w:rsidDel="00000000" w:rsidR="00000000" w:rsidRPr="00000000">
        <w:rPr>
          <w:rtl w:val="0"/>
        </w:rPr>
      </w:r>
    </w:p>
    <w:p w:rsidR="00000000" w:rsidDel="00000000" w:rsidP="00000000" w:rsidRDefault="00000000" w:rsidRPr="00000000" w14:paraId="0000002C">
      <w:pPr>
        <w:ind w:left="-720" w:right="-720" w:firstLine="0"/>
        <w:jc w:val="center"/>
        <w:rPr>
          <w:rFonts w:ascii="IBM Plex Sans" w:cs="IBM Plex Sans" w:eastAsia="IBM Plex Sans" w:hAnsi="IBM Plex Sans"/>
          <w:color w:val="4590e2"/>
          <w:sz w:val="36"/>
          <w:szCs w:val="36"/>
        </w:rPr>
      </w:pPr>
      <w:r w:rsidDel="00000000" w:rsidR="00000000" w:rsidRPr="00000000">
        <w:rPr>
          <w:rFonts w:ascii="IBM Plex Sans" w:cs="IBM Plex Sans" w:eastAsia="IBM Plex Sans" w:hAnsi="IBM Plex Sans"/>
          <w:sz w:val="26"/>
          <w:szCs w:val="26"/>
          <w:rtl w:val="0"/>
        </w:rPr>
        <w:t xml:space="preserve">This report is confidential and intended solely for authorized recipients.</w:t>
      </w:r>
      <w:r w:rsidDel="00000000" w:rsidR="00000000" w:rsidRPr="00000000">
        <w:rPr>
          <w:rFonts w:ascii="IBM Plex Sans" w:cs="IBM Plex Sans" w:eastAsia="IBM Plex Sans" w:hAnsi="IBM Plex Sans"/>
          <w:color w:val="4590e2"/>
          <w:sz w:val="36"/>
          <w:szCs w:val="36"/>
        </w:rPr>
        <w:drawing>
          <wp:anchor allowOverlap="1" behindDoc="0" distB="114300" distT="114300" distL="114300" distR="114300" hidden="0" layoutInCell="1" locked="0" relativeHeight="0" simplePos="0">
            <wp:simplePos x="0" y="0"/>
            <wp:positionH relativeFrom="page">
              <wp:posOffset>2486025</wp:posOffset>
            </wp:positionH>
            <wp:positionV relativeFrom="page">
              <wp:posOffset>4029075</wp:posOffset>
            </wp:positionV>
            <wp:extent cx="5329238" cy="5334000"/>
            <wp:effectExtent b="0" l="0" r="0" t="0"/>
            <wp:wrapNone/>
            <wp:docPr id="5" name="image3.png"/>
            <a:graphic>
              <a:graphicData uri="http://schemas.openxmlformats.org/drawingml/2006/picture">
                <pic:pic>
                  <pic:nvPicPr>
                    <pic:cNvPr id="0" name="image3.png"/>
                    <pic:cNvPicPr preferRelativeResize="0"/>
                  </pic:nvPicPr>
                  <pic:blipFill>
                    <a:blip r:embed="rId8"/>
                    <a:srcRect b="0" l="45" r="45" t="0"/>
                    <a:stretch>
                      <a:fillRect/>
                    </a:stretch>
                  </pic:blipFill>
                  <pic:spPr>
                    <a:xfrm>
                      <a:off x="0" y="0"/>
                      <a:ext cx="5329238" cy="5334000"/>
                    </a:xfrm>
                    <a:prstGeom prst="rect"/>
                    <a:ln/>
                  </pic:spPr>
                </pic:pic>
              </a:graphicData>
            </a:graphic>
          </wp:anchor>
        </w:drawing>
      </w:r>
      <w:r w:rsidDel="00000000" w:rsidR="00000000" w:rsidRPr="00000000">
        <w:rPr>
          <w:rtl w:val="0"/>
        </w:rPr>
      </w:r>
    </w:p>
    <w:tbl>
      <w:tblPr>
        <w:tblStyle w:val="Table1"/>
        <w:tblpPr w:leftFromText="180" w:rightFromText="180" w:topFromText="180" w:bottomFromText="180" w:vertAnchor="margin" w:horzAnchor="margin" w:tblpXSpec="center" w:tblpYSpec="top"/>
        <w:tblW w:w="9615.0" w:type="dxa"/>
        <w:jc w:val="center"/>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545"/>
        <w:gridCol w:w="2370"/>
        <w:gridCol w:w="4605"/>
        <w:tblGridChange w:id="0">
          <w:tblGrid>
            <w:gridCol w:w="1095"/>
            <w:gridCol w:w="1545"/>
            <w:gridCol w:w="2370"/>
            <w:gridCol w:w="4605"/>
          </w:tblGrid>
        </w:tblGridChange>
      </w:tblGrid>
      <w:tr>
        <w:trPr>
          <w:cantSplit w:val="0"/>
          <w:tblHeader w:val="0"/>
        </w:trPr>
        <w:tc>
          <w:tcPr>
            <w:shd w:fill="064e3b" w:val="clear"/>
          </w:tcPr>
          <w:p w:rsidR="00000000" w:rsidDel="00000000" w:rsidP="00000000" w:rsidRDefault="00000000" w:rsidRPr="00000000" w14:paraId="0000002D">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Version</w:t>
            </w:r>
          </w:p>
        </w:tc>
        <w:tc>
          <w:tcPr>
            <w:shd w:fill="064e3b" w:val="clear"/>
          </w:tcPr>
          <w:p w:rsidR="00000000" w:rsidDel="00000000" w:rsidP="00000000" w:rsidRDefault="00000000" w:rsidRPr="00000000" w14:paraId="0000002E">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Date</w:t>
            </w:r>
          </w:p>
        </w:tc>
        <w:tc>
          <w:tcPr>
            <w:shd w:fill="064e3b" w:val="clear"/>
          </w:tcPr>
          <w:p w:rsidR="00000000" w:rsidDel="00000000" w:rsidP="00000000" w:rsidRDefault="00000000" w:rsidRPr="00000000" w14:paraId="0000002F">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Tester</w:t>
            </w:r>
          </w:p>
        </w:tc>
        <w:tc>
          <w:tcPr>
            <w:shd w:fill="064e3b" w:val="clear"/>
          </w:tcPr>
          <w:p w:rsidR="00000000" w:rsidDel="00000000" w:rsidP="00000000" w:rsidRDefault="00000000" w:rsidRPr="00000000" w14:paraId="00000030">
            <w:pPr>
              <w:jc w:val="center"/>
              <w:rPr>
                <w:rFonts w:ascii="IBM Plex Sans" w:cs="IBM Plex Sans" w:eastAsia="IBM Plex Sans" w:hAnsi="IBM Plex Sans"/>
                <w:color w:val="34d399"/>
                <w:sz w:val="24"/>
                <w:szCs w:val="24"/>
              </w:rPr>
            </w:pPr>
            <w:r w:rsidDel="00000000" w:rsidR="00000000" w:rsidRPr="00000000">
              <w:rPr>
                <w:rFonts w:ascii="IBM Plex Sans" w:cs="IBM Plex Sans" w:eastAsia="IBM Plex Sans" w:hAnsi="IBM Plex Sans"/>
                <w:color w:val="34d399"/>
                <w:sz w:val="24"/>
                <w:szCs w:val="24"/>
                <w:rtl w:val="0"/>
              </w:rPr>
              <w:t xml:space="preserve">Notes</w:t>
            </w:r>
          </w:p>
        </w:tc>
      </w:tr>
      <w:tr>
        <w:trPr>
          <w:cantSplit w:val="0"/>
          <w:tblHeader w:val="0"/>
        </w:trPr>
        <w:tc>
          <w:tcPr>
            <w:shd w:fill="ffffff" w:val="clear"/>
          </w:tcPr>
          <w:p w:rsidR="00000000" w:rsidDel="00000000" w:rsidP="00000000" w:rsidRDefault="00000000" w:rsidRPr="00000000" w14:paraId="00000031">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{{REPORT_VERSION}}</w:t>
            </w:r>
          </w:p>
        </w:tc>
        <w:tc>
          <w:tcPr>
            <w:shd w:fill="ffffff" w:val="clear"/>
          </w:tcPr>
          <w:p w:rsidR="00000000" w:rsidDel="00000000" w:rsidP="00000000" w:rsidRDefault="00000000" w:rsidRPr="00000000" w14:paraId="00000032">
            <w:pPr>
              <w:spacing w:before="200" w:line="36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{{REPORT_DATE}}</w:t>
            </w:r>
          </w:p>
        </w:tc>
        <w:tc>
          <w:tcPr>
            <w:shd w:fill="ffffff" w:val="clear"/>
          </w:tcPr>
          <w:p w:rsidR="00000000" w:rsidDel="00000000" w:rsidP="00000000" w:rsidRDefault="00000000" w:rsidRPr="00000000" w14:paraId="00000033">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Zack ElMetennani</w:t>
            </w:r>
          </w:p>
        </w:tc>
        <w:tc>
          <w:tcPr>
            <w:shd w:fill="ffffff" w:val="clear"/>
          </w:tcPr>
          <w:p w:rsidR="00000000" w:rsidDel="00000000" w:rsidP="00000000" w:rsidRDefault="00000000" w:rsidRPr="00000000" w14:paraId="00000034">
            <w:pPr>
              <w:spacing w:after="220" w:before="220" w:line="240" w:lineRule="auto"/>
              <w:jc w:val="cente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Penetration Test for {{CLIENT_NAME}}</w:t>
            </w:r>
          </w:p>
        </w:tc>
      </w:tr>
    </w:tbl>
    <w:p w:rsidR="00000000" w:rsidDel="00000000" w:rsidP="00000000" w:rsidRDefault="00000000" w:rsidRPr="00000000" w14:paraId="00000035">
      <w:pPr>
        <w:spacing w:line="480" w:lineRule="auto"/>
        <w:ind w:left="0" w:right="1440" w:firstLine="0"/>
        <w:jc w:val="left"/>
        <w:rPr>
          <w:rFonts w:ascii="IBM Plex Sans" w:cs="IBM Plex Sans" w:eastAsia="IBM Plex Sans" w:hAnsi="IBM Plex Sans"/>
          <w:color w:val="4590e2"/>
          <w:sz w:val="36"/>
          <w:szCs w:val="36"/>
        </w:rPr>
        <w:sectPr>
          <w:footerReference r:id="rId9" w:type="default"/>
          <w:pgSz w:h="15840" w:w="12240" w:orient="portrait"/>
          <w:pgMar w:bottom="720" w:top="720" w:left="720" w:right="720" w:header="360" w:footer="360"/>
          <w:pgNumType w:start="1"/>
        </w:sectPr>
      </w:pPr>
      <w:r w:rsidDel="00000000" w:rsidR="00000000" w:rsidRPr="00000000">
        <w:rPr>
          <w:rtl w:val="0"/>
        </w:rPr>
      </w:r>
    </w:p>
    <w:p w:rsidR="00000000" w:rsidDel="00000000" w:rsidP="00000000" w:rsidRDefault="00000000" w:rsidRPr="00000000" w14:paraId="00000036">
      <w:pPr>
        <w:pStyle w:val="Heading1"/>
        <w:spacing w:line="240" w:lineRule="auto"/>
        <w:ind w:left="720" w:right="1440" w:firstLine="720"/>
        <w:jc w:val="center"/>
        <w:rPr>
          <w:rFonts w:ascii="IBM Plex Sans" w:cs="IBM Plex Sans" w:eastAsia="IBM Plex Sans" w:hAnsi="IBM Plex Sans"/>
          <w:color w:val="064e3b"/>
        </w:rPr>
      </w:pPr>
      <w:bookmarkStart w:colFirst="0" w:colLast="0" w:name="_heading=h.4rux5xkum9ro" w:id="0"/>
      <w:bookmarkEnd w:id="0"/>
      <w:r w:rsidDel="00000000" w:rsidR="00000000" w:rsidRPr="00000000">
        <w:rPr>
          <w:rFonts w:ascii="IBM Plex Sans" w:cs="IBM Plex Sans" w:eastAsia="IBM Plex Sans" w:hAnsi="IBM Plex Sans"/>
          <w:color w:val="064e3b"/>
          <w:rtl w:val="0"/>
        </w:rPr>
        <w:t xml:space="preserve">Table of Contents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dt>
      <w:sdtPr>
        <w:id w:val="2130644660"/>
        <w:docPartObj>
          <w:docPartGallery w:val="Table of Contents"/>
          <w:docPartUnique w:val="1"/>
        </w:docPartObj>
      </w:sdtPr>
      <w:sdtContent>
        <w:p w:rsidR="00000000" w:rsidDel="00000000" w:rsidP="00000000" w:rsidRDefault="00000000" w:rsidRPr="00000000" w14:paraId="00000039">
          <w:pPr>
            <w:tabs>
              <w:tab w:val="right" w:leader="none"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4rux5xkum9ro">
            <w:r w:rsidDel="00000000" w:rsidR="00000000" w:rsidRPr="00000000">
              <w:rPr>
                <w:b w:val="1"/>
                <w:bCs w:val="1"/>
                <w:color w:val="000000"/>
                <w:u w:val="no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b w:val="1"/>
              <w:bCs w:val="1"/>
              <w:color w:val="000000"/>
              <w:u w:val="none"/>
            </w:rPr>
          </w:pPr>
          <w:hyperlink w:anchor="_heading=h.flwqcdbs0kgw">
            <w:r w:rsidDel="00000000" w:rsidR="00000000" w:rsidRPr="00000000">
              <w:rPr>
                <w:b w:val="1"/>
                <w:bCs w:val="1"/>
                <w:color w:val="000000"/>
                <w:u w:val="none"/>
                <w:rtl w:val="0"/>
              </w:rPr>
              <w:t xml:space="preserve">About Affordable Pentesting</w:t>
              <w:tab/>
              <w:t xml:space="preserve">4</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720" w:firstLine="0"/>
            <w:rPr>
              <w:color w:val="000000"/>
              <w:u w:val="none"/>
            </w:rPr>
          </w:pPr>
          <w:hyperlink w:anchor="_heading=h.e7uqmm3nyvmu">
            <w:r w:rsidDel="00000000" w:rsidR="00000000" w:rsidRPr="00000000">
              <w:rPr>
                <w:color w:val="000000"/>
                <w:u w:val="none"/>
                <w:rtl w:val="0"/>
              </w:rPr>
              <w:t xml:space="preserve">Third-Party Attestation Statement</w:t>
              <w:tab/>
              <w:t xml:space="preserve">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b w:val="1"/>
              <w:bCs w:val="1"/>
              <w:color w:val="000000"/>
              <w:u w:val="none"/>
            </w:rPr>
          </w:pPr>
          <w:hyperlink w:anchor="_heading=h.3lip5046076p">
            <w:r w:rsidDel="00000000" w:rsidR="00000000" w:rsidRPr="00000000">
              <w:rPr>
                <w:b w:val="1"/>
                <w:bCs w:val="1"/>
                <w:color w:val="000000"/>
                <w:u w:val="none"/>
                <w:rtl w:val="0"/>
              </w:rPr>
              <w:t xml:space="preserve">Executive Summary</w:t>
              <w:tab/>
              <w:t xml:space="preserve">5</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rPr>
              <w:b w:val="1"/>
              <w:bCs w:val="1"/>
              <w:color w:val="000000"/>
              <w:u w:val="none"/>
            </w:rPr>
          </w:pPr>
          <w:hyperlink w:anchor="_heading=h.r6cwjzfa8xr2">
            <w:r w:rsidDel="00000000" w:rsidR="00000000" w:rsidRPr="00000000">
              <w:rPr>
                <w:b w:val="1"/>
                <w:bCs w:val="1"/>
                <w:color w:val="000000"/>
                <w:u w:val="none"/>
                <w:rtl w:val="0"/>
              </w:rPr>
              <w:t xml:space="preserve">Findings Summary</w:t>
              <w:tab/>
              <w:t xml:space="preserve">6</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rPr>
              <w:b w:val="1"/>
              <w:bCs w:val="1"/>
              <w:color w:val="000000"/>
              <w:u w:val="none"/>
            </w:rPr>
          </w:pPr>
          <w:hyperlink w:anchor="_heading=">
            <w:r w:rsidDel="00000000" w:rsidR="00000000" w:rsidRPr="00000000">
              <w:rPr>
                <w:b w:val="1"/>
                <w:bCs w:val="1"/>
                <w:color w:val="000000"/>
                <w:u w:val="none"/>
                <w:rtl w:val="0"/>
              </w:rPr>
              <w:t xml:space="preserve">Assessment Overview</w:t>
              <w:tab/>
              <w:t xml:space="preserve">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rPr>
              <w:color w:val="000000"/>
              <w:u w:val="none"/>
            </w:rPr>
          </w:pPr>
          <w:hyperlink w:anchor="_heading=h.wxt0f654wmur">
            <w:r w:rsidDel="00000000" w:rsidR="00000000" w:rsidRPr="00000000">
              <w:rPr>
                <w:color w:val="000000"/>
                <w:u w:val="none"/>
                <w:rtl w:val="0"/>
              </w:rPr>
              <w:t xml:space="preserve">Purpose</w:t>
              <w:tab/>
              <w:t xml:space="preserve">7</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rPr>
              <w:color w:val="000000"/>
              <w:u w:val="none"/>
            </w:rPr>
          </w:pPr>
          <w:hyperlink w:anchor="_heading=h.k6m6hcb5rxg1">
            <w:r w:rsidDel="00000000" w:rsidR="00000000" w:rsidRPr="00000000">
              <w:rPr>
                <w:color w:val="000000"/>
                <w:u w:val="none"/>
                <w:rtl w:val="0"/>
              </w:rPr>
              <w:t xml:space="preserve">Scope</w:t>
              <w:tab/>
              <w:t xml:space="preserve">7</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rPr>
              <w:color w:val="000000"/>
              <w:u w:val="none"/>
            </w:rPr>
          </w:pPr>
          <w:hyperlink w:anchor="_heading=h.vfr7yihimo4t">
            <w:r w:rsidDel="00000000" w:rsidR="00000000" w:rsidRPr="00000000">
              <w:rPr>
                <w:color w:val="000000"/>
                <w:u w:val="none"/>
                <w:rtl w:val="0"/>
              </w:rPr>
              <w:t xml:space="preserve">Tools and Test Cases</w:t>
              <w:tab/>
              <w:t xml:space="preserve">7</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rPr>
              <w:b w:val="1"/>
              <w:bCs w:val="1"/>
              <w:color w:val="000000"/>
              <w:u w:val="none"/>
            </w:rPr>
          </w:pPr>
          <w:hyperlink w:anchor="_heading=h.fxf6t3fpqce6">
            <w:r w:rsidDel="00000000" w:rsidR="00000000" w:rsidRPr="00000000">
              <w:rPr>
                <w:b w:val="1"/>
                <w:bCs w:val="1"/>
                <w:color w:val="000000"/>
                <w:u w:val="none"/>
                <w:rtl w:val="0"/>
              </w:rPr>
              <w:t xml:space="preserve">Methodology</w:t>
              <w:tab/>
              <w:t xml:space="preserve">8</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rPr>
              <w:b w:val="1"/>
              <w:bCs w:val="1"/>
              <w:color w:val="000000"/>
              <w:u w:val="none"/>
            </w:rPr>
          </w:pPr>
          <w:hyperlink w:anchor="_heading=h.nqxrxh4maedu">
            <w:r w:rsidDel="00000000" w:rsidR="00000000" w:rsidRPr="00000000">
              <w:rPr>
                <w:b w:val="1"/>
                <w:bCs w:val="1"/>
                <w:color w:val="000000"/>
                <w:u w:val="none"/>
                <w:rtl w:val="0"/>
              </w:rPr>
              <w:t xml:space="preserve">Technical Findings</w:t>
              <w:tab/>
              <w:t xml:space="preserve">9</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color w:val="000000"/>
              <w:u w:val="none"/>
            </w:rPr>
          </w:pPr>
          <w:r w:rsidDel="00000000" w:rsidR="00000000" w:rsidRPr="00000000">
            <w:rPr>
              <w:color w:val="000000"/>
              <w:u w:val="none"/>
              <w:rtl w:val="0"/>
            </w:rPr>
            <w:t xml:space="preserve">Finding Title</w:t>
          </w:r>
          <w:hyperlink w:anchor="_heading=h.hmtzpkp11xg6">
            <w:r w:rsidDel="00000000" w:rsidR="00000000" w:rsidRPr="00000000">
              <w:rPr>
                <w:color w:val="000000"/>
                <w:u w:val="none"/>
                <w:rtl w:val="0"/>
              </w:rPr>
              <w:br w:type="textWrapping"/>
            </w:r>
          </w:hyperlink>
          <w:hyperlink w:anchor="_heading=h.hmtzpkp11xg6">
            <w:r w:rsidDel="00000000" w:rsidR="00000000" w:rsidRPr="00000000">
              <w:rPr>
                <w:rtl w:val="0"/>
              </w:rPr>
              <w:t xml:space="preserve">01 - Finding Title</w:t>
            </w:r>
          </w:hyperlink>
          <w:hyperlink w:anchor="_heading=h.hmtzpkp11xg6">
            <w:r w:rsidDel="00000000" w:rsidR="00000000" w:rsidRPr="00000000">
              <w:rPr>
                <w:color w:val="000000"/>
                <w:u w:val="none"/>
                <w:rtl w:val="0"/>
              </w:rPr>
              <w:tab/>
              <w:t xml:space="preserve">9</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b w:val="1"/>
              <w:bCs w:val="1"/>
              <w:color w:val="000000"/>
              <w:u w:val="none"/>
            </w:rPr>
          </w:pPr>
          <w:hyperlink w:anchor="_heading=h.ydp05i6nnsp">
            <w:r w:rsidDel="00000000" w:rsidR="00000000" w:rsidRPr="00000000">
              <w:rPr>
                <w:b w:val="1"/>
                <w:bCs w:val="1"/>
                <w:color w:val="000000"/>
                <w:u w:val="none"/>
                <w:rtl w:val="0"/>
              </w:rPr>
              <w:t xml:space="preserve">Appendix</w:t>
              <w:tab/>
              <w:t xml:space="preserve">11</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color w:val="000000"/>
              <w:u w:val="none"/>
            </w:rPr>
          </w:pPr>
          <w:hyperlink w:anchor="_heading=h.l1a82dfgjzek">
            <w:r w:rsidDel="00000000" w:rsidR="00000000" w:rsidRPr="00000000">
              <w:rPr>
                <w:color w:val="000000"/>
                <w:u w:val="none"/>
                <w:rtl w:val="0"/>
              </w:rPr>
              <w:t xml:space="preserve">Severity Descriptions</w:t>
              <w:tab/>
              <w:t xml:space="preserve">11</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color w:val="000000"/>
              <w:u w:val="none"/>
            </w:rPr>
          </w:pPr>
          <w:hyperlink w:anchor="_heading=h.17l2zyu7ec8">
            <w:r w:rsidDel="00000000" w:rsidR="00000000" w:rsidRPr="00000000">
              <w:rPr>
                <w:color w:val="000000"/>
                <w:u w:val="none"/>
                <w:rtl w:val="0"/>
              </w:rPr>
              <w:t xml:space="preserve">Risk Matrix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w14:paraId="00000049">
      <w:pPr>
        <w:pStyle w:val="Heading1"/>
        <w:spacing w:line="240" w:lineRule="auto"/>
        <w:ind w:left="720" w:right="1440" w:firstLine="720"/>
        <w:rPr>
          <w:rFonts w:ascii="IBM Plex Sans" w:cs="IBM Plex Sans" w:eastAsia="IBM Plex Sans" w:hAnsi="IBM Plex Sans"/>
          <w:color w:val="04092f"/>
          <w:sz w:val="50"/>
          <w:szCs w:val="50"/>
        </w:rPr>
      </w:pPr>
      <w:bookmarkStart w:colFirst="0" w:colLast="0" w:name="_heading=h.flwqcdbs0kgw" w:id="1"/>
      <w:bookmarkEnd w:id="1"/>
      <w:r w:rsidDel="00000000" w:rsidR="00000000" w:rsidRPr="00000000">
        <w:rPr>
          <w:rFonts w:ascii="IBM Plex Sans" w:cs="IBM Plex Sans" w:eastAsia="IBM Plex Sans" w:hAnsi="IBM Plex Sans"/>
          <w:color w:val="064e3b"/>
          <w:sz w:val="60"/>
          <w:szCs w:val="60"/>
          <w:rtl w:val="0"/>
        </w:rPr>
        <w:t xml:space="preserve">About Affordable Pentesting</w:t>
      </w:r>
      <w:r w:rsidDel="00000000" w:rsidR="00000000" w:rsidRPr="00000000">
        <w:rPr>
          <w:rtl w:val="0"/>
        </w:rPr>
      </w:r>
    </w:p>
    <w:p w:rsidR="00000000" w:rsidDel="00000000" w:rsidP="00000000" w:rsidRDefault="00000000" w:rsidRPr="00000000" w14:paraId="0000004A">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Security assessments should reflect how real attackers actually operate, not just what a scanner can find. At AffordablePentesting.com, we run in-depth penetration tests built for organizations that need genuine technical rigor, not a checkbox exercise.</w:t>
      </w:r>
    </w:p>
    <w:p w:rsidR="00000000" w:rsidDel="00000000" w:rsidP="00000000" w:rsidRDefault="00000000" w:rsidRPr="00000000" w14:paraId="0000004B">
      <w:pPr>
        <w:ind w:left="720" w:right="1440" w:firstLine="720"/>
        <w:rPr>
          <w:rFonts w:ascii="IBM Plex Sans" w:cs="IBM Plex Sans" w:eastAsia="IBM Plex Sans" w:hAnsi="IBM Plex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Every finding within this document is vetted through a rigorous validation process. We don't just "run tools". Our methodology is built on three core pillars:</w:t>
      </w:r>
    </w:p>
    <w:p w:rsidR="00000000" w:rsidDel="00000000" w:rsidP="00000000" w:rsidRDefault="00000000" w:rsidRPr="00000000" w14:paraId="0000004D">
      <w:pPr>
        <w:spacing w:after="240" w:before="240"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Human-Led, AI-Augmented Testing: Our analysts use AI-assisted tooling to accelerate reconnaissance and surface complex, multi-step attack chains that traditional scanners miss, but every result is manually verified for accuracy and real-world exploitability before it's reported.</w:t>
      </w:r>
    </w:p>
    <w:p w:rsidR="00000000" w:rsidDel="00000000" w:rsidP="00000000" w:rsidRDefault="00000000" w:rsidRPr="00000000" w14:paraId="0000004E">
      <w:pPr>
        <w:spacing w:after="240" w:before="240"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Industry Standards: Our testing workflows are mapped to the OWASP Top 10, NIST SP 800-115, and PTES (Penetration Testing Execution Standard) frameworks.</w:t>
      </w:r>
    </w:p>
    <w:p w:rsidR="00000000" w:rsidDel="00000000" w:rsidP="00000000" w:rsidRDefault="00000000" w:rsidRPr="00000000" w14:paraId="0000004F">
      <w:pPr>
        <w:spacing w:after="240" w:before="240"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 Business-Aligned Risk Context: We evaluate findings against your specific business logic and environment, so remediation efforts stay focused on what actually threatens your operations, not theoretical risk.</w:t>
      </w:r>
    </w:p>
    <w:p w:rsidR="00000000" w:rsidDel="00000000" w:rsidP="00000000" w:rsidRDefault="00000000" w:rsidRPr="00000000" w14:paraId="00000050">
      <w:pPr>
        <w:spacing w:line="240" w:lineRule="auto"/>
        <w:ind w:left="720" w:right="1440" w:firstLine="720"/>
        <w:rPr>
          <w:rFonts w:ascii="IBM Plex Sans" w:cs="IBM Plex Sans" w:eastAsia="IBM Plex Sans" w:hAnsi="IBM Plex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spacing w:after="80" w:before="280" w:lineRule="auto"/>
        <w:ind w:left="0" w:firstLine="0"/>
        <w:rPr>
          <w:rFonts w:ascii="IBM Plex Sans" w:cs="IBM Plex Sans" w:eastAsia="IBM Plex Sans" w:hAnsi="IBM Plex Sans"/>
          <w:b w:val="1"/>
          <w:bCs w:val="1"/>
          <w:sz w:val="26"/>
          <w:szCs w:val="26"/>
        </w:rPr>
      </w:pPr>
      <w:bookmarkStart w:colFirst="0" w:colLast="0" w:name="_heading=h.e7uqmm3nyvmu" w:id="2"/>
      <w:bookmarkEnd w:id="2"/>
      <w:r w:rsidDel="00000000" w:rsidR="00000000" w:rsidRPr="00000000">
        <w:rPr>
          <w:rFonts w:ascii="IBM Plex Sans" w:cs="IBM Plex Sans" w:eastAsia="IBM Plex Sans" w:hAnsi="IBM Plex Sans"/>
          <w:b w:val="1"/>
          <w:bCs w:val="1"/>
          <w:sz w:val="26"/>
          <w:szCs w:val="26"/>
          <w:rtl w:val="0"/>
        </w:rPr>
        <w:t xml:space="preserve">Third-Party Attestation Statement</w:t>
      </w:r>
    </w:p>
    <w:p w:rsidR="00000000" w:rsidDel="00000000" w:rsidP="00000000" w:rsidRDefault="00000000" w:rsidRPr="00000000" w14:paraId="00000052">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b w:val="1"/>
          <w:bCs w:val="1"/>
          <w:rtl w:val="0"/>
        </w:rPr>
        <w:t xml:space="preserve">Affordable Pentesting</w:t>
      </w:r>
      <w:r w:rsidDel="00000000" w:rsidR="00000000" w:rsidRPr="00000000">
        <w:rPr>
          <w:rFonts w:ascii="IBM Plex Sans" w:cs="IBM Plex Sans" w:eastAsia="IBM Plex Sans" w:hAnsi="IBM Plex Sans"/>
          <w:rtl w:val="0"/>
        </w:rPr>
        <w:t xml:space="preserve"> attests that the security assessment documented in this report was conducted using industry standard cybersecurity testing methodologies. This engagement was performed independently to identify, validate, and categorize security vulnerabilities within the defined scope.</w:t>
      </w:r>
    </w:p>
    <w:p w:rsidR="00000000" w:rsidDel="00000000" w:rsidP="00000000" w:rsidRDefault="00000000" w:rsidRPr="00000000" w14:paraId="00000053">
      <w:pPr>
        <w:spacing w:after="240" w:before="240" w:lineRule="auto"/>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findings herein represent a rigorous, point-in-time evaluation of the target environment's resilience against modern adversarial tactics. This statement serves as formal verification for stakeholders, partners, and regulatory bodies that {{CLIENT_NAME}} has undergone professional third-party security validation.</w:t>
      </w:r>
    </w:p>
    <w:p w:rsidR="00000000" w:rsidDel="00000000" w:rsidP="00000000" w:rsidRDefault="00000000" w:rsidRPr="00000000" w14:paraId="00000054">
      <w:pPr>
        <w:shd w:fill="ffffff" w:val="clear"/>
        <w:spacing w:line="240" w:lineRule="auto"/>
        <w:ind w:left="720" w:right="144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Zack ElMetennani</w:t>
      </w:r>
    </w:p>
    <w:p w:rsidR="00000000" w:rsidDel="00000000" w:rsidP="00000000" w:rsidRDefault="00000000" w:rsidRPr="00000000" w14:paraId="00000055">
      <w:pPr>
        <w:shd w:fill="ffffff" w:val="clear"/>
        <w:spacing w:line="240" w:lineRule="auto"/>
        <w:ind w:left="720" w:right="144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Security Lead</w:t>
      </w:r>
    </w:p>
    <w:p w:rsidR="00000000" w:rsidDel="00000000" w:rsidP="00000000" w:rsidRDefault="00000000" w:rsidRPr="00000000" w14:paraId="00000056">
      <w:pPr>
        <w:shd w:fill="ffffff" w:val="clear"/>
        <w:spacing w:line="240" w:lineRule="auto"/>
        <w:ind w:left="720" w:right="1440" w:firstLine="0"/>
        <w:jc w:val="left"/>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zack@affordablepentesting.com</w:t>
      </w:r>
    </w:p>
    <w:p w:rsidR="00000000" w:rsidDel="00000000" w:rsidP="00000000" w:rsidRDefault="00000000" w:rsidRPr="00000000" w14:paraId="00000057">
      <w:pPr>
        <w:shd w:fill="ffffff" w:val="clear"/>
        <w:spacing w:line="240" w:lineRule="auto"/>
        <w:ind w:left="720" w:right="1440" w:firstLine="0"/>
        <w:jc w:val="left"/>
        <w:rPr>
          <w:rFonts w:ascii="IBM Plex Sans" w:cs="IBM Plex Sans" w:eastAsia="IBM Plex Sans" w:hAnsi="IBM Plex Sans"/>
        </w:rPr>
      </w:pPr>
      <w:hyperlink r:id="rId10">
        <w:r w:rsidDel="00000000" w:rsidR="00000000" w:rsidRPr="00000000">
          <w:rPr>
            <w:rFonts w:ascii="IBM Plex Sans" w:cs="IBM Plex Sans" w:eastAsia="IBM Plex Sans" w:hAnsi="IBM Plex Sans"/>
            <w:color w:val="1155cc"/>
            <w:u w:val="single"/>
            <w:rtl w:val="0"/>
          </w:rPr>
          <w:t xml:space="preserve">Affordable Pentesting</w:t>
        </w:r>
      </w:hyperlink>
      <w:r w:rsidDel="00000000" w:rsidR="00000000" w:rsidRPr="00000000">
        <w:rPr>
          <w:rtl w:val="0"/>
        </w:rPr>
      </w:r>
    </w:p>
    <w:p w:rsidR="00000000" w:rsidDel="00000000" w:rsidP="00000000" w:rsidRDefault="00000000" w:rsidRPr="00000000" w14:paraId="00000058">
      <w:pPr>
        <w:pStyle w:val="Heading1"/>
        <w:shd w:fill="ffffff" w:val="clear"/>
        <w:spacing w:line="240" w:lineRule="auto"/>
        <w:ind w:left="720" w:right="1440" w:firstLine="0"/>
        <w:jc w:val="left"/>
        <w:rPr>
          <w:rFonts w:ascii="Arial" w:cs="Arial" w:eastAsia="Arial" w:hAnsi="Arial"/>
          <w:color w:val="222222"/>
          <w:sz w:val="22"/>
          <w:szCs w:val="22"/>
        </w:rPr>
      </w:pPr>
      <w:bookmarkStart w:colFirst="0" w:colLast="0" w:name="_heading=h.b911in3epikb" w:id="3"/>
      <w:bookmarkEnd w:id="3"/>
      <w:r w:rsidDel="00000000" w:rsidR="00000000" w:rsidRPr="00000000">
        <w:rPr>
          <w:rtl w:val="0"/>
        </w:rPr>
      </w:r>
    </w:p>
    <w:p w:rsidR="00000000" w:rsidDel="00000000" w:rsidP="00000000" w:rsidRDefault="00000000" w:rsidRPr="00000000" w14:paraId="00000059">
      <w:pPr>
        <w:pStyle w:val="Heading1"/>
        <w:shd w:fill="ffffff" w:val="clear"/>
        <w:spacing w:line="240" w:lineRule="auto"/>
        <w:ind w:left="720" w:right="1440" w:firstLine="0"/>
        <w:jc w:val="left"/>
        <w:rPr>
          <w:rFonts w:ascii="IBM Plex Sans" w:cs="IBM Plex Sans" w:eastAsia="IBM Plex Sans" w:hAnsi="IBM Plex Sans"/>
          <w:color w:val="064e3b"/>
        </w:rPr>
      </w:pPr>
      <w:bookmarkStart w:colFirst="0" w:colLast="0" w:name="_heading=h.yvau2frrheup" w:id="4"/>
      <w:bookmarkEnd w:id="4"/>
      <w:r w:rsidDel="00000000" w:rsidR="00000000" w:rsidRPr="00000000">
        <w:rPr>
          <w:rFonts w:ascii="Arial" w:cs="Arial" w:eastAsia="Arial" w:hAnsi="Arial"/>
          <w:color w:val="222222"/>
          <w:sz w:val="22"/>
          <w:szCs w:val="22"/>
        </w:rPr>
        <w:drawing>
          <wp:inline distB="114300" distT="114300" distL="114300" distR="114300">
            <wp:extent cx="928688" cy="928688"/>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28688" cy="928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line="240" w:lineRule="auto"/>
        <w:ind w:left="1440" w:right="1440" w:firstLine="0"/>
        <w:rPr>
          <w:rFonts w:ascii="IBM Plex Sans" w:cs="IBM Plex Sans" w:eastAsia="IBM Plex Sans" w:hAnsi="IBM Plex Sans"/>
        </w:rPr>
      </w:pPr>
      <w:bookmarkStart w:colFirst="0" w:colLast="0" w:name="_heading=h.3lip5046076p" w:id="5"/>
      <w:bookmarkEnd w:id="5"/>
      <w:r w:rsidDel="00000000" w:rsidR="00000000" w:rsidRPr="00000000">
        <w:rPr>
          <w:rFonts w:ascii="IBM Plex Sans" w:cs="IBM Plex Sans" w:eastAsia="IBM Plex Sans" w:hAnsi="IBM Plex Sans"/>
          <w:color w:val="064e3b"/>
          <w:rtl w:val="0"/>
        </w:rPr>
        <w:t xml:space="preserve">Executive Summary</w:t>
      </w:r>
      <w:r w:rsidDel="00000000" w:rsidR="00000000" w:rsidRPr="00000000">
        <w:rPr>
          <w:rtl w:val="0"/>
        </w:rPr>
      </w:r>
    </w:p>
    <w:p w:rsidR="00000000" w:rsidDel="00000000" w:rsidP="00000000" w:rsidRDefault="00000000" w:rsidRPr="00000000" w14:paraId="0000005B">
      <w:pPr>
        <w:tabs>
          <w:tab w:val="left" w:leader="none" w:pos="1440"/>
        </w:tabs>
        <w:spacing w:before="12" w:line="276" w:lineRule="auto"/>
        <w:ind w:left="0" w:right="144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C">
      <w:pPr>
        <w:tabs>
          <w:tab w:val="left" w:leader="none" w:pos="1440"/>
        </w:tabs>
        <w:spacing w:before="12" w:line="276" w:lineRule="auto"/>
        <w:ind w:left="0" w:right="1440" w:firstLine="0"/>
        <w:jc w:val="left"/>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5D">
      <w:pPr>
        <w:tabs>
          <w:tab w:val="left" w:leader="none" w:pos="1440"/>
        </w:tabs>
        <w:spacing w:before="12" w:line="276"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{{EXECUTIVE_SUMMARY}}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2">
      <w:pPr>
        <w:ind w:left="1440" w:right="1440" w:firstLine="0"/>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91"/>
          <w:tab w:val="left" w:leader="none" w:pos="6257"/>
          <w:tab w:val="left" w:leader="none" w:pos="6971"/>
          <w:tab w:val="left" w:leader="none" w:pos="7944"/>
          <w:tab w:val="left" w:leader="none" w:pos="9060"/>
        </w:tabs>
        <w:spacing w:after="0" w:before="159" w:line="271" w:lineRule="auto"/>
        <w:ind w:left="0" w:right="1440" w:firstLine="0"/>
        <w:jc w:val="both"/>
        <w:rPr>
          <w:rFonts w:ascii="IBM Plex Sans" w:cs="IBM Plex Sans" w:eastAsia="IBM Plex Sans" w:hAnsi="IBM Plex Sans"/>
          <w:sz w:val="28"/>
          <w:szCs w:val="28"/>
        </w:rPr>
        <w:sectPr>
          <w:type w:val="nextPage"/>
          <w:pgSz w:h="15840" w:w="12240" w:orient="portrait"/>
          <w:pgMar w:bottom="720" w:top="720" w:left="720" w:right="720" w:header="360" w:footer="360"/>
        </w:sectPr>
      </w:pPr>
      <w:r w:rsidDel="00000000" w:rsidR="00000000" w:rsidRPr="00000000">
        <w:rPr>
          <w:rtl w:val="0"/>
        </w:rPr>
      </w:r>
    </w:p>
    <w:p w:rsidR="00000000" w:rsidDel="00000000" w:rsidP="00000000" w:rsidRDefault="00000000" w:rsidRPr="00000000" w14:paraId="00000064">
      <w:pPr>
        <w:pStyle w:val="Heading1"/>
        <w:spacing w:line="240" w:lineRule="auto"/>
        <w:ind w:left="1440" w:right="1440" w:firstLine="0"/>
        <w:rPr>
          <w:rFonts w:ascii="IBM Plex Sans" w:cs="IBM Plex Sans" w:eastAsia="IBM Plex Sans" w:hAnsi="IBM Plex Sans"/>
        </w:rPr>
      </w:pPr>
      <w:bookmarkStart w:colFirst="0" w:colLast="0" w:name="_heading=h.r6cwjzfa8xr2" w:id="6"/>
      <w:bookmarkEnd w:id="6"/>
      <w:r w:rsidDel="00000000" w:rsidR="00000000" w:rsidRPr="00000000">
        <w:rPr>
          <w:rFonts w:ascii="IBM Plex Sans" w:cs="IBM Plex Sans" w:eastAsia="IBM Plex Sans" w:hAnsi="IBM Plex Sans"/>
          <w:color w:val="064e3b"/>
          <w:rtl w:val="0"/>
        </w:rPr>
        <w:t xml:space="preserve">Findings Summary</w:t>
      </w:r>
      <w:r w:rsidDel="00000000" w:rsidR="00000000" w:rsidRPr="00000000">
        <w:rPr>
          <w:rtl w:val="0"/>
        </w:rPr>
      </w:r>
    </w:p>
    <w:p w:rsidR="00000000" w:rsidDel="00000000" w:rsidP="00000000" w:rsidRDefault="00000000" w:rsidRPr="00000000" w14:paraId="00000065">
      <w:pPr>
        <w:tabs>
          <w:tab w:val="left" w:leader="none" w:pos="1440"/>
        </w:tabs>
        <w:spacing w:before="12" w:line="276" w:lineRule="auto"/>
        <w:ind w:right="144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6">
      <w:pPr>
        <w:spacing w:after="240" w:before="240" w:line="240" w:lineRule="auto"/>
        <w:ind w:left="1440" w:right="144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{{FINDINGS_SUMMARY}}</w:t>
      </w:r>
    </w:p>
    <w:p w:rsidR="00000000" w:rsidDel="00000000" w:rsidP="00000000" w:rsidRDefault="00000000" w:rsidRPr="00000000" w14:paraId="00000067">
      <w:pPr>
        <w:pStyle w:val="Heading1"/>
        <w:spacing w:line="240" w:lineRule="auto"/>
        <w:ind w:left="1440" w:right="1440" w:firstLine="0"/>
        <w:rPr>
          <w:rFonts w:ascii="IBM Plex Sans" w:cs="IBM Plex Sans" w:eastAsia="IBM Plex Sans" w:hAnsi="IBM Plex Sans"/>
          <w:sz w:val="22"/>
          <w:szCs w:val="22"/>
        </w:rPr>
      </w:pPr>
      <w:bookmarkStart w:colFirst="0" w:colLast="0" w:name="_heading=h.fb4legl2pb9w" w:id="7"/>
      <w:bookmarkEnd w:id="7"/>
      <w:r w:rsidDel="00000000" w:rsidR="00000000" w:rsidRPr="00000000">
        <w:rPr>
          <w:rtl w:val="0"/>
        </w:rPr>
      </w:r>
    </w:p>
    <w:sdt>
      <w:sdtPr>
        <w:lock w:val="contentLocked"/>
        <w:id w:val="1657988574"/>
        <w:tag w:val="goog_rdk_0"/>
      </w:sdtPr>
      <w:sdtContent>
        <w:tbl>
          <w:tblPr>
            <w:tblStyle w:val="Table2"/>
            <w:tblpPr w:leftFromText="180" w:rightFromText="180" w:topFromText="180" w:bottomFromText="180" w:vertAnchor="text" w:horzAnchor="text" w:tblpX="720" w:tblpY="458.09999999999945"/>
            <w:tblW w:w="9360.000000000002"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0000000000002"/>
            <w:gridCol w:w="1872.0000000000002"/>
            <w:gridCol w:w="1872.0000000000002"/>
            <w:gridCol w:w="1872.0000000000002"/>
            <w:gridCol w:w="1872.0000000000002"/>
            <w:tblGridChange w:id="0">
              <w:tblGrid>
                <w:gridCol w:w="1872.0000000000002"/>
                <w:gridCol w:w="1872.0000000000002"/>
                <w:gridCol w:w="1872.0000000000002"/>
                <w:gridCol w:w="1872.0000000000002"/>
                <w:gridCol w:w="1872.0000000000002"/>
              </w:tblGrid>
            </w:tblGridChange>
          </w:tblGrid>
          <w:tr>
            <w:trPr>
              <w:cantSplit w:val="0"/>
              <w:tblHeader w:val="0"/>
            </w:trPr>
            <w:tc>
              <w:tcPr/>
              <w:p w:rsidR="00000000" w:rsidDel="00000000" w:rsidP="00000000" w:rsidRDefault="00000000" w:rsidRPr="00000000" w14:paraId="00000068">
                <w:pPr>
                  <w:rPr>
                    <w:rFonts w:ascii="IBM Plex Sans" w:cs="IBM Plex Sans" w:eastAsia="IBM Plex Sans" w:hAnsi="IBM Plex Sans"/>
                    <w:b w:val="1"/>
                    <w:bCs w:val="1"/>
                    <w:color w:val="660000"/>
                    <w:sz w:val="24"/>
                    <w:szCs w:val="24"/>
                  </w:rPr>
                </w:pPr>
                <w:r w:rsidDel="00000000" w:rsidR="00000000" w:rsidRPr="00000000">
                  <w:rPr>
                    <w:rFonts w:ascii="IBM Plex Sans" w:cs="IBM Plex Sans" w:eastAsia="IBM Plex Sans" w:hAnsi="IBM Plex Sans"/>
                    <w:b w:val="1"/>
                    <w:bCs w:val="1"/>
                    <w:color w:val="660000"/>
                    <w:sz w:val="24"/>
                    <w:szCs w:val="24"/>
                    <w:rtl w:val="0"/>
                  </w:rPr>
                  <w:t xml:space="preserve">Critical</w:t>
                </w:r>
              </w:p>
            </w:tc>
            <w:tc>
              <w:tcPr/>
              <w:p w:rsidR="00000000" w:rsidDel="00000000" w:rsidP="00000000" w:rsidRDefault="00000000" w:rsidRPr="00000000" w14:paraId="00000069">
                <w:pPr>
                  <w:rPr>
                    <w:rFonts w:ascii="IBM Plex Sans" w:cs="IBM Plex Sans" w:eastAsia="IBM Plex Sans" w:hAnsi="IBM Plex Sans"/>
                    <w:b w:val="1"/>
                    <w:bCs w:val="1"/>
                    <w:color w:val="cc0000"/>
                    <w:sz w:val="24"/>
                    <w:szCs w:val="24"/>
                  </w:rPr>
                </w:pPr>
                <w:r w:rsidDel="00000000" w:rsidR="00000000" w:rsidRPr="00000000">
                  <w:rPr>
                    <w:rFonts w:ascii="IBM Plex Sans" w:cs="IBM Plex Sans" w:eastAsia="IBM Plex Sans" w:hAnsi="IBM Plex Sans"/>
                    <w:b w:val="1"/>
                    <w:bCs w:val="1"/>
                    <w:color w:val="cc0000"/>
                    <w:sz w:val="24"/>
                    <w:szCs w:val="24"/>
                    <w:rtl w:val="0"/>
                  </w:rPr>
                  <w:t xml:space="preserve">High</w:t>
                </w:r>
              </w:p>
            </w:tc>
            <w:tc>
              <w:tcPr/>
              <w:p w:rsidR="00000000" w:rsidDel="00000000" w:rsidP="00000000" w:rsidRDefault="00000000" w:rsidRPr="00000000" w14:paraId="0000006A">
                <w:pPr>
                  <w:rPr>
                    <w:rFonts w:ascii="IBM Plex Sans" w:cs="IBM Plex Sans" w:eastAsia="IBM Plex Sans" w:hAnsi="IBM Plex Sans"/>
                    <w:b w:val="1"/>
                    <w:bCs w:val="1"/>
                    <w:color w:val="f1c232"/>
                    <w:sz w:val="24"/>
                    <w:szCs w:val="24"/>
                  </w:rPr>
                </w:pPr>
                <w:r w:rsidDel="00000000" w:rsidR="00000000" w:rsidRPr="00000000">
                  <w:rPr>
                    <w:rFonts w:ascii="IBM Plex Sans" w:cs="IBM Plex Sans" w:eastAsia="IBM Plex Sans" w:hAnsi="IBM Plex Sans"/>
                    <w:b w:val="1"/>
                    <w:bCs w:val="1"/>
                    <w:color w:val="f1c232"/>
                    <w:sz w:val="24"/>
                    <w:szCs w:val="24"/>
                    <w:rtl w:val="0"/>
                  </w:rPr>
                  <w:t xml:space="preserve">Medium</w:t>
                </w:r>
              </w:p>
            </w:tc>
            <w:tc>
              <w:tcPr/>
              <w:p w:rsidR="00000000" w:rsidDel="00000000" w:rsidP="00000000" w:rsidRDefault="00000000" w:rsidRPr="00000000" w14:paraId="0000006B">
                <w:pPr>
                  <w:rPr>
                    <w:rFonts w:ascii="IBM Plex Sans" w:cs="IBM Plex Sans" w:eastAsia="IBM Plex Sans" w:hAnsi="IBM Plex Sans"/>
                    <w:b w:val="1"/>
                    <w:bCs w:val="1"/>
                    <w:color w:val="6aa84f"/>
                    <w:sz w:val="24"/>
                    <w:szCs w:val="24"/>
                  </w:rPr>
                </w:pPr>
                <w:r w:rsidDel="00000000" w:rsidR="00000000" w:rsidRPr="00000000">
                  <w:rPr>
                    <w:rFonts w:ascii="IBM Plex Sans" w:cs="IBM Plex Sans" w:eastAsia="IBM Plex Sans" w:hAnsi="IBM Plex Sans"/>
                    <w:b w:val="1"/>
                    <w:bCs w:val="1"/>
                    <w:color w:val="6aa84f"/>
                    <w:sz w:val="24"/>
                    <w:szCs w:val="24"/>
                    <w:rtl w:val="0"/>
                  </w:rPr>
                  <w:t xml:space="preserve">Low</w:t>
                </w:r>
              </w:p>
            </w:tc>
            <w:tc>
              <w:tcPr/>
              <w:p w:rsidR="00000000" w:rsidDel="00000000" w:rsidP="00000000" w:rsidRDefault="00000000" w:rsidRPr="00000000" w14:paraId="0000006C">
                <w:pPr>
                  <w:rPr>
                    <w:rFonts w:ascii="IBM Plex Sans" w:cs="IBM Plex Sans" w:eastAsia="IBM Plex Sans" w:hAnsi="IBM Plex Sans"/>
                    <w:b w:val="1"/>
                    <w:bCs w:val="1"/>
                    <w:color w:val="3c78d8"/>
                    <w:sz w:val="24"/>
                    <w:szCs w:val="24"/>
                  </w:rPr>
                </w:pPr>
                <w:r w:rsidDel="00000000" w:rsidR="00000000" w:rsidRPr="00000000">
                  <w:rPr>
                    <w:rFonts w:ascii="IBM Plex Sans" w:cs="IBM Plex Sans" w:eastAsia="IBM Plex Sans" w:hAnsi="IBM Plex Sans"/>
                    <w:b w:val="1"/>
                    <w:bCs w:val="1"/>
                    <w:color w:val="3c78d8"/>
                    <w:sz w:val="24"/>
                    <w:szCs w:val="24"/>
                    <w:rtl w:val="0"/>
                  </w:rPr>
                  <w:t xml:space="preserve">Informational</w:t>
                </w:r>
              </w:p>
            </w:tc>
          </w:tr>
          <w:tr>
            <w:trPr>
              <w:cantSplit w:val="0"/>
              <w:tblHeader w:val="0"/>
            </w:trPr>
            <w:tc>
              <w:tcPr/>
              <w:p w:rsidR="00000000" w:rsidDel="00000000" w:rsidP="00000000" w:rsidRDefault="00000000" w:rsidRPr="00000000" w14:paraId="0000006D">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{{CRITICAL_COUNT}}</w:t>
                </w:r>
              </w:p>
            </w:tc>
            <w:tc>
              <w:tcPr/>
              <w:p w:rsidR="00000000" w:rsidDel="00000000" w:rsidP="00000000" w:rsidRDefault="00000000" w:rsidRPr="00000000" w14:paraId="0000006E">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{{HIGH_COUNT}}</w:t>
                </w:r>
              </w:p>
            </w:tc>
            <w:tc>
              <w:tcPr/>
              <w:p w:rsidR="00000000" w:rsidDel="00000000" w:rsidP="00000000" w:rsidRDefault="00000000" w:rsidRPr="00000000" w14:paraId="0000006F">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{{MEDIUM_COUNT}}</w:t>
                </w:r>
              </w:p>
            </w:tc>
            <w:tc>
              <w:tcPr/>
              <w:p w:rsidR="00000000" w:rsidDel="00000000" w:rsidP="00000000" w:rsidRDefault="00000000" w:rsidRPr="00000000" w14:paraId="0000007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{{LOW_COUNT}}</w:t>
                </w:r>
              </w:p>
            </w:tc>
            <w:tc>
              <w:tcPr/>
              <w:p w:rsidR="00000000" w:rsidDel="00000000" w:rsidP="00000000" w:rsidRDefault="00000000" w:rsidRPr="00000000" w14:paraId="00000071">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{{INFO_COUNT}}</w:t>
                </w:r>
              </w:p>
            </w:tc>
          </w:tr>
        </w:tbl>
      </w:sdtContent>
    </w:sdt>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spacing w:line="240" w:lineRule="auto"/>
        <w:ind w:left="0" w:right="1440" w:firstLine="0"/>
        <w:rPr/>
      </w:pPr>
      <w:bookmarkStart w:colFirst="0" w:colLast="0" w:name="_heading=h.o7s8tbx9ufao" w:id="8"/>
      <w:bookmarkEnd w:id="8"/>
      <w:r w:rsidDel="00000000" w:rsidR="00000000" w:rsidRPr="00000000">
        <w:rPr>
          <w:rtl w:val="0"/>
        </w:rPr>
      </w:r>
    </w:p>
    <w:p w:rsidR="00000000" w:rsidDel="00000000" w:rsidP="00000000" w:rsidRDefault="00000000" w:rsidRPr="00000000" w14:paraId="00000074">
      <w:pPr>
        <w:pStyle w:val="Heading2"/>
        <w:spacing w:line="240" w:lineRule="auto"/>
        <w:ind w:left="1440" w:right="1440" w:firstLine="0"/>
        <w:rPr/>
      </w:pPr>
      <w:bookmarkStart w:colFirst="0" w:colLast="0" w:name="_heading=h.hqxtk9hkyrew" w:id="9"/>
      <w:bookmarkEnd w:id="9"/>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spacing w:line="240" w:lineRule="auto"/>
        <w:ind w:left="1440" w:right="1440" w:firstLine="0"/>
        <w:rPr>
          <w:rFonts w:ascii="IBM Plex Sans" w:cs="IBM Plex Sans" w:eastAsia="IBM Plex Sans" w:hAnsi="IBM Plex Sans"/>
          <w:color w:val="064e3b"/>
        </w:rPr>
      </w:pPr>
      <w:r w:rsidDel="00000000" w:rsidR="00000000" w:rsidRPr="00000000">
        <w:rPr>
          <w:rFonts w:ascii="IBM Plex Sans" w:cs="IBM Plex Sans" w:eastAsia="IBM Plex Sans" w:hAnsi="IBM Plex Sans"/>
          <w:color w:val="064e3b"/>
          <w:rtl w:val="0"/>
        </w:rPr>
        <w:t xml:space="preserve">Assessment Overview</w:t>
      </w:r>
    </w:p>
    <w:p w:rsidR="00000000" w:rsidDel="00000000" w:rsidP="00000000" w:rsidRDefault="00000000" w:rsidRPr="00000000" w14:paraId="00000076">
      <w:pPr>
        <w:pStyle w:val="Heading1"/>
        <w:spacing w:line="240" w:lineRule="auto"/>
        <w:ind w:left="1440" w:right="1440" w:firstLine="0"/>
        <w:rPr>
          <w:rFonts w:ascii="IBM Plex Sans" w:cs="IBM Plex Sans" w:eastAsia="IBM Plex Sans" w:hAnsi="IBM Plex Sans"/>
          <w:sz w:val="48"/>
          <w:szCs w:val="48"/>
        </w:rPr>
      </w:pPr>
      <w:bookmarkStart w:colFirst="0" w:colLast="0" w:name="_heading=h.bxnru1aofgpx" w:id="10"/>
      <w:bookmarkEnd w:id="10"/>
      <w:r w:rsidDel="00000000" w:rsidR="00000000" w:rsidRPr="00000000">
        <w:rPr>
          <w:rtl w:val="0"/>
        </w:rPr>
      </w:r>
    </w:p>
    <w:p w:rsidR="00000000" w:rsidDel="00000000" w:rsidP="00000000" w:rsidRDefault="00000000" w:rsidRPr="00000000" w14:paraId="00000077">
      <w:pPr>
        <w:pStyle w:val="Heading2"/>
        <w:tabs>
          <w:tab w:val="left" w:leader="none" w:pos="1440"/>
        </w:tabs>
        <w:spacing w:after="200" w:before="12" w:lineRule="auto"/>
        <w:ind w:left="0" w:right="1440" w:firstLine="0"/>
        <w:rPr>
          <w:rFonts w:ascii="IBM Plex Sans" w:cs="IBM Plex Sans" w:eastAsia="IBM Plex Sans" w:hAnsi="IBM Plex Sans"/>
        </w:rPr>
      </w:pPr>
      <w:bookmarkStart w:colFirst="0" w:colLast="0" w:name="_heading=h.wxt0f654wmur" w:id="11"/>
      <w:bookmarkEnd w:id="11"/>
      <w:r w:rsidDel="00000000" w:rsidR="00000000" w:rsidRPr="00000000">
        <w:rPr>
          <w:rFonts w:ascii="IBM Plex Sans" w:cs="IBM Plex Sans" w:eastAsia="IBM Plex Sans" w:hAnsi="IBM Plex Sans"/>
          <w:rtl w:val="0"/>
        </w:rPr>
        <w:t xml:space="preserve">Purpose</w:t>
      </w:r>
    </w:p>
    <w:p w:rsidR="00000000" w:rsidDel="00000000" w:rsidP="00000000" w:rsidRDefault="00000000" w:rsidRPr="00000000" w14:paraId="00000078">
      <w:pPr>
        <w:tabs>
          <w:tab w:val="left" w:leader="none" w:pos="1440"/>
        </w:tabs>
        <w:spacing w:line="276"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This assessment was conducted to identify security issues and assess the risk and impact these vulnerabilities would have on the organization if exploited by a malicious actor. </w:t>
      </w:r>
    </w:p>
    <w:p w:rsidR="00000000" w:rsidDel="00000000" w:rsidP="00000000" w:rsidRDefault="00000000" w:rsidRPr="00000000" w14:paraId="00000079">
      <w:pPr>
        <w:tabs>
          <w:tab w:val="left" w:leader="none" w:pos="1440"/>
        </w:tabs>
        <w:spacing w:line="276" w:lineRule="auto"/>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A">
      <w:pPr>
        <w:tabs>
          <w:tab w:val="left" w:leader="none" w:pos="1440"/>
        </w:tabs>
        <w:spacing w:line="276" w:lineRule="auto"/>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AP Pentesting ensured the confidentiality, integrity, &amp; availability of the data held within the application was maintained. The discovery of the findings during this assessment did not negatively impact the application’s functionality or data integrity in any way.</w:t>
        <w:br w:type="textWrapping"/>
      </w:r>
    </w:p>
    <w:p w:rsidR="00000000" w:rsidDel="00000000" w:rsidP="00000000" w:rsidRDefault="00000000" w:rsidRPr="00000000" w14:paraId="0000007B">
      <w:pPr>
        <w:tabs>
          <w:tab w:val="left" w:leader="none" w:pos="1440"/>
        </w:tabs>
        <w:ind w:left="72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C">
      <w:pPr>
        <w:pStyle w:val="Heading2"/>
        <w:tabs>
          <w:tab w:val="left" w:leader="none" w:pos="1440"/>
        </w:tabs>
        <w:spacing w:after="200" w:lineRule="auto"/>
        <w:ind w:left="0" w:firstLine="0"/>
        <w:rPr>
          <w:rFonts w:ascii="IBM Plex Sans" w:cs="IBM Plex Sans" w:eastAsia="IBM Plex Sans" w:hAnsi="IBM Plex Sans"/>
        </w:rPr>
      </w:pPr>
      <w:bookmarkStart w:colFirst="0" w:colLast="0" w:name="_heading=h.k6m6hcb5rxg1" w:id="12"/>
      <w:bookmarkEnd w:id="12"/>
      <w:r w:rsidDel="00000000" w:rsidR="00000000" w:rsidRPr="00000000">
        <w:rPr>
          <w:rFonts w:ascii="IBM Plex Sans" w:cs="IBM Plex Sans" w:eastAsia="IBM Plex Sans" w:hAnsi="IBM Plex Sans"/>
          <w:rtl w:val="0"/>
        </w:rPr>
        <w:t xml:space="preserve">Scope</w:t>
      </w:r>
    </w:p>
    <w:p w:rsidR="00000000" w:rsidDel="00000000" w:rsidP="00000000" w:rsidRDefault="00000000" w:rsidRPr="00000000" w14:paraId="0000007D">
      <w:pPr>
        <w:tabs>
          <w:tab w:val="left" w:leader="none" w:pos="1440"/>
        </w:tabs>
        <w:ind w:left="0" w:firstLine="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following targets were included in the scope of the penetration test: </w:t>
      </w:r>
    </w:p>
    <w:p w:rsidR="00000000" w:rsidDel="00000000" w:rsidP="00000000" w:rsidRDefault="00000000" w:rsidRPr="00000000" w14:paraId="0000007E">
      <w:pPr>
        <w:tabs>
          <w:tab w:val="left" w:leader="none" w:pos="1440"/>
        </w:tabs>
        <w:ind w:left="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7F">
      <w:pPr>
        <w:numPr>
          <w:ilvl w:val="0"/>
          <w:numId w:val="1"/>
        </w:numPr>
        <w:tabs>
          <w:tab w:val="left" w:leader="none" w:pos="1440"/>
        </w:tabs>
        <w:ind w:left="1440" w:hanging="360"/>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{{SCOPE_TARGET}}</w:t>
      </w:r>
      <w:r w:rsidDel="00000000" w:rsidR="00000000" w:rsidRPr="00000000">
        <w:rPr>
          <w:rtl w:val="0"/>
        </w:rPr>
      </w:r>
    </w:p>
    <w:p w:rsidR="00000000" w:rsidDel="00000000" w:rsidP="00000000" w:rsidRDefault="00000000" w:rsidRPr="00000000" w14:paraId="00000080">
      <w:pPr>
        <w:pStyle w:val="Heading2"/>
        <w:tabs>
          <w:tab w:val="left" w:leader="none" w:pos="1440"/>
        </w:tabs>
        <w:spacing w:after="200" w:lineRule="auto"/>
        <w:ind w:left="0" w:firstLine="0"/>
        <w:rPr>
          <w:rFonts w:ascii="IBM Plex Sans" w:cs="IBM Plex Sans" w:eastAsia="IBM Plex Sans" w:hAnsi="IBM Plex Sans"/>
        </w:rPr>
      </w:pPr>
      <w:bookmarkStart w:colFirst="0" w:colLast="0" w:name="_heading=h.uqzf5nvlbbo0" w:id="13"/>
      <w:bookmarkEnd w:id="13"/>
      <w:r w:rsidDel="00000000" w:rsidR="00000000" w:rsidRPr="00000000">
        <w:rPr>
          <w:rtl w:val="0"/>
        </w:rPr>
      </w:r>
    </w:p>
    <w:p w:rsidR="00000000" w:rsidDel="00000000" w:rsidP="00000000" w:rsidRDefault="00000000" w:rsidRPr="00000000" w14:paraId="00000081">
      <w:pPr>
        <w:pStyle w:val="Heading2"/>
        <w:tabs>
          <w:tab w:val="left" w:leader="none" w:pos="1440"/>
        </w:tabs>
        <w:spacing w:after="200" w:lineRule="auto"/>
        <w:ind w:left="0" w:firstLine="0"/>
        <w:rPr>
          <w:rFonts w:ascii="IBM Plex Sans" w:cs="IBM Plex Sans" w:eastAsia="IBM Plex Sans" w:hAnsi="IBM Plex Sans"/>
        </w:rPr>
      </w:pPr>
      <w:bookmarkStart w:colFirst="0" w:colLast="0" w:name="_heading=h.vfr7yihimo4t" w:id="14"/>
      <w:bookmarkEnd w:id="14"/>
      <w:r w:rsidDel="00000000" w:rsidR="00000000" w:rsidRPr="00000000">
        <w:rPr>
          <w:rFonts w:ascii="IBM Plex Sans" w:cs="IBM Plex Sans" w:eastAsia="IBM Plex Sans" w:hAnsi="IBM Plex Sans"/>
          <w:rtl w:val="0"/>
        </w:rPr>
        <w:t xml:space="preserve">Tools and Test Cases</w:t>
      </w:r>
    </w:p>
    <w:p w:rsidR="00000000" w:rsidDel="00000000" w:rsidP="00000000" w:rsidRDefault="00000000" w:rsidRPr="00000000" w14:paraId="00000082">
      <w:pPr>
        <w:tabs>
          <w:tab w:val="left" w:leader="none" w:pos="1440"/>
        </w:tabs>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Initial reconnaissance utilizes Amass, Gau, and Katana for comprehensive attack surface mapping, while DNSRecon and ProjectDiscovery-httpx identify subdomains and active services. Vulnerability discovery focuses on web application flaws such as SQL injection, Cross-Site Scripting (XSS), and Broken Access Control, utilizing SQLmap, XSStrike, Dalfox, and JWT_tool. For API security, Schemathesis performs property-based testing against defined schemas. Infrastructure assessments leverage NetExec, SMBMap, and Enum4linux to identify misconfigurations in network services, while Kerbrute and BloodyAD facilitate Active Directory enumeration and credential-based attacks like Kerberoasting.</w:t>
      </w:r>
    </w:p>
    <w:p w:rsidR="00000000" w:rsidDel="00000000" w:rsidP="00000000" w:rsidRDefault="00000000" w:rsidRPr="00000000" w14:paraId="00000083">
      <w:pPr>
        <w:tabs>
          <w:tab w:val="left" w:leader="none" w:pos="1440"/>
        </w:tabs>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84">
      <w:pPr>
        <w:tabs>
          <w:tab w:val="left" w:leader="none" w:pos="1440"/>
        </w:tabs>
        <w:rPr>
          <w:rFonts w:ascii="IBM Plex Sans" w:cs="IBM Plex Sans" w:eastAsia="IBM Plex Sans" w:hAnsi="IBM Plex Sans"/>
        </w:rPr>
        <w:sectPr>
          <w:type w:val="nextPage"/>
          <w:pgSz w:h="15840" w:w="12240" w:orient="portrait"/>
          <w:pgMar w:bottom="720" w:top="720" w:left="720" w:right="720" w:header="360" w:footer="360"/>
        </w:sectPr>
      </w:pPr>
      <w:r w:rsidDel="00000000" w:rsidR="00000000" w:rsidRPr="00000000">
        <w:rPr>
          <w:rFonts w:ascii="IBM Plex Sans" w:cs="IBM Plex Sans" w:eastAsia="IBM Plex Sans" w:hAnsi="IBM Plex Sans"/>
          <w:rtl w:val="0"/>
        </w:rPr>
        <w:t xml:space="preserve">Test cases include verifying firewall efficacy with Wafw00f, performing directory and parameter discovery via Gobuster and FFuf, and executing man-in-the-middle or coercion attacks using MITM6 and Coercer. Exploitation and post-exploitation phases involve Searchsploit for vulnerability research and MSFConsole for payload delivery, with MSFVenom generating custom shells. Privilege escalation vectors are systematically identified using LinPEAS and WinPEAS to assess local security postures. This rigorous process ensures that both external network perimeters and complex web applications are evaluated for critical vulnerabilities, providing a detailed assessment of the overall security maturity.</w:t>
      </w:r>
    </w:p>
    <w:p w:rsidR="00000000" w:rsidDel="00000000" w:rsidP="00000000" w:rsidRDefault="00000000" w:rsidRPr="00000000" w14:paraId="00000085">
      <w:pPr>
        <w:pStyle w:val="Heading1"/>
        <w:spacing w:line="240" w:lineRule="auto"/>
        <w:ind w:left="1440" w:right="1440" w:firstLine="0"/>
        <w:rPr>
          <w:rFonts w:ascii="IBM Plex Sans" w:cs="IBM Plex Sans" w:eastAsia="IBM Plex Sans" w:hAnsi="IBM Plex Sans"/>
          <w:color w:val="064e3b"/>
        </w:rPr>
      </w:pPr>
      <w:bookmarkStart w:colFirst="0" w:colLast="0" w:name="_heading=h.fxf6t3fpqce6" w:id="15"/>
      <w:bookmarkEnd w:id="15"/>
      <w:r w:rsidDel="00000000" w:rsidR="00000000" w:rsidRPr="00000000">
        <w:rPr>
          <w:rFonts w:ascii="IBM Plex Sans" w:cs="IBM Plex Sans" w:eastAsia="IBM Plex Sans" w:hAnsi="IBM Plex Sans"/>
          <w:color w:val="064e3b"/>
          <w:rtl w:val="0"/>
        </w:rPr>
        <w:t xml:space="preserve">Methodology</w:t>
      </w:r>
    </w:p>
    <w:p w:rsidR="00000000" w:rsidDel="00000000" w:rsidP="00000000" w:rsidRDefault="00000000" w:rsidRPr="00000000" w14:paraId="00000086">
      <w:pPr>
        <w:pStyle w:val="Heading1"/>
        <w:spacing w:line="240" w:lineRule="auto"/>
        <w:ind w:left="1440" w:right="1440" w:firstLine="0"/>
        <w:rPr>
          <w:rFonts w:ascii="IBM Plex Sans" w:cs="IBM Plex Sans" w:eastAsia="IBM Plex Sans" w:hAnsi="IBM Plex Sans"/>
          <w:color w:val="064e3b"/>
        </w:rPr>
      </w:pPr>
      <w:bookmarkStart w:colFirst="0" w:colLast="0" w:name="_heading=h.sln8lrlq15ez" w:id="16"/>
      <w:bookmarkEnd w:id="16"/>
      <w:r w:rsidDel="00000000" w:rsidR="00000000" w:rsidRPr="00000000">
        <w:rPr>
          <w:rtl w:val="0"/>
        </w:rPr>
      </w:r>
    </w:p>
    <w:sdt>
      <w:sdtPr>
        <w:lock w:val="contentLocked"/>
        <w:id w:val="-1227396979"/>
        <w:tag w:val="goog_rdk_1"/>
      </w:sdtPr>
      <w:sdtContent>
        <w:tbl>
          <w:tblPr>
            <w:tblStyle w:val="Table3"/>
            <w:tblpPr w:leftFromText="180" w:rightFromText="180" w:topFromText="180" w:bottomFromText="180" w:vertAnchor="text" w:horzAnchor="text" w:tblpX="945" w:tblpY="0"/>
            <w:tblW w:w="93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34d399" w:val="clear"/>
              </w:tcPr>
              <w:p w:rsidR="00000000" w:rsidDel="00000000" w:rsidP="00000000" w:rsidRDefault="00000000" w:rsidRPr="00000000" w14:paraId="00000087">
                <w:pPr>
                  <w:jc w:val="center"/>
                  <w:rPr>
                    <w:rFonts w:ascii="IBM Plex Sans" w:cs="IBM Plex Sans" w:eastAsia="IBM Plex Sans" w:hAnsi="IBM Plex Sans"/>
                    <w:color w:val="064e3b"/>
                    <w:sz w:val="36"/>
                    <w:szCs w:val="36"/>
                  </w:rPr>
                </w:pPr>
                <w:r w:rsidDel="00000000" w:rsidR="00000000" w:rsidRPr="00000000">
                  <w:rPr>
                    <w:rFonts w:ascii="IBM Plex Sans" w:cs="IBM Plex Sans" w:eastAsia="IBM Plex Sans" w:hAnsi="IBM Plex Sans"/>
                    <w:color w:val="064e3b"/>
                    <w:sz w:val="36"/>
                    <w:szCs w:val="36"/>
                    <w:rtl w:val="0"/>
                  </w:rPr>
                  <w:t xml:space="preserve">Asset Discovery</w:t>
                </w:r>
              </w:p>
            </w:tc>
            <w:tc>
              <w:tcPr>
                <w:shd w:fill="34d399" w:val="clear"/>
              </w:tcPr>
              <w:p w:rsidR="00000000" w:rsidDel="00000000" w:rsidP="00000000" w:rsidRDefault="00000000" w:rsidRPr="00000000" w14:paraId="00000088">
                <w:pPr>
                  <w:jc w:val="center"/>
                  <w:rPr>
                    <w:rFonts w:ascii="IBM Plex Sans" w:cs="IBM Plex Sans" w:eastAsia="IBM Plex Sans" w:hAnsi="IBM Plex Sans"/>
                    <w:color w:val="064e3b"/>
                    <w:sz w:val="36"/>
                    <w:szCs w:val="36"/>
                  </w:rPr>
                </w:pPr>
                <w:r w:rsidDel="00000000" w:rsidR="00000000" w:rsidRPr="00000000">
                  <w:rPr>
                    <w:rFonts w:ascii="IBM Plex Sans" w:cs="IBM Plex Sans" w:eastAsia="IBM Plex Sans" w:hAnsi="IBM Plex Sans"/>
                    <w:color w:val="064e3b"/>
                    <w:sz w:val="36"/>
                    <w:szCs w:val="36"/>
                    <w:rtl w:val="0"/>
                  </w:rPr>
                  <w:t xml:space="preserve">Fingerprinting</w:t>
                </w:r>
              </w:p>
            </w:tc>
          </w:tr>
          <w:tr>
            <w:trPr>
              <w:cantSplit w:val="0"/>
              <w:trHeight w:val="3699.9999999999995" w:hRule="atLeast"/>
              <w:tblHeader w:val="0"/>
            </w:trPr>
            <w:tc>
              <w:tcPr/>
              <w:p w:rsidR="00000000" w:rsidDel="00000000" w:rsidP="00000000" w:rsidRDefault="00000000" w:rsidRPr="00000000" w14:paraId="00000089">
                <w:pPr>
                  <w:jc w:val="center"/>
                  <w:rPr>
                    <w:rFonts w:ascii="IBM Plex Sans" w:cs="IBM Plex Sans" w:eastAsia="IBM Plex Sans" w:hAnsi="IBM Plex Sans"/>
                    <w:color w:val="064e3b"/>
                    <w:sz w:val="24"/>
                    <w:szCs w:val="24"/>
                  </w:rPr>
                </w:pPr>
                <w:r w:rsidDel="00000000" w:rsidR="00000000" w:rsidRPr="00000000">
                  <w:rPr>
                    <w:rtl w:val="0"/>
                  </w:rPr>
                </w:r>
              </w:p>
              <w:p w:rsidR="00000000" w:rsidDel="00000000" w:rsidP="00000000" w:rsidRDefault="00000000" w:rsidRPr="00000000" w14:paraId="0000008A">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We begin by identifying assets</w:t>
                </w:r>
              </w:p>
              <w:p w:rsidR="00000000" w:rsidDel="00000000" w:rsidP="00000000" w:rsidRDefault="00000000" w:rsidRPr="00000000" w14:paraId="0000008B">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tied to your domain through</w:t>
                </w:r>
              </w:p>
              <w:p w:rsidR="00000000" w:rsidDel="00000000" w:rsidP="00000000" w:rsidRDefault="00000000" w:rsidRPr="00000000" w14:paraId="0000008C">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subdomain enumeration, port</w:t>
                </w:r>
              </w:p>
              <w:p w:rsidR="00000000" w:rsidDel="00000000" w:rsidP="00000000" w:rsidRDefault="00000000" w:rsidRPr="00000000" w14:paraId="0000008D">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scanning, and OSINT techniques.</w:t>
                </w:r>
              </w:p>
              <w:p w:rsidR="00000000" w:rsidDel="00000000" w:rsidP="00000000" w:rsidRDefault="00000000" w:rsidRPr="00000000" w14:paraId="0000008E">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Tools like Nmap, Shodan, and</w:t>
                </w:r>
              </w:p>
              <w:p w:rsidR="00000000" w:rsidDel="00000000" w:rsidP="00000000" w:rsidRDefault="00000000" w:rsidRPr="00000000" w14:paraId="0000008F">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subdomain enumeration</w:t>
                </w:r>
              </w:p>
              <w:p w:rsidR="00000000" w:rsidDel="00000000" w:rsidP="00000000" w:rsidRDefault="00000000" w:rsidRPr="00000000" w14:paraId="00000090">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frameworks are used to uncover</w:t>
                </w:r>
              </w:p>
              <w:p w:rsidR="00000000" w:rsidDel="00000000" w:rsidP="00000000" w:rsidRDefault="00000000" w:rsidRPr="00000000" w14:paraId="00000091">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reachable systems and open</w:t>
                </w:r>
              </w:p>
              <w:p w:rsidR="00000000" w:rsidDel="00000000" w:rsidP="00000000" w:rsidRDefault="00000000" w:rsidRPr="00000000" w14:paraId="00000092">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ports.</w:t>
                </w:r>
              </w:p>
            </w:tc>
            <w:tc>
              <w:tcPr/>
              <w:p w:rsidR="00000000" w:rsidDel="00000000" w:rsidP="00000000" w:rsidRDefault="00000000" w:rsidRPr="00000000" w14:paraId="00000093">
                <w:pPr>
                  <w:rPr>
                    <w:rFonts w:ascii="IBM Plex Sans" w:cs="IBM Plex Sans" w:eastAsia="IBM Plex Sans" w:hAnsi="IBM Plex Sans"/>
                    <w:color w:val="064e3b"/>
                    <w:sz w:val="24"/>
                    <w:szCs w:val="24"/>
                  </w:rPr>
                </w:pPr>
                <w:r w:rsidDel="00000000" w:rsidR="00000000" w:rsidRPr="00000000">
                  <w:rPr>
                    <w:rtl w:val="0"/>
                  </w:rPr>
                </w:r>
              </w:p>
              <w:p w:rsidR="00000000" w:rsidDel="00000000" w:rsidP="00000000" w:rsidRDefault="00000000" w:rsidRPr="00000000" w14:paraId="00000094">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Each asset is fingerprinted to</w:t>
                </w:r>
              </w:p>
              <w:p w:rsidR="00000000" w:rsidDel="00000000" w:rsidP="00000000" w:rsidRDefault="00000000" w:rsidRPr="00000000" w14:paraId="00000095">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determine the underlying</w:t>
                </w:r>
              </w:p>
              <w:p w:rsidR="00000000" w:rsidDel="00000000" w:rsidP="00000000" w:rsidRDefault="00000000" w:rsidRPr="00000000" w14:paraId="00000096">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technologies, versions, and</w:t>
                </w:r>
              </w:p>
              <w:p w:rsidR="00000000" w:rsidDel="00000000" w:rsidP="00000000" w:rsidRDefault="00000000" w:rsidRPr="00000000" w14:paraId="00000097">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exposed services. This includes</w:t>
                </w:r>
              </w:p>
              <w:p w:rsidR="00000000" w:rsidDel="00000000" w:rsidP="00000000" w:rsidRDefault="00000000" w:rsidRPr="00000000" w14:paraId="00000098">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banner grabbing, directory</w:t>
                </w:r>
              </w:p>
              <w:p w:rsidR="00000000" w:rsidDel="00000000" w:rsidP="00000000" w:rsidRDefault="00000000" w:rsidRPr="00000000" w14:paraId="00000099">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bruteforcing, web crawling, and</w:t>
                </w:r>
              </w:p>
              <w:p w:rsidR="00000000" w:rsidDel="00000000" w:rsidP="00000000" w:rsidRDefault="00000000" w:rsidRPr="00000000" w14:paraId="0000009A">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tools like Wappalyzer to identify</w:t>
                </w:r>
              </w:p>
              <w:p w:rsidR="00000000" w:rsidDel="00000000" w:rsidP="00000000" w:rsidRDefault="00000000" w:rsidRPr="00000000" w14:paraId="0000009B">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software such as WordPress, RDP,</w:t>
                </w:r>
              </w:p>
              <w:p w:rsidR="00000000" w:rsidDel="00000000" w:rsidP="00000000" w:rsidRDefault="00000000" w:rsidRPr="00000000" w14:paraId="0000009C">
                <w:pPr>
                  <w:rPr>
                    <w:rFonts w:ascii="IBM Plex Sans" w:cs="IBM Plex Sans" w:eastAsia="IBM Plex Sans" w:hAnsi="IBM Plex Sans"/>
                    <w:color w:val="064e3b"/>
                    <w:sz w:val="70"/>
                    <w:szCs w:val="70"/>
                  </w:rPr>
                </w:pPr>
                <w:r w:rsidDel="00000000" w:rsidR="00000000" w:rsidRPr="00000000">
                  <w:rPr>
                    <w:rFonts w:ascii="IBM Plex Sans" w:cs="IBM Plex Sans" w:eastAsia="IBM Plex Sans" w:hAnsi="IBM Plex Sans"/>
                    <w:color w:val="064e3b"/>
                    <w:sz w:val="24"/>
                    <w:szCs w:val="24"/>
                    <w:rtl w:val="0"/>
                  </w:rPr>
                  <w:t xml:space="preserve">Citrix, etc.</w:t>
                </w:r>
                <w:r w:rsidDel="00000000" w:rsidR="00000000" w:rsidRPr="00000000">
                  <w:rPr>
                    <w:rtl w:val="0"/>
                  </w:rPr>
                </w:r>
              </w:p>
            </w:tc>
          </w:tr>
          <w:tr>
            <w:trPr>
              <w:cantSplit w:val="0"/>
              <w:trHeight w:val="1050" w:hRule="atLeast"/>
              <w:tblHeader w:val="0"/>
            </w:trPr>
            <w:tc>
              <w:tcPr>
                <w:shd w:fill="34d399" w:val="clear"/>
              </w:tcPr>
              <w:p w:rsidR="00000000" w:rsidDel="00000000" w:rsidP="00000000" w:rsidRDefault="00000000" w:rsidRPr="00000000" w14:paraId="0000009D">
                <w:pPr>
                  <w:jc w:val="center"/>
                  <w:rPr>
                    <w:rFonts w:ascii="IBM Plex Sans" w:cs="IBM Plex Sans" w:eastAsia="IBM Plex Sans" w:hAnsi="IBM Plex Sans"/>
                    <w:color w:val="064e3b"/>
                    <w:sz w:val="36"/>
                    <w:szCs w:val="36"/>
                  </w:rPr>
                </w:pPr>
                <w:r w:rsidDel="00000000" w:rsidR="00000000" w:rsidRPr="00000000">
                  <w:rPr>
                    <w:rFonts w:ascii="IBM Plex Sans" w:cs="IBM Plex Sans" w:eastAsia="IBM Plex Sans" w:hAnsi="IBM Plex Sans"/>
                    <w:color w:val="064e3b"/>
                    <w:sz w:val="36"/>
                    <w:szCs w:val="36"/>
                    <w:rtl w:val="0"/>
                  </w:rPr>
                  <w:t xml:space="preserve">Exploitation</w:t>
                </w:r>
              </w:p>
            </w:tc>
            <w:tc>
              <w:tcPr>
                <w:shd w:fill="34d399" w:val="clear"/>
              </w:tcPr>
              <w:p w:rsidR="00000000" w:rsidDel="00000000" w:rsidP="00000000" w:rsidRDefault="00000000" w:rsidRPr="00000000" w14:paraId="0000009E">
                <w:pPr>
                  <w:jc w:val="center"/>
                  <w:rPr>
                    <w:rFonts w:ascii="IBM Plex Sans" w:cs="IBM Plex Sans" w:eastAsia="IBM Plex Sans" w:hAnsi="IBM Plex Sans"/>
                    <w:color w:val="064e3b"/>
                    <w:sz w:val="36"/>
                    <w:szCs w:val="36"/>
                  </w:rPr>
                </w:pPr>
                <w:r w:rsidDel="00000000" w:rsidR="00000000" w:rsidRPr="00000000">
                  <w:rPr>
                    <w:rFonts w:ascii="IBM Plex Sans" w:cs="IBM Plex Sans" w:eastAsia="IBM Plex Sans" w:hAnsi="IBM Plex Sans"/>
                    <w:color w:val="064e3b"/>
                    <w:sz w:val="36"/>
                    <w:szCs w:val="36"/>
                    <w:rtl w:val="0"/>
                  </w:rPr>
                  <w:t xml:space="preserve">Reporting</w:t>
                </w:r>
              </w:p>
            </w:tc>
          </w:tr>
          <w:tr>
            <w:trPr>
              <w:cantSplit w:val="0"/>
              <w:trHeight w:val="3480" w:hRule="atLeast"/>
              <w:tblHeader w:val="0"/>
            </w:trPr>
            <w:tc>
              <w:tcPr/>
              <w:p w:rsidR="00000000" w:rsidDel="00000000" w:rsidP="00000000" w:rsidRDefault="00000000" w:rsidRPr="00000000" w14:paraId="0000009F">
                <w:pPr>
                  <w:rPr>
                    <w:rFonts w:ascii="IBM Plex Sans" w:cs="IBM Plex Sans" w:eastAsia="IBM Plex Sans" w:hAnsi="IBM Plex Sans"/>
                    <w:color w:val="064e3b"/>
                    <w:sz w:val="24"/>
                    <w:szCs w:val="24"/>
                  </w:rPr>
                </w:pPr>
                <w:r w:rsidDel="00000000" w:rsidR="00000000" w:rsidRPr="00000000">
                  <w:rPr>
                    <w:rtl w:val="0"/>
                  </w:rPr>
                </w:r>
              </w:p>
              <w:p w:rsidR="00000000" w:rsidDel="00000000" w:rsidP="00000000" w:rsidRDefault="00000000" w:rsidRPr="00000000" w14:paraId="000000A0">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Using the data from discovery</w:t>
                </w:r>
              </w:p>
              <w:p w:rsidR="00000000" w:rsidDel="00000000" w:rsidP="00000000" w:rsidRDefault="00000000" w:rsidRPr="00000000" w14:paraId="000000A1">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and fingerprinting, we search</w:t>
                </w:r>
              </w:p>
              <w:p w:rsidR="00000000" w:rsidDel="00000000" w:rsidP="00000000" w:rsidRDefault="00000000" w:rsidRPr="00000000" w14:paraId="000000A2">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for known vulnerabilities and</w:t>
                </w:r>
              </w:p>
              <w:p w:rsidR="00000000" w:rsidDel="00000000" w:rsidP="00000000" w:rsidRDefault="00000000" w:rsidRPr="00000000" w14:paraId="000000A3">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misconfigurations. This includes</w:t>
                </w:r>
              </w:p>
              <w:p w:rsidR="00000000" w:rsidDel="00000000" w:rsidP="00000000" w:rsidRDefault="00000000" w:rsidRPr="00000000" w14:paraId="000000A4">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CVE scanning, OWASP Top 10</w:t>
                </w:r>
              </w:p>
              <w:p w:rsidR="00000000" w:rsidDel="00000000" w:rsidP="00000000" w:rsidRDefault="00000000" w:rsidRPr="00000000" w14:paraId="000000A5">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testing, and automated or</w:t>
                </w:r>
              </w:p>
              <w:p w:rsidR="00000000" w:rsidDel="00000000" w:rsidP="00000000" w:rsidRDefault="00000000" w:rsidRPr="00000000" w14:paraId="000000A6">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manual validation of</w:t>
                </w:r>
              </w:p>
              <w:p w:rsidR="00000000" w:rsidDel="00000000" w:rsidP="00000000" w:rsidRDefault="00000000" w:rsidRPr="00000000" w14:paraId="000000A7">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weaknesses.</w:t>
                </w:r>
              </w:p>
            </w:tc>
            <w:tc>
              <w:tcPr/>
              <w:p w:rsidR="00000000" w:rsidDel="00000000" w:rsidP="00000000" w:rsidRDefault="00000000" w:rsidRPr="00000000" w14:paraId="000000A8">
                <w:pPr>
                  <w:rPr>
                    <w:rFonts w:ascii="IBM Plex Sans" w:cs="IBM Plex Sans" w:eastAsia="IBM Plex Sans" w:hAnsi="IBM Plex Sans"/>
                    <w:color w:val="064e3b"/>
                    <w:sz w:val="24"/>
                    <w:szCs w:val="24"/>
                  </w:rPr>
                </w:pPr>
                <w:r w:rsidDel="00000000" w:rsidR="00000000" w:rsidRPr="00000000">
                  <w:rPr>
                    <w:rtl w:val="0"/>
                  </w:rPr>
                </w:r>
              </w:p>
              <w:p w:rsidR="00000000" w:rsidDel="00000000" w:rsidP="00000000" w:rsidRDefault="00000000" w:rsidRPr="00000000" w14:paraId="000000A9">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Finally, our system generates a</w:t>
                </w:r>
              </w:p>
              <w:p w:rsidR="00000000" w:rsidDel="00000000" w:rsidP="00000000" w:rsidRDefault="00000000" w:rsidRPr="00000000" w14:paraId="000000AA">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detailed report including all</w:t>
                </w:r>
              </w:p>
              <w:p w:rsidR="00000000" w:rsidDel="00000000" w:rsidP="00000000" w:rsidRDefault="00000000" w:rsidRPr="00000000" w14:paraId="000000AB">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findings, exploitation paths, and</w:t>
                </w:r>
              </w:p>
              <w:p w:rsidR="00000000" w:rsidDel="00000000" w:rsidP="00000000" w:rsidRDefault="00000000" w:rsidRPr="00000000" w14:paraId="000000AC">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remediation recommendations.</w:t>
                </w:r>
              </w:p>
              <w:p w:rsidR="00000000" w:rsidDel="00000000" w:rsidP="00000000" w:rsidRDefault="00000000" w:rsidRPr="00000000" w14:paraId="000000AD">
                <w:pPr>
                  <w:rPr>
                    <w:rFonts w:ascii="IBM Plex Sans" w:cs="IBM Plex Sans" w:eastAsia="IBM Plex Sans" w:hAnsi="IBM Plex Sans"/>
                    <w:color w:val="064e3b"/>
                    <w:sz w:val="24"/>
                    <w:szCs w:val="24"/>
                  </w:rPr>
                </w:pPr>
                <w:r w:rsidDel="00000000" w:rsidR="00000000" w:rsidRPr="00000000">
                  <w:rPr>
                    <w:rFonts w:ascii="IBM Plex Sans" w:cs="IBM Plex Sans" w:eastAsia="IBM Plex Sans" w:hAnsi="IBM Plex Sans"/>
                    <w:color w:val="064e3b"/>
                    <w:sz w:val="24"/>
                    <w:szCs w:val="24"/>
                    <w:rtl w:val="0"/>
                  </w:rPr>
                  <w:t xml:space="preserve">This report is reviewed by our certified cybersecurity analysts to ensure consistency and completeness.</w:t>
                </w:r>
              </w:p>
            </w:tc>
          </w:tr>
        </w:tbl>
      </w:sdtContent>
    </w:sdt>
    <w:p w:rsidR="00000000" w:rsidDel="00000000" w:rsidP="00000000" w:rsidRDefault="00000000" w:rsidRPr="00000000" w14:paraId="000000AE">
      <w:pPr>
        <w:spacing w:line="240" w:lineRule="auto"/>
        <w:ind w:left="1440" w:right="1440" w:firstLine="0"/>
        <w:jc w:val="cente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AF">
      <w:pPr>
        <w:pStyle w:val="Heading1"/>
        <w:spacing w:line="240" w:lineRule="auto"/>
        <w:ind w:left="0" w:right="1440" w:firstLine="0"/>
        <w:jc w:val="left"/>
        <w:rPr>
          <w:rFonts w:ascii="IBM Plex Sans" w:cs="IBM Plex Sans" w:eastAsia="IBM Plex Sans" w:hAnsi="IBM Plex Sans"/>
          <w:color w:val="064e3b"/>
        </w:rPr>
      </w:pPr>
      <w:bookmarkStart w:colFirst="0" w:colLast="0" w:name="_heading=h.kc5t64kgnxh8" w:id="17"/>
      <w:bookmarkEnd w:id="17"/>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line="240" w:lineRule="auto"/>
        <w:ind w:left="1440" w:right="1440" w:firstLine="0"/>
        <w:rPr>
          <w:rFonts w:ascii="IBM Plex Sans" w:cs="IBM Plex Sans" w:eastAsia="IBM Plex Sans" w:hAnsi="IBM Plex Sans"/>
          <w:color w:val="064e3b"/>
        </w:rPr>
      </w:pPr>
      <w:bookmarkStart w:colFirst="0" w:colLast="0" w:name="_heading=h.nqxrxh4maedu" w:id="18"/>
      <w:bookmarkEnd w:id="18"/>
      <w:r w:rsidDel="00000000" w:rsidR="00000000" w:rsidRPr="00000000">
        <w:rPr>
          <w:rFonts w:ascii="IBM Plex Sans" w:cs="IBM Plex Sans" w:eastAsia="IBM Plex Sans" w:hAnsi="IBM Plex Sans"/>
          <w:color w:val="064e3b"/>
          <w:rtl w:val="0"/>
        </w:rPr>
        <w:t xml:space="preserve">Technical Findings</w:t>
      </w:r>
    </w:p>
    <w:p w:rsidR="00000000" w:rsidDel="00000000" w:rsidP="00000000" w:rsidRDefault="00000000" w:rsidRPr="00000000" w14:paraId="000000B1">
      <w:pPr>
        <w:ind w:left="0" w:right="1440" w:firstLine="0"/>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2">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3">
      <w:pPr>
        <w:pStyle w:val="Heading2"/>
        <w:widowControl w:val="1"/>
        <w:spacing w:line="276" w:lineRule="auto"/>
        <w:ind w:left="-90" w:right="720" w:firstLine="0"/>
        <w:jc w:val="both"/>
        <w:rPr>
          <w:rFonts w:ascii="IBM Plex Sans SemiBold" w:cs="IBM Plex Sans SemiBold" w:eastAsia="IBM Plex Sans SemiBold" w:hAnsi="IBM Plex Sans SemiBold"/>
          <w:sz w:val="30"/>
          <w:szCs w:val="30"/>
        </w:rPr>
      </w:pPr>
      <w:bookmarkStart w:colFirst="0" w:colLast="0" w:name="_heading=h.hmtzpkp11xg6" w:id="19"/>
      <w:bookmarkEnd w:id="19"/>
      <w:r w:rsidDel="00000000" w:rsidR="00000000" w:rsidRPr="00000000">
        <w:rPr>
          <w:rFonts w:ascii="IBM Plex Sans SemiBold" w:cs="IBM Plex Sans SemiBold" w:eastAsia="IBM Plex Sans SemiBold" w:hAnsi="IBM Plex Sans SemiBold"/>
          <w:sz w:val="42"/>
          <w:szCs w:val="42"/>
          <w:rtl w:val="0"/>
        </w:rPr>
        <w:t xml:space="preserve">{{#findings}}</w:t>
        <w:br w:type="textWrapping"/>
        <w:t xml:space="preserve">01-{{index}}-{{title}}</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Finding Description:</w:t>
      </w:r>
    </w:p>
    <w:p w:rsidR="00000000" w:rsidDel="00000000" w:rsidP="00000000" w:rsidRDefault="00000000" w:rsidRPr="00000000" w14:paraId="000000B6">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B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{{description}}</w:t>
      </w:r>
    </w:p>
    <w:p w:rsidR="00000000" w:rsidDel="00000000" w:rsidP="00000000" w:rsidRDefault="00000000" w:rsidRPr="00000000" w14:paraId="000000B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9">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BA">
      <w:pPr>
        <w:rPr>
          <w:rFonts w:ascii="IBM Plex Sans" w:cs="IBM Plex Sans" w:eastAsia="IBM Plex Sans" w:hAnsi="IBM Plex Sans"/>
          <w:color w:val="660000"/>
          <w:highlight w:val="white"/>
        </w:rPr>
      </w:pPr>
      <w:r w:rsidDel="00000000" w:rsidR="00000000" w:rsidRPr="00000000">
        <w:rPr>
          <w:rFonts w:ascii="IBM Plex Sans" w:cs="IBM Plex Sans" w:eastAsia="IBM Plex Sans" w:hAnsi="IBM Plex Sans"/>
          <w:b w:val="1"/>
          <w:bCs w:val="1"/>
          <w:sz w:val="26"/>
          <w:szCs w:val="26"/>
          <w:rtl w:val="0"/>
        </w:rPr>
        <w:t xml:space="preserve">Severity: </w:t>
      </w:r>
      <w:r w:rsidDel="00000000" w:rsidR="00000000" w:rsidRPr="00000000">
        <w:rPr>
          <w:rFonts w:ascii="IBM Plex Sans" w:cs="IBM Plex Sans" w:eastAsia="IBM Plex Sans" w:hAnsi="IBM Plex Sans"/>
          <w:b w:val="1"/>
          <w:bCs w:val="1"/>
          <w:color w:val="660000"/>
          <w:sz w:val="26"/>
          <w:szCs w:val="26"/>
          <w:rtl w:val="0"/>
        </w:rPr>
        <w:t xml:space="preserve">{{severity}}</w:t>
      </w:r>
      <w:r w:rsidDel="00000000" w:rsidR="00000000" w:rsidRPr="00000000">
        <w:rPr>
          <w:rtl w:val="0"/>
        </w:rPr>
      </w:r>
    </w:p>
    <w:p w:rsidR="00000000" w:rsidDel="00000000" w:rsidP="00000000" w:rsidRDefault="00000000" w:rsidRPr="00000000" w14:paraId="000000BB">
      <w:pPr>
        <w:rPr>
          <w:rFonts w:ascii="IBM Plex Sans" w:cs="IBM Plex Sans" w:eastAsia="IBM Plex Sans" w:hAnsi="IBM Plex Sans"/>
          <w:b w:val="1"/>
          <w:bCs w:val="1"/>
          <w:color w:val="cc0000"/>
          <w:sz w:val="26"/>
          <w:szCs w:val="26"/>
        </w:rPr>
      </w:pPr>
      <w:r w:rsidDel="00000000" w:rsidR="00000000" w:rsidRPr="00000000">
        <w:rPr>
          <w:rFonts w:ascii="IBM Plex Sans" w:cs="IBM Plex Sans" w:eastAsia="IBM Plex Sans" w:hAnsi="IBM Plex Sans"/>
          <w:b w:val="1"/>
          <w:bCs w:val="1"/>
          <w:sz w:val="26"/>
          <w:szCs w:val="26"/>
          <w:rtl w:val="0"/>
        </w:rPr>
        <w:t xml:space="preserve">CVSS:4.0/AV:N/AC:L/AT:N/PR:L/UI:N/VC:N/VI:L/VA:L/SC:N/SI:H/SA:L</w:t>
      </w:r>
      <w:r w:rsidDel="00000000" w:rsidR="00000000" w:rsidRPr="00000000">
        <w:rPr>
          <w:rtl w:val="0"/>
        </w:rPr>
      </w:r>
    </w:p>
    <w:p w:rsidR="00000000" w:rsidDel="00000000" w:rsidP="00000000" w:rsidRDefault="00000000" w:rsidRPr="00000000" w14:paraId="000000BC">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BD">
      <w:pPr>
        <w:rPr>
          <w:rFonts w:ascii="IBM Plex Sans" w:cs="IBM Plex Sans" w:eastAsia="IBM Plex Sans" w:hAnsi="IBM Plex Sans"/>
          <w:b w:val="1"/>
          <w:bCs w:val="1"/>
          <w:color w:val="980000"/>
          <w:sz w:val="26"/>
          <w:szCs w:val="26"/>
        </w:rPr>
      </w:pPr>
      <w:r w:rsidDel="00000000" w:rsidR="00000000" w:rsidRPr="00000000">
        <w:rPr>
          <w:rtl w:val="0"/>
        </w:rPr>
      </w:r>
    </w:p>
    <w:p w:rsidR="00000000" w:rsidDel="00000000" w:rsidP="00000000" w:rsidRDefault="00000000" w:rsidRPr="00000000" w14:paraId="000000BE">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Impact: </w:t>
      </w:r>
    </w:p>
    <w:p w:rsidR="00000000" w:rsidDel="00000000" w:rsidP="00000000" w:rsidRDefault="00000000" w:rsidRPr="00000000" w14:paraId="000000BF">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C0">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{{impact}}</w:t>
      </w:r>
    </w:p>
    <w:p w:rsidR="00000000" w:rsidDel="00000000" w:rsidP="00000000" w:rsidRDefault="00000000" w:rsidRPr="00000000" w14:paraId="000000C1">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C2">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C3">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C4">
      <w:pPr>
        <w:rPr>
          <w:rFonts w:ascii="IBM Plex Sans" w:cs="IBM Plex Sans" w:eastAsia="IBM Plex Sans" w:hAnsi="IBM Plex Sans"/>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5">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t xml:space="preserve">Proof of Concept:</w:t>
      </w:r>
    </w:p>
    <w:p w:rsidR="00000000" w:rsidDel="00000000" w:rsidP="00000000" w:rsidRDefault="00000000" w:rsidRPr="00000000" w14:paraId="000000C6">
      <w:pPr>
        <w:rPr>
          <w:rFonts w:ascii="IBM Plex Sans" w:cs="IBM Plex Sans" w:eastAsia="IBM Plex Sans" w:hAnsi="IBM Plex Sans"/>
          <w:b w:val="1"/>
          <w:bCs w:val="1"/>
          <w:sz w:val="26"/>
          <w:szCs w:val="26"/>
        </w:rPr>
      </w:pPr>
      <w:r w:rsidDel="00000000" w:rsidR="00000000" w:rsidRPr="00000000">
        <w:rPr>
          <w:rtl w:val="0"/>
        </w:rPr>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3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{{poc}}</w:t>
            </w:r>
          </w:p>
        </w:tc>
      </w:tr>
    </w:tbl>
    <w:p w:rsidR="00000000" w:rsidDel="00000000" w:rsidP="00000000" w:rsidRDefault="00000000" w:rsidRPr="00000000" w14:paraId="000000C8">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A">
      <w:pPr>
        <w:rPr>
          <w:rFonts w:ascii="IBM Plex Sans" w:cs="IBM Plex Sans" w:eastAsia="IBM Plex Sans" w:hAnsi="IBM Plex Sans"/>
          <w:b w:val="1"/>
          <w:bCs w:val="1"/>
          <w:sz w:val="26"/>
          <w:szCs w:val="26"/>
        </w:rPr>
      </w:pPr>
      <w:r w:rsidDel="00000000" w:rsidR="00000000" w:rsidRPr="00000000">
        <w:rPr>
          <w:rFonts w:ascii="IBM Plex Sans" w:cs="IBM Plex Sans" w:eastAsia="IBM Plex Sans" w:hAnsi="IBM Plex Sans"/>
          <w:b w:val="1"/>
          <w:bCs w:val="1"/>
          <w:sz w:val="26"/>
          <w:szCs w:val="26"/>
          <w:rtl w:val="0"/>
        </w:rPr>
        <w:br w:type="textWrapping"/>
        <w:t xml:space="preserve">Remediation Recommendations:</w:t>
      </w:r>
    </w:p>
    <w:p w:rsidR="00000000" w:rsidDel="00000000" w:rsidP="00000000" w:rsidRDefault="00000000" w:rsidRPr="00000000" w14:paraId="000000CB">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CC">
      <w:pP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{{remediation}}</w:t>
      </w:r>
    </w:p>
    <w:p w:rsidR="00000000" w:rsidDel="00000000" w:rsidP="00000000" w:rsidRDefault="00000000" w:rsidRPr="00000000" w14:paraId="000000CD">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E">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CF">
      <w:pPr>
        <w:pStyle w:val="Heading2"/>
        <w:rPr>
          <w:rFonts w:ascii="IBM Plex Sans" w:cs="IBM Plex Sans" w:eastAsia="IBM Plex Sans" w:hAnsi="IBM Plex Sans"/>
          <w:b w:val="1"/>
          <w:bCs w:val="1"/>
          <w:sz w:val="42"/>
          <w:szCs w:val="42"/>
        </w:rPr>
      </w:pPr>
      <w:bookmarkStart w:colFirst="0" w:colLast="0" w:name="_heading=h.jmbgrfkhb926" w:id="20"/>
      <w:bookmarkEnd w:id="20"/>
      <w:r w:rsidDel="00000000" w:rsidR="00000000" w:rsidRPr="00000000">
        <w:rPr>
          <w:rFonts w:ascii="IBM Plex Sans" w:cs="IBM Plex Sans" w:eastAsia="IBM Plex Sans" w:hAnsi="IBM Plex Sans"/>
          <w:b w:val="1"/>
          <w:bCs w:val="1"/>
          <w:sz w:val="42"/>
          <w:szCs w:val="42"/>
          <w:rtl w:val="0"/>
        </w:rPr>
        <w:t xml:space="preserve">{{/findings}}</w:t>
      </w:r>
    </w:p>
    <w:p w:rsidR="00000000" w:rsidDel="00000000" w:rsidP="00000000" w:rsidRDefault="00000000" w:rsidRPr="00000000" w14:paraId="000000D0">
      <w:pPr>
        <w:rPr>
          <w:rFonts w:ascii="IBM Plex Sans" w:cs="IBM Plex Sans" w:eastAsia="IBM Plex Sans" w:hAnsi="IBM Plex Sans"/>
          <w:b w:val="1"/>
          <w:bCs w:val="1"/>
          <w:sz w:val="26"/>
          <w:szCs w:val="26"/>
        </w:rPr>
      </w:pPr>
      <w:r w:rsidDel="00000000" w:rsidR="00000000" w:rsidRPr="00000000">
        <w:rPr>
          <w:rtl w:val="0"/>
        </w:rPr>
      </w:r>
    </w:p>
    <w:p w:rsidR="00000000" w:rsidDel="00000000" w:rsidP="00000000" w:rsidRDefault="00000000" w:rsidRPr="00000000" w14:paraId="000000D1">
      <w:pPr>
        <w:pStyle w:val="Heading1"/>
        <w:spacing w:line="240" w:lineRule="auto"/>
        <w:ind w:left="1440" w:right="1440" w:firstLine="0"/>
        <w:rPr>
          <w:rFonts w:ascii="IBM Plex Sans" w:cs="IBM Plex Sans" w:eastAsia="IBM Plex Sans" w:hAnsi="IBM Plex Sans"/>
          <w:color w:val="064e3b"/>
        </w:rPr>
      </w:pPr>
      <w:bookmarkStart w:colFirst="0" w:colLast="0" w:name="_heading=h.hpmnc3gdvycv" w:id="21"/>
      <w:bookmarkEnd w:id="21"/>
      <w:r w:rsidDel="00000000" w:rsidR="00000000" w:rsidRPr="00000000">
        <w:br w:type="page"/>
      </w:r>
      <w:r w:rsidDel="00000000" w:rsidR="00000000" w:rsidRPr="00000000">
        <w:rPr>
          <w:rtl w:val="0"/>
        </w:rPr>
      </w:r>
    </w:p>
    <w:p w:rsidR="00000000" w:rsidDel="00000000" w:rsidP="00000000" w:rsidRDefault="00000000" w:rsidRPr="00000000" w14:paraId="000000D2">
      <w:pPr>
        <w:pStyle w:val="Heading1"/>
        <w:spacing w:line="240" w:lineRule="auto"/>
        <w:ind w:left="1440" w:right="1440" w:firstLine="0"/>
        <w:rPr>
          <w:rFonts w:ascii="IBM Plex Sans" w:cs="IBM Plex Sans" w:eastAsia="IBM Plex Sans" w:hAnsi="IBM Plex Sans"/>
          <w:color w:val="064e3b"/>
        </w:rPr>
      </w:pPr>
      <w:bookmarkStart w:colFirst="0" w:colLast="0" w:name="_heading=h.ydp05i6nnsp" w:id="22"/>
      <w:bookmarkEnd w:id="22"/>
      <w:r w:rsidDel="00000000" w:rsidR="00000000" w:rsidRPr="00000000">
        <w:rPr>
          <w:rFonts w:ascii="IBM Plex Sans" w:cs="IBM Plex Sans" w:eastAsia="IBM Plex Sans" w:hAnsi="IBM Plex Sans"/>
          <w:color w:val="064e3b"/>
          <w:rtl w:val="0"/>
        </w:rPr>
        <w:t xml:space="preserve">Appendix</w:t>
      </w:r>
    </w:p>
    <w:p w:rsidR="00000000" w:rsidDel="00000000" w:rsidP="00000000" w:rsidRDefault="00000000" w:rsidRPr="00000000" w14:paraId="000000D3">
      <w:pPr>
        <w:pStyle w:val="Heading1"/>
        <w:spacing w:line="240" w:lineRule="auto"/>
        <w:ind w:left="1440" w:right="1440" w:firstLine="0"/>
        <w:rPr>
          <w:rFonts w:ascii="IBM Plex Sans" w:cs="IBM Plex Sans" w:eastAsia="IBM Plex Sans" w:hAnsi="IBM Plex Sans"/>
          <w:sz w:val="48"/>
          <w:szCs w:val="48"/>
        </w:rPr>
      </w:pPr>
      <w:bookmarkStart w:colFirst="0" w:colLast="0" w:name="_heading=h.9hc0f77doppw" w:id="23"/>
      <w:bookmarkEnd w:id="23"/>
      <w:r w:rsidDel="00000000" w:rsidR="00000000" w:rsidRPr="00000000">
        <w:rPr>
          <w:rtl w:val="0"/>
        </w:rPr>
      </w:r>
    </w:p>
    <w:p w:rsidR="00000000" w:rsidDel="00000000" w:rsidP="00000000" w:rsidRDefault="00000000" w:rsidRPr="00000000" w14:paraId="000000D4">
      <w:pPr>
        <w:spacing w:before="111"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AP Pentesting team used the following standards to rate the findings in the report. AP Pentesting derived these risk ratings from the industry and organizations such as OWASP &amp; the Common Weakness Enumeration (CWE) ratings.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40" w:right="1440" w:firstLine="0"/>
        <w:rPr>
          <w:rFonts w:ascii="IBM Plex Sans" w:cs="IBM Plex Sans" w:eastAsia="IBM Plex Sans" w:hAnsi="IBM Plex Sans"/>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D6">
      <w:pPr>
        <w:pStyle w:val="Heading2"/>
        <w:spacing w:before="0" w:line="240" w:lineRule="auto"/>
        <w:ind w:left="1440" w:right="1440" w:firstLine="0"/>
        <w:rPr>
          <w:rFonts w:ascii="IBM Plex Sans" w:cs="IBM Plex Sans" w:eastAsia="IBM Plex Sans" w:hAnsi="IBM Plex Sans"/>
        </w:rPr>
      </w:pPr>
      <w:bookmarkStart w:colFirst="0" w:colLast="0" w:name="_heading=h.l1a82dfgjzek" w:id="24"/>
      <w:bookmarkEnd w:id="24"/>
      <w:r w:rsidDel="00000000" w:rsidR="00000000" w:rsidRPr="00000000">
        <w:rPr>
          <w:rFonts w:ascii="IBM Plex Sans" w:cs="IBM Plex Sans" w:eastAsia="IBM Plex Sans" w:hAnsi="IBM Plex Sans"/>
          <w:rtl w:val="0"/>
        </w:rPr>
        <w:t xml:space="preserve">Severity Descriptions</w:t>
      </w:r>
    </w:p>
    <w:p w:rsidR="00000000" w:rsidDel="00000000" w:rsidP="00000000" w:rsidRDefault="00000000" w:rsidRPr="00000000" w14:paraId="000000D7">
      <w:pPr>
        <w:spacing w:before="18" w:line="240"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The severity of each finding in this report is independent. Finding severity ratings combines direct technical and business impact with the worst-case scenario in an attack chain. The more significant the impact, and the fewer vulnerabilities that must be exploited to achieve that impact, the higher the severity.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440" w:right="1440" w:firstLine="0"/>
        <w:rPr>
          <w:rFonts w:ascii="IBM Plex Sans" w:cs="IBM Plex Sans" w:eastAsia="IBM Plex Sans" w:hAnsi="IBM Plex Sans"/>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9">
      <w:pPr>
        <w:ind w:left="1440" w:right="1440" w:firstLine="0"/>
        <w:rPr>
          <w:rFonts w:ascii="IBM Plex Sans" w:cs="IBM Plex Sans" w:eastAsia="IBM Plex Sans" w:hAnsi="IBM Plex Sans"/>
          <w:color w:val="980000"/>
          <w:sz w:val="28"/>
          <w:szCs w:val="28"/>
        </w:rPr>
      </w:pPr>
      <w:r w:rsidDel="00000000" w:rsidR="00000000" w:rsidRPr="00000000">
        <w:rPr>
          <w:rFonts w:ascii="IBM Plex Sans" w:cs="IBM Plex Sans" w:eastAsia="IBM Plex Sans" w:hAnsi="IBM Plex Sans"/>
          <w:color w:val="980000"/>
          <w:sz w:val="28"/>
          <w:szCs w:val="28"/>
          <w:rtl w:val="0"/>
        </w:rPr>
        <w:t xml:space="preserve">Critical</w:t>
      </w:r>
    </w:p>
    <w:p w:rsidR="00000000" w:rsidDel="00000000" w:rsidP="00000000" w:rsidRDefault="00000000" w:rsidRPr="00000000" w14:paraId="000000DA">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is an otherwise high-severity issue with additional security implications that could lead to exceptional business impact. </w:t>
      </w:r>
    </w:p>
    <w:p w:rsidR="00000000" w:rsidDel="00000000" w:rsidP="00000000" w:rsidRDefault="00000000" w:rsidRPr="00000000" w14:paraId="000000DB">
      <w:pPr>
        <w:spacing w:before="0" w:line="271" w:lineRule="auto"/>
        <w:ind w:left="1440" w:right="1440" w:firstLine="0"/>
        <w:jc w:val="both"/>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Fonts w:ascii="IBM Plex Sans" w:cs="IBM Plex Sans" w:eastAsia="IBM Plex Sans" w:hAnsi="IBM Plex Sans"/>
          <w:rtl w:val="0"/>
        </w:rPr>
        <w:t xml:space="preserve">Examples: trivial exploit difficulty, business-critical data compromised, bypass of security controls, direct violation of communicated security objectives, and large- scale vulnerability exposure.</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440" w:right="1440" w:firstLine="0"/>
        <w:rPr>
          <w:rFonts w:ascii="IBM Plex Sans" w:cs="IBM Plex Sans" w:eastAsia="IBM Plex Sans" w:hAnsi="IBM Plex Sans"/>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D">
      <w:pPr>
        <w:ind w:left="1440" w:right="1440" w:firstLine="0"/>
        <w:rPr>
          <w:rFonts w:ascii="IBM Plex Sans" w:cs="IBM Plex Sans" w:eastAsia="IBM Plex Sans" w:hAnsi="IBM Plex Sans"/>
          <w:color w:val="ff0000"/>
          <w:sz w:val="28"/>
          <w:szCs w:val="28"/>
        </w:rPr>
      </w:pPr>
      <w:r w:rsidDel="00000000" w:rsidR="00000000" w:rsidRPr="00000000">
        <w:rPr>
          <w:rFonts w:ascii="IBM Plex Sans" w:cs="IBM Plex Sans" w:eastAsia="IBM Plex Sans" w:hAnsi="IBM Plex Sans"/>
          <w:color w:val="ff0000"/>
          <w:sz w:val="28"/>
          <w:szCs w:val="28"/>
          <w:rtl w:val="0"/>
        </w:rPr>
        <w:t xml:space="preserve">High</w:t>
      </w:r>
    </w:p>
    <w:p w:rsidR="00000000" w:rsidDel="00000000" w:rsidP="00000000" w:rsidRDefault="00000000" w:rsidRPr="00000000" w14:paraId="000000DE">
      <w:pPr>
        <w:spacing w:before="0"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direct exposure including, but not limited to: the loss of application control, execution of malicious code, or compromise of underlying host systems. The issue may also create a breach in the confidentiality or integrity of sensitive business data, customer information, and administrative and user accounts. In some instances, this exposure may extend farther in the infrastructure beyond the data and systems associated with the application.</w:t>
      </w:r>
    </w:p>
    <w:p w:rsidR="00000000" w:rsidDel="00000000" w:rsidP="00000000" w:rsidRDefault="00000000" w:rsidRPr="00000000" w14:paraId="000000DF">
      <w:pPr>
        <w:spacing w:before="0" w:line="271"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E0">
      <w:pPr>
        <w:spacing w:before="100" w:lineRule="auto"/>
        <w:ind w:left="720" w:right="1440" w:firstLine="720"/>
        <w:rPr>
          <w:rFonts w:ascii="IBM Plex Sans" w:cs="IBM Plex Sans" w:eastAsia="IBM Plex Sans" w:hAnsi="IBM Plex Sans"/>
          <w:sz w:val="20"/>
          <w:szCs w:val="20"/>
        </w:rPr>
      </w:pPr>
      <w:r w:rsidDel="00000000" w:rsidR="00000000" w:rsidRPr="00000000">
        <w:rPr>
          <w:rFonts w:ascii="IBM Plex Sans" w:cs="IBM Plex Sans" w:eastAsia="IBM Plex Sans" w:hAnsi="IBM Plex Sans"/>
          <w:color w:val="f1c232"/>
          <w:sz w:val="28"/>
          <w:szCs w:val="28"/>
          <w:rtl w:val="0"/>
        </w:rPr>
        <w:t xml:space="preserve">Medium</w:t>
      </w:r>
      <w:r w:rsidDel="00000000" w:rsidR="00000000" w:rsidRPr="00000000">
        <w:rPr>
          <w:rtl w:val="0"/>
        </w:rPr>
      </w:r>
    </w:p>
    <w:p w:rsidR="00000000" w:rsidDel="00000000" w:rsidP="00000000" w:rsidRDefault="00000000" w:rsidRPr="00000000" w14:paraId="000000E1">
      <w:pPr>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does not lead directly to the exposure of critical application functionality, sensitive business and customer data, or application credentials. However, it can be executed multiple times or leveraged in conjunction with another issue to cause direct exposure. Examples include brute-forcing and client-side input validation.</w:t>
      </w:r>
    </w:p>
    <w:p w:rsidR="00000000" w:rsidDel="00000000" w:rsidP="00000000" w:rsidRDefault="00000000" w:rsidRPr="00000000" w14:paraId="000000E2">
      <w:pPr>
        <w:spacing w:before="58" w:lineRule="auto"/>
        <w:ind w:left="1440" w:right="1440" w:firstLine="0"/>
        <w:rPr>
          <w:rFonts w:ascii="IBM Plex Sans" w:cs="IBM Plex Sans" w:eastAsia="IBM Plex Sans" w:hAnsi="IBM Plex Sans"/>
          <w:sz w:val="32"/>
          <w:szCs w:val="32"/>
        </w:rPr>
      </w:pPr>
      <w:r w:rsidDel="00000000" w:rsidR="00000000" w:rsidRPr="00000000">
        <w:rPr>
          <w:rtl w:val="0"/>
        </w:rPr>
      </w:r>
    </w:p>
    <w:p w:rsidR="00000000" w:rsidDel="00000000" w:rsidP="00000000" w:rsidRDefault="00000000" w:rsidRPr="00000000" w14:paraId="000000E3">
      <w:pPr>
        <w:ind w:left="720" w:right="1440" w:firstLine="720"/>
        <w:rPr>
          <w:rFonts w:ascii="IBM Plex Sans" w:cs="IBM Plex Sans" w:eastAsia="IBM Plex Sans" w:hAnsi="IBM Plex Sans"/>
          <w:color w:val="6aa84f"/>
          <w:sz w:val="28"/>
          <w:szCs w:val="28"/>
        </w:rPr>
      </w:pPr>
      <w:r w:rsidDel="00000000" w:rsidR="00000000" w:rsidRPr="00000000">
        <w:rPr>
          <w:rtl w:val="0"/>
        </w:rPr>
      </w:r>
    </w:p>
    <w:p w:rsidR="00000000" w:rsidDel="00000000" w:rsidP="00000000" w:rsidRDefault="00000000" w:rsidRPr="00000000" w14:paraId="000000E4">
      <w:pPr>
        <w:ind w:left="720" w:right="1440" w:firstLine="720"/>
        <w:rPr>
          <w:rFonts w:ascii="IBM Plex Sans" w:cs="IBM Plex Sans" w:eastAsia="IBM Plex Sans" w:hAnsi="IBM Plex Sans"/>
          <w:color w:val="6aa84f"/>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ind w:left="720" w:right="1440" w:firstLine="720"/>
        <w:rPr>
          <w:rFonts w:ascii="IBM Plex Sans" w:cs="IBM Plex Sans" w:eastAsia="IBM Plex Sans" w:hAnsi="IBM Plex Sans"/>
          <w:color w:val="6aa84f"/>
          <w:sz w:val="28"/>
          <w:szCs w:val="28"/>
        </w:rPr>
      </w:pPr>
      <w:r w:rsidDel="00000000" w:rsidR="00000000" w:rsidRPr="00000000">
        <w:rPr>
          <w:rFonts w:ascii="IBM Plex Sans" w:cs="IBM Plex Sans" w:eastAsia="IBM Plex Sans" w:hAnsi="IBM Plex Sans"/>
          <w:color w:val="6aa84f"/>
          <w:sz w:val="28"/>
          <w:szCs w:val="28"/>
          <w:rtl w:val="0"/>
        </w:rPr>
        <w:t xml:space="preserve">Low</w:t>
      </w:r>
    </w:p>
    <w:p w:rsidR="00000000" w:rsidDel="00000000" w:rsidP="00000000" w:rsidRDefault="00000000" w:rsidRPr="00000000" w14:paraId="000000E6">
      <w:pPr>
        <w:spacing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Vulnerability may result in limited exposure of application control, sensitive business and customer data, or system information. This type of issue provides value only when combined with one or more issues of a higher risk classification. Examples include overly detailed error messages, the disclosure of system versioning information, and minor reliability issues.</w:t>
      </w:r>
    </w:p>
    <w:p w:rsidR="00000000" w:rsidDel="00000000" w:rsidP="00000000" w:rsidRDefault="00000000" w:rsidRPr="00000000" w14:paraId="000000E7">
      <w:pPr>
        <w:spacing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8">
      <w:pPr>
        <w:spacing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9">
      <w:pPr>
        <w:ind w:left="720" w:right="1440" w:firstLine="720"/>
        <w:rPr>
          <w:rFonts w:ascii="IBM Plex Sans" w:cs="IBM Plex Sans" w:eastAsia="IBM Plex Sans" w:hAnsi="IBM Plex Sans"/>
          <w:color w:val="3c78d8"/>
          <w:sz w:val="28"/>
          <w:szCs w:val="28"/>
        </w:rPr>
      </w:pPr>
      <w:r w:rsidDel="00000000" w:rsidR="00000000" w:rsidRPr="00000000">
        <w:rPr>
          <w:rFonts w:ascii="IBM Plex Sans" w:cs="IBM Plex Sans" w:eastAsia="IBM Plex Sans" w:hAnsi="IBM Plex Sans"/>
          <w:color w:val="3c78d8"/>
          <w:sz w:val="28"/>
          <w:szCs w:val="28"/>
          <w:rtl w:val="0"/>
        </w:rPr>
        <w:t xml:space="preserve">Informational</w:t>
      </w:r>
    </w:p>
    <w:p w:rsidR="00000000" w:rsidDel="00000000" w:rsidP="00000000" w:rsidRDefault="00000000" w:rsidRPr="00000000" w14:paraId="000000EA">
      <w:pPr>
        <w:spacing w:line="271" w:lineRule="auto"/>
        <w:ind w:left="1440" w:right="1440" w:firstLine="0"/>
        <w:jc w:val="both"/>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 security-relevant observation that does not present a direct, exploitable risk on its own but is worth noting for defense-in-depth or hardening purposes.</w:t>
      </w:r>
      <w:r w:rsidDel="00000000" w:rsidR="00000000" w:rsidRPr="00000000">
        <w:rPr>
          <w:rtl w:val="0"/>
        </w:rPr>
      </w:r>
    </w:p>
    <w:p w:rsidR="00000000" w:rsidDel="00000000" w:rsidP="00000000" w:rsidRDefault="00000000" w:rsidRPr="00000000" w14:paraId="000000EB">
      <w:pPr>
        <w:spacing w:before="2" w:line="271" w:lineRule="auto"/>
        <w:ind w:left="1440" w:right="1440" w:firstLine="0"/>
        <w:jc w:val="both"/>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EC">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heading=h.k5zz4s1ovofg" w:id="25"/>
      <w:bookmarkEnd w:id="25"/>
      <w:r w:rsidDel="00000000" w:rsidR="00000000" w:rsidRPr="00000000">
        <w:rPr>
          <w:rtl w:val="0"/>
        </w:rPr>
      </w:r>
    </w:p>
    <w:p w:rsidR="00000000" w:rsidDel="00000000" w:rsidP="00000000" w:rsidRDefault="00000000" w:rsidRPr="00000000" w14:paraId="000000ED">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heading=h.pwg15d37gotb" w:id="26"/>
      <w:bookmarkEnd w:id="26"/>
      <w:r w:rsidDel="00000000" w:rsidR="00000000" w:rsidRPr="00000000">
        <w:rPr>
          <w:rtl w:val="0"/>
        </w:rPr>
      </w:r>
    </w:p>
    <w:p w:rsidR="00000000" w:rsidDel="00000000" w:rsidP="00000000" w:rsidRDefault="00000000" w:rsidRPr="00000000" w14:paraId="000000EE">
      <w:pPr>
        <w:pStyle w:val="Heading2"/>
        <w:spacing w:before="2" w:line="271" w:lineRule="auto"/>
        <w:ind w:left="720" w:right="1440" w:firstLine="720"/>
        <w:jc w:val="both"/>
        <w:rPr>
          <w:rFonts w:ascii="IBM Plex Sans" w:cs="IBM Plex Sans" w:eastAsia="IBM Plex Sans" w:hAnsi="IBM Plex Sans"/>
          <w:color w:val="34d399"/>
        </w:rPr>
      </w:pPr>
      <w:bookmarkStart w:colFirst="0" w:colLast="0" w:name="_heading=h.17l2zyu7ec8" w:id="27"/>
      <w:bookmarkEnd w:id="27"/>
      <w:r w:rsidDel="00000000" w:rsidR="00000000" w:rsidRPr="00000000">
        <w:rPr>
          <w:rFonts w:ascii="IBM Plex Sans" w:cs="IBM Plex Sans" w:eastAsia="IBM Plex Sans" w:hAnsi="IBM Plex Sans"/>
          <w:color w:val="34d399"/>
          <w:rtl w:val="0"/>
        </w:rPr>
        <w:t xml:space="preserve">Risk Matrix</w:t>
      </w:r>
    </w:p>
    <w:p w:rsidR="00000000" w:rsidDel="00000000" w:rsidP="00000000" w:rsidRDefault="00000000" w:rsidRPr="00000000" w14:paraId="000000EF">
      <w:pPr>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9999999999998"/>
        <w:gridCol w:w="1615.0000000000002"/>
        <w:gridCol w:w="1800"/>
        <w:gridCol w:w="1800"/>
        <w:gridCol w:w="1800"/>
        <w:gridCol w:w="1800"/>
        <w:tblGridChange w:id="0">
          <w:tblGrid>
            <w:gridCol w:w="1984.9999999999998"/>
            <w:gridCol w:w="1615.0000000000002"/>
            <w:gridCol w:w="1800"/>
            <w:gridCol w:w="1800"/>
            <w:gridCol w:w="1800"/>
            <w:gridCol w:w="1800"/>
          </w:tblGrid>
        </w:tblGridChange>
      </w:tblGrid>
      <w:tr>
        <w:trPr>
          <w:cantSplit w:val="0"/>
          <w:trHeight w:val="462.373046875" w:hRule="atLeast"/>
          <w:tblHeader w:val="0"/>
        </w:trPr>
        <w:tc>
          <w:tcPr>
            <w:shd w:fill="064e3b"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tl w:val="0"/>
              </w:rPr>
            </w:r>
          </w:p>
        </w:tc>
        <w:tc>
          <w:tcPr>
            <w:gridSpan w:val="5"/>
            <w:shd w:fill="064e3b"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Impact</w:t>
            </w:r>
          </w:p>
        </w:tc>
      </w:tr>
      <w:tr>
        <w:trPr>
          <w:cantSplit w:val="0"/>
          <w:tblHeader w:val="0"/>
        </w:trPr>
        <w:tc>
          <w:tcPr>
            <w:shd w:fill="064e3b" w:val="clear"/>
            <w:tcMar>
              <w:top w:w="100.0" w:type="dxa"/>
              <w:left w:w="100.0" w:type="dxa"/>
              <w:bottom w:w="100.0" w:type="dxa"/>
              <w:right w:w="100.0" w:type="dxa"/>
            </w:tcMar>
            <w:vAlign w:val="top"/>
          </w:tcPr>
          <w:p w:rsidR="00000000" w:rsidDel="00000000" w:rsidP="00000000" w:rsidRDefault="00000000" w:rsidRPr="00000000" w14:paraId="000000F6">
            <w:pPr>
              <w:jc w:val="center"/>
              <w:rPr>
                <w:rFonts w:ascii="IBM Plex Sans" w:cs="IBM Plex Sans" w:eastAsia="IBM Plex Sans" w:hAnsi="IBM Plex Sans"/>
                <w:color w:val="34d399"/>
              </w:rPr>
            </w:pPr>
            <w:r w:rsidDel="00000000" w:rsidR="00000000" w:rsidRPr="00000000">
              <w:rPr>
                <w:rFonts w:ascii="IBM Plex Sans" w:cs="IBM Plex Sans" w:eastAsia="IBM Plex Sans" w:hAnsi="IBM Plex Sans"/>
                <w:color w:val="34d399"/>
                <w:rtl w:val="0"/>
              </w:rPr>
              <w:t xml:space="preserve">Likelihood</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F7">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Insignificant</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F8">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Minor</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F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F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Major</w:t>
            </w:r>
          </w:p>
        </w:tc>
        <w:tc>
          <w:tcPr>
            <w:shd w:fill="efefef" w:val="clear"/>
            <w:tcMar>
              <w:top w:w="100.0" w:type="dxa"/>
              <w:left w:w="100.0" w:type="dxa"/>
              <w:bottom w:w="100.0" w:type="dxa"/>
              <w:right w:w="100.0" w:type="dxa"/>
            </w:tcMar>
            <w:vAlign w:val="center"/>
          </w:tcPr>
          <w:p w:rsidR="00000000" w:rsidDel="00000000" w:rsidP="00000000" w:rsidRDefault="00000000" w:rsidRPr="00000000" w14:paraId="000000F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Almost Certain</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FD">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0FE">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0FF">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0">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1">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Likely</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3">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4">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5">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6">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7">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09">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0A">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0B">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C">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0D">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Unlikely</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0F">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10">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980000" w:val="clear"/>
            <w:tcMar>
              <w:top w:w="100.0" w:type="dxa"/>
              <w:left w:w="100.0" w:type="dxa"/>
              <w:bottom w:w="100.0" w:type="dxa"/>
              <w:right w:w="100.0" w:type="dxa"/>
            </w:tcMar>
            <w:vAlign w:val="top"/>
          </w:tcPr>
          <w:p w:rsidR="00000000" w:rsidDel="00000000" w:rsidP="00000000" w:rsidRDefault="00000000" w:rsidRPr="00000000" w14:paraId="00000113">
            <w:pPr>
              <w:jc w:val="center"/>
              <w:rPr>
                <w:rFonts w:ascii="IBM Plex Sans" w:cs="IBM Plex Sans" w:eastAsia="IBM Plex Sans" w:hAnsi="IBM Plex Sans"/>
                <w:color w:val="ffffff"/>
              </w:rPr>
            </w:pPr>
            <w:r w:rsidDel="00000000" w:rsidR="00000000" w:rsidRPr="00000000">
              <w:rPr>
                <w:rFonts w:ascii="IBM Plex Sans" w:cs="IBM Plex Sans" w:eastAsia="IBM Plex Sans" w:hAnsi="IBM Plex Sans"/>
                <w:color w:val="ffffff"/>
                <w:rtl w:val="0"/>
              </w:rPr>
              <w:t xml:space="preserve">Critical</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Rare</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Low</w:t>
            </w:r>
          </w:p>
        </w:tc>
        <w:tc>
          <w:tcPr>
            <w:shd w:fill="f1c232"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Moderate</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c>
          <w:tcPr>
            <w:shd w:fill="ff0000"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BM Plex Sans" w:cs="IBM Plex Sans" w:eastAsia="IBM Plex Sans" w:hAnsi="IBM Plex Sans"/>
              </w:rPr>
            </w:pPr>
            <w:r w:rsidDel="00000000" w:rsidR="00000000" w:rsidRPr="00000000">
              <w:rPr>
                <w:rFonts w:ascii="IBM Plex Sans" w:cs="IBM Plex Sans" w:eastAsia="IBM Plex Sans" w:hAnsi="IBM Plex Sans"/>
                <w:rtl w:val="0"/>
              </w:rPr>
              <w:t xml:space="preserve">High</w:t>
            </w:r>
          </w:p>
        </w:tc>
      </w:tr>
    </w:tbl>
    <w:p w:rsidR="00000000" w:rsidDel="00000000" w:rsidP="00000000" w:rsidRDefault="00000000" w:rsidRPr="00000000" w14:paraId="0000011A">
      <w:pPr>
        <w:spacing w:before="1" w:line="271" w:lineRule="auto"/>
        <w:ind w:left="0" w:right="1440" w:firstLine="0"/>
        <w:rPr>
          <w:rFonts w:ascii="IBM Plex Sans" w:cs="IBM Plex Sans" w:eastAsia="IBM Plex Sans" w:hAnsi="IBM Plex Sans"/>
          <w:sz w:val="32"/>
          <w:szCs w:val="32"/>
        </w:rPr>
      </w:pPr>
      <w:r w:rsidDel="00000000" w:rsidR="00000000" w:rsidRPr="00000000">
        <w:rPr>
          <w:rtl w:val="0"/>
        </w:rPr>
      </w:r>
    </w:p>
    <w:sectPr>
      <w:type w:val="nextPage"/>
      <w:pgSz w:h="15840" w:w="12240" w:orient="portrait"/>
      <w:pgMar w:bottom="720" w:top="720" w:left="720" w:right="7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Arial"/>
  <w:font w:name="Lucida Sans"/>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hakra Petch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Black">
    <w:embedRegular w:fontKey="{00000000-0000-0000-0000-000000000000}" r:id="rId13" w:subsetted="0"/>
  </w:font>
  <w:font w:name="IBM Plex Sans SemiBold">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jc w:val="right"/>
      <w:rPr>
        <w:rFonts w:ascii="IBM Plex Sans Medium" w:cs="IBM Plex Sans Medium" w:eastAsia="IBM Plex Sans Medium" w:hAnsi="IBM Plex Sans Medium"/>
        <w:sz w:val="24"/>
        <w:szCs w:val="24"/>
      </w:rPr>
    </w:pPr>
    <w:r w:rsidDel="00000000" w:rsidR="00000000" w:rsidRPr="00000000">
      <w:rPr>
        <w:rFonts w:ascii="IBM Plex Sans Medium" w:cs="IBM Plex Sans Medium" w:eastAsia="IBM Plex Sans Medium" w:hAnsi="IBM Plex Sans Medium"/>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89" w:lineRule="auto"/>
      <w:jc w:val="center"/>
    </w:pPr>
    <w:rPr>
      <w:rFonts w:ascii="Verdana" w:cs="Verdana" w:eastAsia="Verdana" w:hAnsi="Verdana"/>
      <w:sz w:val="70"/>
      <w:szCs w:val="70"/>
    </w:rPr>
  </w:style>
  <w:style w:type="paragraph" w:styleId="Heading2">
    <w:name w:val="heading 2"/>
    <w:basedOn w:val="Normal"/>
    <w:next w:val="Normal"/>
    <w:pPr>
      <w:widowControl w:val="1"/>
      <w:spacing w:line="276" w:lineRule="auto"/>
      <w:ind w:left="-90" w:right="720" w:firstLine="0"/>
      <w:jc w:val="both"/>
    </w:pPr>
    <w:rPr>
      <w:rFonts w:ascii="Arial Black" w:cs="Arial Black" w:eastAsia="Arial Black" w:hAnsi="Arial Black"/>
      <w:sz w:val="46"/>
      <w:szCs w:val="46"/>
    </w:rPr>
  </w:style>
  <w:style w:type="paragraph" w:styleId="Heading3">
    <w:name w:val="heading 3"/>
    <w:basedOn w:val="Normal"/>
    <w:next w:val="Normal"/>
    <w:pPr>
      <w:ind w:left="1640"/>
    </w:pPr>
    <w:rPr>
      <w:rFonts w:ascii="Arial Black" w:cs="Arial Black" w:eastAsia="Arial Black" w:hAnsi="Arial Black"/>
      <w:sz w:val="44"/>
      <w:szCs w:val="44"/>
    </w:rPr>
  </w:style>
  <w:style w:type="paragraph" w:styleId="Heading4">
    <w:name w:val="heading 4"/>
    <w:basedOn w:val="Normal"/>
    <w:next w:val="Normal"/>
    <w:pPr>
      <w:spacing w:line="558" w:lineRule="auto"/>
      <w:jc w:val="center"/>
    </w:pPr>
    <w:rPr>
      <w:rFonts w:ascii="Lucida Sans" w:cs="Lucida Sans" w:eastAsia="Lucida Sans" w:hAnsi="Lucida Sans"/>
      <w:sz w:val="38"/>
      <w:szCs w:val="3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ai.affordablepentesting.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1" Type="http://schemas.openxmlformats.org/officeDocument/2006/relationships/font" Target="fonts/IBMPlexSansMedium-italic.ttf"/><Relationship Id="rId10" Type="http://schemas.openxmlformats.org/officeDocument/2006/relationships/font" Target="fonts/IBMPlexSansMedium-bold.ttf"/><Relationship Id="rId13" Type="http://schemas.openxmlformats.org/officeDocument/2006/relationships/font" Target="fonts/ArialBlack-regular.ttf"/><Relationship Id="rId12" Type="http://schemas.openxmlformats.org/officeDocument/2006/relationships/font" Target="fonts/IBMPlexSansMedium-boldItalic.ttf"/><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9" Type="http://schemas.openxmlformats.org/officeDocument/2006/relationships/font" Target="fonts/IBMPlexSansMedium-regular.ttf"/><Relationship Id="rId15" Type="http://schemas.openxmlformats.org/officeDocument/2006/relationships/font" Target="fonts/IBMPlexSansSemiBold-bold.ttf"/><Relationship Id="rId14" Type="http://schemas.openxmlformats.org/officeDocument/2006/relationships/font" Target="fonts/IBMPlexSansSemiBold-regular.ttf"/><Relationship Id="rId17" Type="http://schemas.openxmlformats.org/officeDocument/2006/relationships/font" Target="fonts/IBMPlexSansSemiBold-boldItalic.ttf"/><Relationship Id="rId16" Type="http://schemas.openxmlformats.org/officeDocument/2006/relationships/font" Target="fonts/IBMPlexSansSemiBold-italic.ttf"/><Relationship Id="rId5" Type="http://schemas.openxmlformats.org/officeDocument/2006/relationships/font" Target="fonts/ChakraPetchMedium-regular.ttf"/><Relationship Id="rId6" Type="http://schemas.openxmlformats.org/officeDocument/2006/relationships/font" Target="fonts/ChakraPetchMedium-bold.ttf"/><Relationship Id="rId7" Type="http://schemas.openxmlformats.org/officeDocument/2006/relationships/font" Target="fonts/ChakraPetchMedium-italic.ttf"/><Relationship Id="rId8" Type="http://schemas.openxmlformats.org/officeDocument/2006/relationships/font" Target="fonts/ChakraPetch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RH2uJ6m03WNbJfzM+a19WxTFQ==">CgMxLjAaHwoBMBIaChgICVIUChJ0YWJsZS5ldG5xeXhyamluYnQaHwoBMRIaChgICVIUChJ0YWJsZS44cWN2ZTkxb2pyc28yDmguNHJ1eDV4a3VtOXJvMg5oLmZsd3FjZGJzMGtndzIOaC5lN3VxbW0zbnl2bXUyDmguYjkxMWluM2VwaWtiMg5oLnl2YXUyZnJyaGV1cDIOaC4zbGlwNTA0NjA3NnAyDmgucjZjd2p6ZmE4eHIyMg5oLmZiNGxlZ2wycGI5dzIOaC5vN3M4dGJ4OXVmYW8yDmguaHF4dGs5aGt5cmV3Mg5oLmJ4bnJ1MWFvZmdweDIOaC53eHQwZjY1NHdtdXIyDmguazZtNmhjYjVyeGcxMg5oLnVxemY1bnZsYmJvMDIOaC52ZnI3eWloaW1vNHQyDmguZnhmNnQzZnBxY2U2Mg5oLnNsbjhscmxxMTVlejIOaC5rYzV0NjRrZ254aDgyDmgubnF4cnhoNG1hZWR1Mg5oLmhtdHpwa3AxMXhnNjIOaC5qbWJncmZraGI5MjYyDmguaHBtbmMzZ2R2eWN2Mg1oLnlkcDA1aTZubnNwMg5oLjloYzBmNzdkb3BwdzIOaC5sMWE4MmRmZ2p6ZWsyDmguazV6ejRzMW92b2ZnMg5oLnB3ZzE1ZDM3Z290YjINaC4xN2wyenl1N2VjODgAciExVmpTTGJyT0ZhM0NXRmRJckZjRlI2YUVmQ2Q0ZkxQV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