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Pr>
        <w:spacing w:after="160"/>
        <w:jc w:val="left"/>
      </w:pPr>
      <w:r>
        <w:rPr>
          <w:rFonts w:ascii="Calibri" w:hAnsi="Calibri"/>
          <w:b/>
          <w:color w:val="2E74B5"/>
          <w:sz w:val="20"/>
        </w:rPr>
        <w:t>TEKNISK SYSTEMDOKUMENTATION</w:t>
      </w:r>
    </w:p>
    <w:p>
      <w:pPr>
        <w:spacing w:after="200"/>
        <w:jc w:val="left"/>
      </w:pPr>
      <w:r>
        <w:rPr>
          <w:rFonts w:ascii="Calibri" w:hAnsi="Calibri"/>
          <w:b/>
          <w:color w:val="1F3A5F"/>
          <w:sz w:val="54"/>
        </w:rPr>
        <w:t>ACME</w:t>
      </w:r>
    </w:p>
    <w:p>
      <w:pPr>
        <w:spacing w:after="360"/>
        <w:jc w:val="left"/>
      </w:pPr>
      <w:r>
        <w:rPr>
          <w:rFonts w:ascii="Calibri" w:hAnsi="Calibri"/>
          <w:color w:val="1F4D78"/>
          <w:sz w:val="27"/>
        </w:rPr>
        <w:t>Arkitektur, kontrakt, exekvering, persistence och verifiering</w:t>
      </w:r>
    </w:p>
    <w:p>
      <w:pPr>
        <w:spacing w:after="60"/>
        <w:jc w:val="left"/>
      </w:pPr>
      <w:r>
        <w:rPr>
          <w:rFonts w:ascii="Calibri" w:hAnsi="Calibri"/>
          <w:i/>
          <w:color w:val="5B6472"/>
          <w:sz w:val="20"/>
        </w:rPr>
        <w:t>Version: 1.0</w:t>
      </w:r>
    </w:p>
    <w:p>
      <w:pPr>
        <w:spacing w:after="60"/>
        <w:jc w:val="left"/>
      </w:pPr>
      <w:r>
        <w:rPr>
          <w:rFonts w:ascii="Calibri" w:hAnsi="Calibri"/>
          <w:i w:val="0"/>
          <w:color w:val="5B6472"/>
          <w:sz w:val="20"/>
        </w:rPr>
        <w:t>Status: As-built · repository-verifierad</w:t>
      </w:r>
    </w:p>
    <w:p>
      <w:pPr>
        <w:spacing w:after="60"/>
        <w:jc w:val="left"/>
      </w:pPr>
      <w:r>
        <w:rPr>
          <w:rFonts w:ascii="Calibri" w:hAnsi="Calibri"/>
          <w:i/>
          <w:color w:val="5B6472"/>
          <w:sz w:val="20"/>
        </w:rPr>
        <w:t>Datum: 2026-08-06</w:t>
      </w:r>
    </w:p>
    <w:p>
      <w:pPr>
        <w:spacing w:after="60"/>
        <w:jc w:val="left"/>
      </w:pPr>
      <w:r>
        <w:rPr>
          <w:rFonts w:ascii="Calibri" w:hAnsi="Calibri"/>
          <w:i/>
          <w:color w:val="5B6472"/>
          <w:sz w:val="20"/>
        </w:rPr>
        <w:t>Omfattning: Milestone 1–2, Test UI S1–S10 och ADR-0025</w:t>
      </w:r>
    </w:p>
    <w:p>
      <w:r>
        <w:br w:type="page"/>
      </w:r>
    </w:p>
    <w:p>
      <w:pPr>
        <w:pStyle w:val="Heading1"/>
      </w:pPr>
      <w:r>
        <w:t>Dokumentkontroll</w:t>
      </w:r>
    </w:p>
    <w:tbl>
      <w:tblPr>
        <w:tblStyle w:val="TableGrid"/>
        <w:tblW w:type="dxa" w:w="9360"/>
        <w:jc w:val="left"/>
        <w:tblLayout w:type="fixed"/>
        <w:tblLook w:firstColumn="1" w:firstRow="1" w:lastColumn="0" w:lastRow="0" w:noHBand="0" w:noVBand="1" w:val="04A0"/>
        <w:tblInd w:type="dxa" w:w="120"/>
      </w:tblPr>
      <w:tblGrid>
        <w:gridCol w:w="1900"/>
        <w:gridCol w:w="7460"/>
      </w:tblGrid>
      <w:tr>
        <w:trPr>
          <w:tblHeader w:val="true"/>
          <w:cantSplit/>
        </w:trPr>
        <w:tc>
          <w:tcPr>
            <w:tcW w:type="dxa" w:w="1900"/>
            <w:shd w:fill="E8EEF5"/>
            <w:vAlign w:val="center"/>
            <w:tcMar>
              <w:top w:w="80" w:type="dxa"/>
              <w:bottom w:w="80" w:type="dxa"/>
              <w:start w:w="120" w:type="dxa"/>
              <w:end w:w="120" w:type="dxa"/>
            </w:tcMar>
          </w:tcPr>
          <w:p>
            <w:pPr>
              <w:spacing w:before="0" w:after="0" w:line="264" w:lineRule="auto"/>
              <w:jc w:val="left"/>
            </w:pPr>
            <w:r/>
            <w:r>
              <w:rPr>
                <w:rFonts w:ascii="Calibri" w:hAnsi="Calibri"/>
                <w:b/>
                <w:color w:val="111111"/>
                <w:sz w:val="18"/>
              </w:rPr>
              <w:t>Fält</w:t>
            </w:r>
          </w:p>
        </w:tc>
        <w:tc>
          <w:tcPr>
            <w:tcW w:type="dxa" w:w="7460"/>
            <w:shd w:fill="E8EEF5"/>
            <w:vAlign w:val="center"/>
            <w:tcMar>
              <w:top w:w="80" w:type="dxa"/>
              <w:bottom w:w="80" w:type="dxa"/>
              <w:start w:w="120" w:type="dxa"/>
              <w:end w:w="120" w:type="dxa"/>
            </w:tcMar>
          </w:tcPr>
          <w:p>
            <w:pPr>
              <w:spacing w:before="0" w:after="0" w:line="264" w:lineRule="auto"/>
              <w:jc w:val="left"/>
            </w:pPr>
            <w:r/>
            <w:r>
              <w:rPr>
                <w:rFonts w:ascii="Calibri" w:hAnsi="Calibri"/>
                <w:b/>
                <w:color w:val="111111"/>
                <w:sz w:val="18"/>
              </w:rPr>
              <w:t>Värde</w:t>
            </w:r>
          </w:p>
        </w:tc>
      </w:tr>
      <w:tr>
        <w:trPr>
          <w:cantSplit/>
        </w:trPr>
        <w:tc>
          <w:tcPr>
            <w:tcW w:type="dxa" w:w="1900"/>
            <w:vAlign w:val="center"/>
            <w:tcMar>
              <w:top w:w="80" w:type="dxa"/>
              <w:bottom w:w="80" w:type="dxa"/>
              <w:start w:w="120" w:type="dxa"/>
              <w:end w:w="120" w:type="dxa"/>
            </w:tcMar>
          </w:tcPr>
          <w:p>
            <w:pPr>
              <w:spacing w:before="0" w:after="0" w:line="264" w:lineRule="auto"/>
              <w:jc w:val="center"/>
            </w:pPr>
            <w:r/>
            <w:r>
              <w:rPr>
                <w:rFonts w:ascii="Calibri" w:hAnsi="Calibri"/>
                <w:b w:val="0"/>
                <w:color w:val="111111"/>
                <w:sz w:val="18"/>
              </w:rPr>
              <w:t>System</w:t>
            </w:r>
          </w:p>
        </w:tc>
        <w:tc>
          <w:tcPr>
            <w:tcW w:type="dxa" w:w="7460"/>
            <w:vAlign w:val="center"/>
            <w:tcMar>
              <w:top w:w="80" w:type="dxa"/>
              <w:bottom w:w="80" w:type="dxa"/>
              <w:start w:w="120" w:type="dxa"/>
              <w:end w:w="120" w:type="dxa"/>
            </w:tcMar>
          </w:tcPr>
          <w:p>
            <w:pPr>
              <w:spacing w:before="0" w:after="0" w:line="264" w:lineRule="auto"/>
              <w:jc w:val="left"/>
            </w:pPr>
            <w:r/>
            <w:r>
              <w:rPr>
                <w:rFonts w:ascii="Calibri" w:hAnsi="Calibri"/>
                <w:b w:val="0"/>
                <w:color w:val="111111"/>
                <w:sz w:val="18"/>
              </w:rPr>
              <w:t>ACME — Adaptive Context Memory Engine</w:t>
            </w:r>
          </w:p>
        </w:tc>
      </w:tr>
      <w:tr>
        <w:trPr>
          <w:cantSplit/>
        </w:trPr>
        <w:tc>
          <w:tcPr>
            <w:tcW w:type="dxa" w:w="1900"/>
            <w:vAlign w:val="center"/>
            <w:tcMar>
              <w:top w:w="80" w:type="dxa"/>
              <w:bottom w:w="80" w:type="dxa"/>
              <w:start w:w="120" w:type="dxa"/>
              <w:end w:w="120" w:type="dxa"/>
            </w:tcMar>
          </w:tcPr>
          <w:p>
            <w:pPr>
              <w:spacing w:before="0" w:after="0" w:line="264" w:lineRule="auto"/>
              <w:jc w:val="center"/>
            </w:pPr>
            <w:r/>
            <w:r>
              <w:rPr>
                <w:rFonts w:ascii="Calibri" w:hAnsi="Calibri"/>
                <w:b w:val="0"/>
                <w:color w:val="111111"/>
                <w:sz w:val="18"/>
              </w:rPr>
              <w:t>Repository</w:t>
            </w:r>
          </w:p>
        </w:tc>
        <w:tc>
          <w:tcPr>
            <w:tcW w:type="dxa" w:w="7460"/>
            <w:vAlign w:val="center"/>
            <w:tcMar>
              <w:top w:w="80" w:type="dxa"/>
              <w:bottom w:w="80" w:type="dxa"/>
              <w:start w:w="120" w:type="dxa"/>
              <w:end w:w="120" w:type="dxa"/>
            </w:tcMar>
          </w:tcPr>
          <w:p>
            <w:pPr>
              <w:spacing w:before="0" w:after="0" w:line="264" w:lineRule="auto"/>
              <w:jc w:val="center"/>
            </w:pPr>
            <w:r/>
            <w:r>
              <w:rPr>
                <w:rFonts w:ascii="Calibri" w:hAnsi="Calibri"/>
                <w:b w:val="0"/>
                <w:color w:val="111111"/>
                <w:sz w:val="18"/>
              </w:rPr>
              <w:t>acme-engine</w:t>
            </w:r>
          </w:p>
        </w:tc>
      </w:tr>
      <w:tr>
        <w:trPr>
          <w:cantSplit/>
        </w:trPr>
        <w:tc>
          <w:tcPr>
            <w:tcW w:type="dxa" w:w="1900"/>
            <w:vAlign w:val="center"/>
            <w:tcMar>
              <w:top w:w="80" w:type="dxa"/>
              <w:bottom w:w="80" w:type="dxa"/>
              <w:start w:w="120" w:type="dxa"/>
              <w:end w:w="120" w:type="dxa"/>
            </w:tcMar>
          </w:tcPr>
          <w:p>
            <w:pPr>
              <w:spacing w:before="0" w:after="0" w:line="264" w:lineRule="auto"/>
              <w:jc w:val="center"/>
            </w:pPr>
            <w:r/>
            <w:r>
              <w:rPr>
                <w:rFonts w:ascii="Calibri" w:hAnsi="Calibri"/>
                <w:b w:val="0"/>
                <w:color w:val="111111"/>
                <w:sz w:val="18"/>
              </w:rPr>
              <w:t>Utgåva</w:t>
            </w:r>
          </w:p>
        </w:tc>
        <w:tc>
          <w:tcPr>
            <w:tcW w:type="dxa" w:w="7460"/>
            <w:vAlign w:val="center"/>
            <w:tcMar>
              <w:top w:w="80" w:type="dxa"/>
              <w:bottom w:w="80" w:type="dxa"/>
              <w:start w:w="120" w:type="dxa"/>
              <w:end w:w="120" w:type="dxa"/>
            </w:tcMar>
          </w:tcPr>
          <w:p>
            <w:pPr>
              <w:spacing w:before="0" w:after="0" w:line="264" w:lineRule="auto"/>
              <w:jc w:val="left"/>
            </w:pPr>
            <w:r/>
            <w:r>
              <w:rPr>
                <w:rFonts w:ascii="Calibri" w:hAnsi="Calibri"/>
                <w:b w:val="0"/>
                <w:color w:val="111111"/>
                <w:sz w:val="18"/>
              </w:rPr>
              <w:t>As-built 2026-08-06</w:t>
            </w:r>
          </w:p>
        </w:tc>
      </w:tr>
      <w:tr>
        <w:trPr>
          <w:cantSplit/>
        </w:trPr>
        <w:tc>
          <w:tcPr>
            <w:tcW w:type="dxa" w:w="1900"/>
            <w:vAlign w:val="center"/>
            <w:tcMar>
              <w:top w:w="80" w:type="dxa"/>
              <w:bottom w:w="80" w:type="dxa"/>
              <w:start w:w="120" w:type="dxa"/>
              <w:end w:w="120" w:type="dxa"/>
            </w:tcMar>
          </w:tcPr>
          <w:p>
            <w:pPr>
              <w:spacing w:before="0" w:after="0" w:line="264" w:lineRule="auto"/>
              <w:jc w:val="left"/>
            </w:pPr>
            <w:r/>
            <w:r>
              <w:rPr>
                <w:rFonts w:ascii="Calibri" w:hAnsi="Calibri"/>
                <w:b w:val="0"/>
                <w:color w:val="111111"/>
                <w:sz w:val="18"/>
              </w:rPr>
              <w:t>Normativ källa</w:t>
            </w:r>
          </w:p>
        </w:tc>
        <w:tc>
          <w:tcPr>
            <w:tcW w:type="dxa" w:w="7460"/>
            <w:vAlign w:val="center"/>
            <w:tcMar>
              <w:top w:w="80" w:type="dxa"/>
              <w:bottom w:w="80" w:type="dxa"/>
              <w:start w:w="120" w:type="dxa"/>
              <w:end w:w="120" w:type="dxa"/>
            </w:tcMar>
          </w:tcPr>
          <w:p>
            <w:pPr>
              <w:spacing w:before="0" w:after="0" w:line="264" w:lineRule="auto"/>
              <w:jc w:val="left"/>
            </w:pPr>
            <w:r/>
            <w:r>
              <w:rPr>
                <w:rFonts w:ascii="Calibri" w:hAnsi="Calibri"/>
                <w:b w:val="0"/>
                <w:color w:val="111111"/>
                <w:sz w:val="18"/>
              </w:rPr>
              <w:t>Repository docs och accepterade ADR:er</w:t>
            </w:r>
          </w:p>
        </w:tc>
      </w:tr>
      <w:tr>
        <w:trPr>
          <w:cantSplit/>
        </w:trPr>
        <w:tc>
          <w:tcPr>
            <w:tcW w:type="dxa" w:w="1900"/>
            <w:vAlign w:val="center"/>
            <w:tcMar>
              <w:top w:w="80" w:type="dxa"/>
              <w:bottom w:w="80" w:type="dxa"/>
              <w:start w:w="120" w:type="dxa"/>
              <w:end w:w="120" w:type="dxa"/>
            </w:tcMar>
          </w:tcPr>
          <w:p>
            <w:pPr>
              <w:spacing w:before="0" w:after="0" w:line="264" w:lineRule="auto"/>
              <w:jc w:val="left"/>
            </w:pPr>
            <w:r/>
            <w:r>
              <w:rPr>
                <w:rFonts w:ascii="Calibri" w:hAnsi="Calibri"/>
                <w:b w:val="0"/>
                <w:color w:val="111111"/>
                <w:sz w:val="18"/>
              </w:rPr>
              <w:t>Avsedd läsare</w:t>
            </w:r>
          </w:p>
        </w:tc>
        <w:tc>
          <w:tcPr>
            <w:tcW w:type="dxa" w:w="7460"/>
            <w:vAlign w:val="center"/>
            <w:tcMar>
              <w:top w:w="80" w:type="dxa"/>
              <w:bottom w:w="80" w:type="dxa"/>
              <w:start w:w="120" w:type="dxa"/>
              <w:end w:w="120" w:type="dxa"/>
            </w:tcMar>
          </w:tcPr>
          <w:p>
            <w:pPr>
              <w:spacing w:before="0" w:after="0" w:line="264" w:lineRule="auto"/>
              <w:jc w:val="left"/>
            </w:pPr>
            <w:r/>
            <w:r>
              <w:rPr>
                <w:rFonts w:ascii="Calibri" w:hAnsi="Calibri"/>
                <w:b w:val="0"/>
                <w:color w:val="111111"/>
                <w:sz w:val="18"/>
              </w:rPr>
              <w:t>Maintainers, integratörer och tekniska beslutsfattare</w:t>
            </w:r>
          </w:p>
        </w:tc>
      </w:tr>
      <w:tr>
        <w:trPr>
          <w:cantSplit/>
        </w:trPr>
        <w:tc>
          <w:tcPr>
            <w:tcW w:type="dxa" w:w="1900"/>
            <w:vAlign w:val="center"/>
            <w:tcMar>
              <w:top w:w="80" w:type="dxa"/>
              <w:bottom w:w="80" w:type="dxa"/>
              <w:start w:w="120" w:type="dxa"/>
              <w:end w:w="120" w:type="dxa"/>
            </w:tcMar>
          </w:tcPr>
          <w:p>
            <w:pPr>
              <w:spacing w:before="0" w:after="0" w:line="264" w:lineRule="auto"/>
              <w:jc w:val="left"/>
            </w:pPr>
            <w:r/>
            <w:r>
              <w:rPr>
                <w:rFonts w:ascii="Calibri" w:hAnsi="Calibri"/>
                <w:b w:val="0"/>
                <w:color w:val="111111"/>
                <w:sz w:val="18"/>
              </w:rPr>
              <w:t>Ej en del av systemet</w:t>
            </w:r>
          </w:p>
        </w:tc>
        <w:tc>
          <w:tcPr>
            <w:tcW w:type="dxa" w:w="7460"/>
            <w:vAlign w:val="center"/>
            <w:tcMar>
              <w:top w:w="80" w:type="dxa"/>
              <w:bottom w:w="80" w:type="dxa"/>
              <w:start w:w="120" w:type="dxa"/>
              <w:end w:w="120" w:type="dxa"/>
            </w:tcMar>
          </w:tcPr>
          <w:p>
            <w:pPr>
              <w:spacing w:before="0" w:after="0" w:line="264" w:lineRule="auto"/>
              <w:jc w:val="left"/>
            </w:pPr>
            <w:r/>
            <w:r>
              <w:rPr>
                <w:rFonts w:ascii="Calibri" w:hAnsi="Calibri"/>
                <w:b w:val="0"/>
                <w:color w:val="111111"/>
                <w:sz w:val="18"/>
              </w:rPr>
              <w:t>Detta DOCX är härledd dokumentation; Markdown-källorna styr</w:t>
            </w:r>
          </w:p>
        </w:tc>
      </w:tr>
    </w:tbl>
    <w:p>
      <w:pPr>
        <w:pStyle w:val="TableCitation"/>
      </w:pPr>
      <w:r>
        <w:t>Källa: PROJECT_BRIEF.md, CURRENT_STATUS.md och SYSTEMDOC.md.</w:t>
      </w:r>
    </w:p>
    <w:p>
      <w:pPr>
        <w:pStyle w:val="Heading1"/>
      </w:pPr>
      <w:r>
        <w:t>Innehåll</w:t>
      </w:r>
    </w:p>
    <w:p>
      <w:pPr>
        <w:pStyle w:val="Lead"/>
        <w:keepLines w:val="0"/>
      </w:pPr>
      <w:r>
        <w:rPr>
          <w:rFonts w:ascii="Calibri" w:hAnsi="Calibri"/>
        </w:rPr>
        <w:t>Dokumentet är strukturerat för läsning från beslut och principer till kontrakt, implementation och kvarvarande operativa val.</w:t>
      </w:r>
    </w:p>
    <w:p>
      <w:pPr>
        <w:pStyle w:val="ListNumber"/>
        <w:numPr>
          <w:ilvl w:val="0"/>
          <w:numId w:val="10"/>
        </w:numPr>
      </w:pPr>
      <w:r>
        <w:t>Systemöversikt och principer</w:t>
      </w:r>
    </w:p>
    <w:p>
      <w:pPr>
        <w:pStyle w:val="ListNumber"/>
        <w:numPr>
          <w:ilvl w:val="0"/>
          <w:numId w:val="10"/>
        </w:numPr>
      </w:pPr>
      <w:r>
        <w:t>Workspace och beroenderiktning</w:t>
      </w:r>
    </w:p>
    <w:p>
      <w:pPr>
        <w:pStyle w:val="ListNumber"/>
        <w:numPr>
          <w:ilvl w:val="0"/>
          <w:numId w:val="10"/>
        </w:numPr>
      </w:pPr>
      <w:r>
        <w:t>Core contracts och runtime validation</w:t>
      </w:r>
    </w:p>
    <w:p>
      <w:pPr>
        <w:pStyle w:val="ListNumber"/>
        <w:numPr>
          <w:ilvl w:val="0"/>
          <w:numId w:val="10"/>
        </w:numPr>
      </w:pPr>
      <w:r>
        <w:t>ExecutionEngine-protokoll</w:t>
      </w:r>
    </w:p>
    <w:p>
      <w:pPr>
        <w:pStyle w:val="ListNumber"/>
        <w:numPr>
          <w:ilvl w:val="0"/>
          <w:numId w:val="10"/>
        </w:numPr>
      </w:pPr>
      <w:r>
        <w:t>StateEngine och MemoryEngine</w:t>
      </w:r>
    </w:p>
    <w:p>
      <w:pPr>
        <w:pStyle w:val="ListNumber"/>
        <w:numPr>
          <w:ilvl w:val="0"/>
          <w:numId w:val="10"/>
        </w:numPr>
      </w:pPr>
      <w:r>
        <w:t>Repositories och Unit of Work</w:t>
      </w:r>
    </w:p>
    <w:p>
      <w:pPr>
        <w:pStyle w:val="ListNumber"/>
        <w:numPr>
          <w:ilvl w:val="0"/>
          <w:numId w:val="10"/>
        </w:numPr>
      </w:pPr>
      <w:r>
        <w:t>Model gateways och providergräns</w:t>
      </w:r>
    </w:p>
    <w:p>
      <w:pPr>
        <w:pStyle w:val="ListNumber"/>
        <w:numPr>
          <w:ilvl w:val="0"/>
          <w:numId w:val="10"/>
        </w:numPr>
      </w:pPr>
      <w:r>
        <w:t>Replay, resume och retention</w:t>
      </w:r>
    </w:p>
    <w:p>
      <w:pPr>
        <w:pStyle w:val="ListNumber"/>
        <w:numPr>
          <w:ilvl w:val="0"/>
          <w:numId w:val="10"/>
        </w:numPr>
      </w:pPr>
      <w:r>
        <w:t>Outbox delivery boundary</w:t>
      </w:r>
    </w:p>
    <w:p>
      <w:pPr>
        <w:pStyle w:val="ListNumber"/>
        <w:numPr>
          <w:ilvl w:val="0"/>
          <w:numId w:val="10"/>
        </w:numPr>
      </w:pPr>
      <w:r>
        <w:t>Referensmoduler</w:t>
      </w:r>
    </w:p>
    <w:p>
      <w:pPr>
        <w:pStyle w:val="ListNumber"/>
        <w:numPr>
          <w:ilvl w:val="0"/>
          <w:numId w:val="10"/>
        </w:numPr>
      </w:pPr>
      <w:r>
        <w:t>ScenarioRunner v1/v2</w:t>
      </w:r>
    </w:p>
    <w:p>
      <w:pPr>
        <w:pStyle w:val="ListNumber"/>
        <w:numPr>
          <w:ilvl w:val="0"/>
          <w:numId w:val="10"/>
        </w:numPr>
      </w:pPr>
      <w:r>
        <w:t>Post-execution quality evaluation</w:t>
      </w:r>
    </w:p>
    <w:p>
      <w:pPr>
        <w:pStyle w:val="ListNumber"/>
        <w:numPr>
          <w:ilvl w:val="0"/>
          <w:numId w:val="10"/>
        </w:numPr>
      </w:pPr>
      <w:r>
        <w:t>Domain Test UI S1–S10</w:t>
      </w:r>
    </w:p>
    <w:p>
      <w:pPr>
        <w:pStyle w:val="ListNumber"/>
        <w:numPr>
          <w:ilvl w:val="0"/>
          <w:numId w:val="10"/>
        </w:numPr>
      </w:pPr>
      <w:r>
        <w:t>CLI composition root</w:t>
      </w:r>
    </w:p>
    <w:p>
      <w:pPr>
        <w:pStyle w:val="ListNumber"/>
        <w:numPr>
          <w:ilvl w:val="0"/>
          <w:numId w:val="10"/>
        </w:numPr>
      </w:pPr>
      <w:r>
        <w:t>Verifieringsarkitektur</w:t>
      </w:r>
    </w:p>
    <w:p>
      <w:pPr>
        <w:pStyle w:val="ListNumber"/>
        <w:numPr>
          <w:ilvl w:val="0"/>
          <w:numId w:val="10"/>
        </w:numPr>
      </w:pPr>
      <w:r>
        <w:t>Operativa gaps och utvecklarflöde</w:t>
      </w:r>
    </w:p>
    <w:p>
      <w:pPr>
        <w:pStyle w:val="ListNumber"/>
        <w:numPr>
          <w:ilvl w:val="0"/>
          <w:numId w:val="10"/>
        </w:numPr>
      </w:pPr>
      <w:r>
        <w:t>Kontraktsindex och ordlista</w:t>
      </w:r>
    </w:p>
    <w:p>
      <w:r>
        <w:br w:type="page"/>
      </w:r>
    </w:p>
    <w:p>
      <w:pPr>
        <w:pStyle w:val="Heading1"/>
      </w:pPr>
      <w:r>
        <w:t>1. Systemöversikt och principer</w:t>
      </w:r>
    </w:p>
    <w:p>
      <w:pPr>
        <w:pStyle w:val="Lead"/>
        <w:keepLines w:val="0"/>
      </w:pPr>
      <w:r>
        <w:rPr>
          <w:rFonts w:ascii="Calibri" w:hAnsi="Calibri"/>
        </w:rPr>
        <w:t>ACME är en bounded single-task AI execution engine. Systemet tar emot en versionerad ExecutionRequest, anropar en injicerad ModelGateway, validerar ett PromptContract, låter en DomainModule tolka resultatet, applicerar domänägd memory/state-policy och committar ett execution aggregate atomiskt. Replay, inspection och resume läser samma inspelade evidens.</w:t>
      </w:r>
    </w:p>
    <w:p>
      <w:pPr>
        <w:spacing w:before="160" w:after="200" w:line="288" w:lineRule="auto"/>
        <w:ind w:left="259" w:right="259"/>
        <w:shd w:fill="E8EEF5"/>
      </w:pPr>
      <w:r>
        <w:rPr>
          <w:rFonts w:ascii="Calibri" w:hAnsi="Calibri"/>
          <w:b/>
          <w:color w:val="1F3A5F"/>
        </w:rPr>
        <w:t xml:space="preserve">Huvudregel: </w:t>
      </w:r>
      <w:r>
        <w:rPr>
          <w:rFonts w:ascii="Calibri" w:hAnsi="Calibri"/>
          <w:color w:val="111111"/>
        </w:rPr>
        <w:t>Prompt output är en opålitlig kandidat tills runtime- och semantic validation har passerat. Även efter validering krävs explicit delta, reducer, invariants och expected revision före canonical state.</w:t>
      </w:r>
    </w:p>
    <w:p>
      <w:pPr>
        <w:pStyle w:val="Heading2"/>
      </w:pPr>
      <w:r>
        <w:t>1.1 Fasta guardrails</w:t>
      </w:r>
    </w:p>
    <w:p>
      <w:pPr>
        <w:pStyle w:val="ListBullet"/>
      </w:pPr>
      <w:r>
        <w:t>packages/core förblir domänneutral.</w:t>
      </w:r>
    </w:p>
    <w:p>
      <w:pPr>
        <w:pStyle w:val="ListBullet"/>
      </w:pPr>
      <w:r>
        <w:t>Provider-SDK, databas, CLI och transport ligger bakom ports/adapters.</w:t>
      </w:r>
    </w:p>
    <w:p>
      <w:pPr>
        <w:pStyle w:val="ListBullet"/>
      </w:pPr>
      <w:r>
        <w:t>ExecutionEngine kör en task; ScenarioRunner sekvenserar flera tasks.</w:t>
      </w:r>
    </w:p>
    <w:p>
      <w:pPr>
        <w:pStyle w:val="ListBullet"/>
      </w:pPr>
      <w:r>
        <w:t>Execution events är kandidater tills state transaction committar.</w:t>
      </w:r>
    </w:p>
    <w:p>
      <w:pPr>
        <w:pStyle w:val="ListBullet"/>
      </w:pPr>
      <w:r>
        <w:t>Static compile-time registries är standard; dynamic discovery kräver eget bevis.</w:t>
      </w:r>
    </w:p>
    <w:p>
      <w:pPr>
        <w:pStyle w:val="ListBullet"/>
      </w:pPr>
      <w:r>
        <w:t>Live provider calls är opt-in, budgeterade och utanför default CI.</w:t>
      </w:r>
    </w:p>
    <w:p>
      <w:pPr>
        <w:pStyle w:val="Heading1"/>
      </w:pPr>
      <w:r>
        <w:t>2. Workspace och beroenderiktning</w:t>
      </w:r>
    </w:p>
    <w:tbl>
      <w:tblPr>
        <w:tblStyle w:val="TableGrid"/>
        <w:tblW w:type="dxa" w:w="9360"/>
        <w:jc w:val="left"/>
        <w:tblLayout w:type="fixed"/>
        <w:tblLook w:firstColumn="1" w:firstRow="1" w:lastColumn="0" w:lastRow="0" w:noHBand="0" w:noVBand="1" w:val="04A0"/>
        <w:tblInd w:type="dxa" w:w="120"/>
      </w:tblPr>
      <w:tblGrid>
        <w:gridCol w:w="2100"/>
        <w:gridCol w:w="4200"/>
        <w:gridCol w:w="3060"/>
      </w:tblGrid>
      <w:tr>
        <w:trPr>
          <w:tblHeader w:val="true"/>
          <w:cantSplit/>
        </w:trPr>
        <w:tc>
          <w:tcPr>
            <w:tcW w:type="dxa" w:w="2100"/>
            <w:shd w:fill="F2F4F7"/>
            <w:vAlign w:val="center"/>
            <w:tcMar>
              <w:top w:w="80" w:type="dxa"/>
              <w:bottom w:w="80" w:type="dxa"/>
              <w:start w:w="120" w:type="dxa"/>
              <w:end w:w="120" w:type="dxa"/>
            </w:tcMar>
          </w:tcPr>
          <w:p>
            <w:pPr>
              <w:spacing w:before="0" w:after="0" w:line="264" w:lineRule="auto"/>
              <w:jc w:val="left"/>
            </w:pPr>
            <w:r/>
            <w:r>
              <w:rPr>
                <w:rFonts w:ascii="Calibri" w:hAnsi="Calibri"/>
                <w:b/>
                <w:color w:val="111111"/>
                <w:sz w:val="17"/>
              </w:rPr>
              <w:t>Package/app</w:t>
            </w:r>
          </w:p>
        </w:tc>
        <w:tc>
          <w:tcPr>
            <w:tcW w:type="dxa" w:w="4200"/>
            <w:shd w:fill="F2F4F7"/>
            <w:vAlign w:val="center"/>
            <w:tcMar>
              <w:top w:w="80" w:type="dxa"/>
              <w:bottom w:w="80" w:type="dxa"/>
              <w:start w:w="120" w:type="dxa"/>
              <w:end w:w="120" w:type="dxa"/>
            </w:tcMar>
          </w:tcPr>
          <w:p>
            <w:pPr>
              <w:spacing w:before="0" w:after="0" w:line="264" w:lineRule="auto"/>
              <w:jc w:val="left"/>
            </w:pPr>
            <w:r/>
            <w:r>
              <w:rPr>
                <w:rFonts w:ascii="Calibri" w:hAnsi="Calibri"/>
                <w:b/>
                <w:color w:val="111111"/>
                <w:sz w:val="17"/>
              </w:rPr>
              <w:t>Primärt ansvar</w:t>
            </w:r>
          </w:p>
        </w:tc>
        <w:tc>
          <w:tcPr>
            <w:tcW w:type="dxa" w:w="3060"/>
            <w:shd w:fill="F2F4F7"/>
            <w:vAlign w:val="center"/>
            <w:tcMar>
              <w:top w:w="80" w:type="dxa"/>
              <w:bottom w:w="80" w:type="dxa"/>
              <w:start w:w="120" w:type="dxa"/>
              <w:end w:w="120" w:type="dxa"/>
            </w:tcMar>
          </w:tcPr>
          <w:p>
            <w:pPr>
              <w:spacing w:before="0" w:after="0" w:line="264" w:lineRule="auto"/>
              <w:jc w:val="left"/>
            </w:pPr>
            <w:r/>
            <w:r>
              <w:rPr>
                <w:rFonts w:ascii="Calibri" w:hAnsi="Calibri"/>
                <w:b/>
                <w:color w:val="111111"/>
                <w:sz w:val="17"/>
              </w:rPr>
              <w:t>Direkta arkitekturberoenden</w:t>
            </w:r>
          </w:p>
        </w:tc>
      </w:tr>
      <w:tr>
        <w:trPr>
          <w:cantSplit/>
        </w:trPr>
        <w:tc>
          <w:tcPr>
            <w:tcW w:type="dxa" w:w="2100"/>
            <w:vAlign w:val="center"/>
            <w:tcMar>
              <w:top w:w="80" w:type="dxa"/>
              <w:bottom w:w="80" w:type="dxa"/>
              <w:start w:w="120" w:type="dxa"/>
              <w:end w:w="120" w:type="dxa"/>
            </w:tcMar>
          </w:tcPr>
          <w:p>
            <w:pPr>
              <w:spacing w:before="0" w:after="0" w:line="264" w:lineRule="auto"/>
              <w:jc w:val="center"/>
            </w:pPr>
            <w:r/>
            <w:r>
              <w:rPr>
                <w:rFonts w:ascii="Calibri" w:hAnsi="Calibri"/>
                <w:b w:val="0"/>
                <w:color w:val="111111"/>
                <w:sz w:val="17"/>
              </w:rPr>
              <w:t>@acme/core</w:t>
            </w:r>
          </w:p>
        </w:tc>
        <w:tc>
          <w:tcPr>
            <w:tcW w:type="dxa" w:w="4200"/>
            <w:vAlign w:val="center"/>
            <w:tcMar>
              <w:top w:w="80" w:type="dxa"/>
              <w:bottom w:w="80" w:type="dxa"/>
              <w:start w:w="120" w:type="dxa"/>
              <w:end w:w="120" w:type="dxa"/>
            </w:tcMar>
          </w:tcPr>
          <w:p>
            <w:pPr>
              <w:spacing w:before="0" w:after="0" w:line="264" w:lineRule="auto"/>
              <w:jc w:val="left"/>
            </w:pPr>
            <w:r/>
            <w:r>
              <w:rPr>
                <w:rFonts w:ascii="Calibri" w:hAnsi="Calibri"/>
                <w:b w:val="0"/>
                <w:color w:val="111111"/>
                <w:sz w:val="17"/>
              </w:rPr>
              <w:t>Contracts, ports, engines, identity, replay</w:t>
            </w:r>
          </w:p>
        </w:tc>
        <w:tc>
          <w:tcPr>
            <w:tcW w:type="dxa" w:w="3060"/>
            <w:vAlign w:val="center"/>
            <w:tcMar>
              <w:top w:w="80" w:type="dxa"/>
              <w:bottom w:w="80" w:type="dxa"/>
              <w:start w:w="120" w:type="dxa"/>
              <w:end w:w="120" w:type="dxa"/>
            </w:tcMar>
          </w:tcPr>
          <w:p>
            <w:pPr>
              <w:spacing w:before="0" w:after="0" w:line="264" w:lineRule="auto"/>
              <w:jc w:val="left"/>
            </w:pPr>
            <w:r/>
            <w:r>
              <w:rPr>
                <w:rFonts w:ascii="Calibri" w:hAnsi="Calibri"/>
                <w:b w:val="0"/>
                <w:color w:val="111111"/>
                <w:sz w:val="17"/>
              </w:rPr>
              <w:t>Inga modules/adapters/apps</w:t>
            </w:r>
          </w:p>
        </w:tc>
      </w:tr>
      <w:tr>
        <w:trPr>
          <w:cantSplit/>
        </w:trPr>
        <w:tc>
          <w:tcPr>
            <w:tcW w:type="dxa" w:w="2100"/>
            <w:vAlign w:val="center"/>
            <w:tcMar>
              <w:top w:w="80" w:type="dxa"/>
              <w:bottom w:w="80" w:type="dxa"/>
              <w:start w:w="120" w:type="dxa"/>
              <w:end w:w="120" w:type="dxa"/>
            </w:tcMar>
          </w:tcPr>
          <w:p>
            <w:pPr>
              <w:spacing w:before="0" w:after="0" w:line="264" w:lineRule="auto"/>
              <w:jc w:val="left"/>
            </w:pPr>
            <w:r/>
            <w:r>
              <w:rPr>
                <w:rFonts w:ascii="Calibri" w:hAnsi="Calibri"/>
                <w:b w:val="0"/>
                <w:color w:val="111111"/>
                <w:sz w:val="17"/>
              </w:rPr>
              <w:t>@acme/evaluation</w:t>
            </w:r>
          </w:p>
        </w:tc>
        <w:tc>
          <w:tcPr>
            <w:tcW w:type="dxa" w:w="4200"/>
            <w:vAlign w:val="center"/>
            <w:tcMar>
              <w:top w:w="80" w:type="dxa"/>
              <w:bottom w:w="80" w:type="dxa"/>
              <w:start w:w="120" w:type="dxa"/>
              <w:end w:w="120" w:type="dxa"/>
            </w:tcMar>
          </w:tcPr>
          <w:p>
            <w:pPr>
              <w:spacing w:before="0" w:after="0" w:line="264" w:lineRule="auto"/>
              <w:jc w:val="left"/>
            </w:pPr>
            <w:r/>
            <w:r>
              <w:rPr>
                <w:rFonts w:ascii="Calibri" w:hAnsi="Calibri"/>
                <w:b w:val="0"/>
                <w:color w:val="111111"/>
                <w:sz w:val="17"/>
              </w:rPr>
              <w:t>Post-execution subject/result/store contracts</w:t>
            </w:r>
          </w:p>
        </w:tc>
        <w:tc>
          <w:tcPr>
            <w:tcW w:type="dxa" w:w="3060"/>
            <w:vAlign w:val="center"/>
            <w:tcMar>
              <w:top w:w="80" w:type="dxa"/>
              <w:bottom w:w="80" w:type="dxa"/>
              <w:start w:w="120" w:type="dxa"/>
              <w:end w:w="120" w:type="dxa"/>
            </w:tcMar>
          </w:tcPr>
          <w:p>
            <w:pPr>
              <w:spacing w:before="0" w:after="0" w:line="264" w:lineRule="auto"/>
              <w:jc w:val="center"/>
            </w:pPr>
            <w:r/>
            <w:r>
              <w:rPr>
                <w:rFonts w:ascii="Calibri" w:hAnsi="Calibri"/>
                <w:b w:val="0"/>
                <w:color w:val="111111"/>
                <w:sz w:val="17"/>
              </w:rPr>
              <w:t>@acme/core</w:t>
            </w:r>
          </w:p>
        </w:tc>
      </w:tr>
      <w:tr>
        <w:trPr>
          <w:cantSplit/>
        </w:trPr>
        <w:tc>
          <w:tcPr>
            <w:tcW w:type="dxa" w:w="2100"/>
            <w:vAlign w:val="center"/>
            <w:tcMar>
              <w:top w:w="80" w:type="dxa"/>
              <w:bottom w:w="80" w:type="dxa"/>
              <w:start w:w="120" w:type="dxa"/>
              <w:end w:w="120" w:type="dxa"/>
            </w:tcMar>
          </w:tcPr>
          <w:p>
            <w:pPr>
              <w:spacing w:before="0" w:after="0" w:line="264" w:lineRule="auto"/>
              <w:jc w:val="left"/>
            </w:pPr>
            <w:r/>
            <w:r>
              <w:rPr>
                <w:rFonts w:ascii="Calibri" w:hAnsi="Calibri"/>
                <w:b w:val="0"/>
                <w:color w:val="111111"/>
                <w:sz w:val="17"/>
              </w:rPr>
              <w:t>@acme/testing</w:t>
            </w:r>
          </w:p>
        </w:tc>
        <w:tc>
          <w:tcPr>
            <w:tcW w:type="dxa" w:w="4200"/>
            <w:vAlign w:val="center"/>
            <w:tcMar>
              <w:top w:w="80" w:type="dxa"/>
              <w:bottom w:w="80" w:type="dxa"/>
              <w:start w:w="120" w:type="dxa"/>
              <w:end w:w="120" w:type="dxa"/>
            </w:tcMar>
          </w:tcPr>
          <w:p>
            <w:pPr>
              <w:spacing w:before="0" w:after="0" w:line="264" w:lineRule="auto"/>
              <w:jc w:val="left"/>
            </w:pPr>
            <w:r/>
            <w:r>
              <w:rPr>
                <w:rFonts w:ascii="Calibri" w:hAnsi="Calibri"/>
                <w:b w:val="0"/>
                <w:color w:val="111111"/>
                <w:sz w:val="17"/>
              </w:rPr>
              <w:t>Conformance kits och ScenarioRunner</w:t>
            </w:r>
          </w:p>
        </w:tc>
        <w:tc>
          <w:tcPr>
            <w:tcW w:type="dxa" w:w="3060"/>
            <w:vAlign w:val="center"/>
            <w:tcMar>
              <w:top w:w="80" w:type="dxa"/>
              <w:bottom w:w="80" w:type="dxa"/>
              <w:start w:w="120" w:type="dxa"/>
              <w:end w:w="120" w:type="dxa"/>
            </w:tcMar>
          </w:tcPr>
          <w:p>
            <w:pPr>
              <w:spacing w:before="0" w:after="0" w:line="264" w:lineRule="auto"/>
              <w:jc w:val="left"/>
            </w:pPr>
            <w:r/>
            <w:r>
              <w:rPr>
                <w:rFonts w:ascii="Calibri" w:hAnsi="Calibri"/>
                <w:b w:val="0"/>
                <w:color w:val="111111"/>
                <w:sz w:val="17"/>
              </w:rPr>
              <w:t>core + evaluation</w:t>
            </w:r>
          </w:p>
        </w:tc>
      </w:tr>
      <w:tr>
        <w:trPr>
          <w:cantSplit/>
        </w:trPr>
        <w:tc>
          <w:tcPr>
            <w:tcW w:type="dxa" w:w="2100"/>
            <w:vAlign w:val="center"/>
            <w:tcMar>
              <w:top w:w="80" w:type="dxa"/>
              <w:bottom w:w="80" w:type="dxa"/>
              <w:start w:w="120" w:type="dxa"/>
              <w:end w:w="120" w:type="dxa"/>
            </w:tcMar>
          </w:tcPr>
          <w:p>
            <w:pPr>
              <w:spacing w:before="0" w:after="0" w:line="264" w:lineRule="auto"/>
              <w:jc w:val="left"/>
            </w:pPr>
            <w:r/>
            <w:r>
              <w:rPr>
                <w:rFonts w:ascii="Calibri" w:hAnsi="Calibri"/>
                <w:b w:val="0"/>
                <w:color w:val="111111"/>
                <w:sz w:val="17"/>
              </w:rPr>
              <w:t>@acme/adapter-memory</w:t>
            </w:r>
          </w:p>
        </w:tc>
        <w:tc>
          <w:tcPr>
            <w:tcW w:type="dxa" w:w="4200"/>
            <w:vAlign w:val="center"/>
            <w:tcMar>
              <w:top w:w="80" w:type="dxa"/>
              <w:bottom w:w="80" w:type="dxa"/>
              <w:start w:w="120" w:type="dxa"/>
              <w:end w:w="120" w:type="dxa"/>
            </w:tcMar>
          </w:tcPr>
          <w:p>
            <w:pPr>
              <w:spacing w:before="0" w:after="0" w:line="264" w:lineRule="auto"/>
              <w:jc w:val="left"/>
            </w:pPr>
            <w:r/>
            <w:r>
              <w:rPr>
                <w:rFonts w:ascii="Calibri" w:hAnsi="Calibri"/>
                <w:b w:val="0"/>
                <w:color w:val="111111"/>
                <w:sz w:val="17"/>
              </w:rPr>
              <w:t>ExecutionRepository + quality store</w:t>
            </w:r>
          </w:p>
        </w:tc>
        <w:tc>
          <w:tcPr>
            <w:tcW w:type="dxa" w:w="3060"/>
            <w:vAlign w:val="center"/>
            <w:tcMar>
              <w:top w:w="80" w:type="dxa"/>
              <w:bottom w:w="80" w:type="dxa"/>
              <w:start w:w="120" w:type="dxa"/>
              <w:end w:w="120" w:type="dxa"/>
            </w:tcMar>
          </w:tcPr>
          <w:p>
            <w:pPr>
              <w:spacing w:before="0" w:after="0" w:line="264" w:lineRule="auto"/>
              <w:jc w:val="left"/>
            </w:pPr>
            <w:r/>
            <w:r>
              <w:rPr>
                <w:rFonts w:ascii="Calibri" w:hAnsi="Calibri"/>
                <w:b w:val="0"/>
                <w:color w:val="111111"/>
                <w:sz w:val="17"/>
              </w:rPr>
              <w:t>core + evaluation</w:t>
            </w:r>
          </w:p>
        </w:tc>
      </w:tr>
      <w:tr>
        <w:trPr>
          <w:cantSplit/>
        </w:trPr>
        <w:tc>
          <w:tcPr>
            <w:tcW w:type="dxa" w:w="2100"/>
            <w:vAlign w:val="center"/>
            <w:tcMar>
              <w:top w:w="80" w:type="dxa"/>
              <w:bottom w:w="80" w:type="dxa"/>
              <w:start w:w="120" w:type="dxa"/>
              <w:end w:w="120" w:type="dxa"/>
            </w:tcMar>
          </w:tcPr>
          <w:p>
            <w:pPr>
              <w:spacing w:before="0" w:after="0" w:line="264" w:lineRule="auto"/>
              <w:jc w:val="left"/>
            </w:pPr>
            <w:r/>
            <w:r>
              <w:rPr>
                <w:rFonts w:ascii="Calibri" w:hAnsi="Calibri"/>
                <w:b w:val="0"/>
                <w:color w:val="111111"/>
                <w:sz w:val="17"/>
              </w:rPr>
              <w:t>@acme/adapter-sqlite</w:t>
            </w:r>
          </w:p>
        </w:tc>
        <w:tc>
          <w:tcPr>
            <w:tcW w:type="dxa" w:w="4200"/>
            <w:vAlign w:val="center"/>
            <w:tcMar>
              <w:top w:w="80" w:type="dxa"/>
              <w:bottom w:w="80" w:type="dxa"/>
              <w:start w:w="120" w:type="dxa"/>
              <w:end w:w="120" w:type="dxa"/>
            </w:tcMar>
          </w:tcPr>
          <w:p>
            <w:pPr>
              <w:spacing w:before="0" w:after="0" w:line="264" w:lineRule="auto"/>
              <w:jc w:val="left"/>
            </w:pPr>
            <w:r/>
            <w:r>
              <w:rPr>
                <w:rFonts w:ascii="Calibri" w:hAnsi="Calibri"/>
                <w:b w:val="0"/>
                <w:color w:val="111111"/>
                <w:sz w:val="17"/>
              </w:rPr>
              <w:t>Durable execution aggregate</w:t>
            </w:r>
          </w:p>
        </w:tc>
        <w:tc>
          <w:tcPr>
            <w:tcW w:type="dxa" w:w="3060"/>
            <w:vAlign w:val="center"/>
            <w:tcMar>
              <w:top w:w="80" w:type="dxa"/>
              <w:bottom w:w="80" w:type="dxa"/>
              <w:start w:w="120" w:type="dxa"/>
              <w:end w:w="120" w:type="dxa"/>
            </w:tcMar>
          </w:tcPr>
          <w:p>
            <w:pPr>
              <w:spacing w:before="0" w:after="0" w:line="264" w:lineRule="auto"/>
              <w:jc w:val="left"/>
            </w:pPr>
            <w:r/>
            <w:r>
              <w:rPr>
                <w:rFonts w:ascii="Calibri" w:hAnsi="Calibri"/>
                <w:b w:val="0"/>
                <w:color w:val="111111"/>
                <w:sz w:val="17"/>
              </w:rPr>
              <w:t>core + better-sqlite3</w:t>
            </w:r>
          </w:p>
        </w:tc>
      </w:tr>
      <w:tr>
        <w:trPr>
          <w:cantSplit/>
        </w:trPr>
        <w:tc>
          <w:tcPr>
            <w:tcW w:type="dxa" w:w="2100"/>
            <w:vAlign w:val="center"/>
            <w:tcMar>
              <w:top w:w="80" w:type="dxa"/>
              <w:bottom w:w="80" w:type="dxa"/>
              <w:start w:w="120" w:type="dxa"/>
              <w:end w:w="120" w:type="dxa"/>
            </w:tcMar>
          </w:tcPr>
          <w:p>
            <w:pPr>
              <w:spacing w:before="0" w:after="0" w:line="264" w:lineRule="auto"/>
              <w:jc w:val="left"/>
            </w:pPr>
            <w:r/>
            <w:r>
              <w:rPr>
                <w:rFonts w:ascii="Calibri" w:hAnsi="Calibri"/>
                <w:b w:val="0"/>
                <w:color w:val="111111"/>
                <w:sz w:val="17"/>
              </w:rPr>
              <w:t>@acme/adapter-model-mock</w:t>
            </w:r>
          </w:p>
        </w:tc>
        <w:tc>
          <w:tcPr>
            <w:tcW w:type="dxa" w:w="4200"/>
            <w:vAlign w:val="center"/>
            <w:tcMar>
              <w:top w:w="80" w:type="dxa"/>
              <w:bottom w:w="80" w:type="dxa"/>
              <w:start w:w="120" w:type="dxa"/>
              <w:end w:w="120" w:type="dxa"/>
            </w:tcMar>
          </w:tcPr>
          <w:p>
            <w:pPr>
              <w:spacing w:before="0" w:after="0" w:line="264" w:lineRule="auto"/>
              <w:jc w:val="left"/>
            </w:pPr>
            <w:r/>
            <w:r>
              <w:rPr>
                <w:rFonts w:ascii="Calibri" w:hAnsi="Calibri"/>
                <w:b w:val="0"/>
                <w:color w:val="111111"/>
                <w:sz w:val="17"/>
              </w:rPr>
              <w:t>Exact finite model scripts</w:t>
            </w:r>
          </w:p>
        </w:tc>
        <w:tc>
          <w:tcPr>
            <w:tcW w:type="dxa" w:w="3060"/>
            <w:vAlign w:val="center"/>
            <w:tcMar>
              <w:top w:w="80" w:type="dxa"/>
              <w:bottom w:w="80" w:type="dxa"/>
              <w:start w:w="120" w:type="dxa"/>
              <w:end w:w="120" w:type="dxa"/>
            </w:tcMar>
          </w:tcPr>
          <w:p>
            <w:pPr>
              <w:spacing w:before="0" w:after="0" w:line="264" w:lineRule="auto"/>
              <w:jc w:val="center"/>
            </w:pPr>
            <w:r/>
            <w:r>
              <w:rPr>
                <w:rFonts w:ascii="Calibri" w:hAnsi="Calibri"/>
                <w:b w:val="0"/>
                <w:color w:val="111111"/>
                <w:sz w:val="17"/>
              </w:rPr>
              <w:t>core</w:t>
            </w:r>
          </w:p>
        </w:tc>
      </w:tr>
      <w:tr>
        <w:trPr>
          <w:cantSplit/>
        </w:trPr>
        <w:tc>
          <w:tcPr>
            <w:tcW w:type="dxa" w:w="2100"/>
            <w:vAlign w:val="center"/>
            <w:tcMar>
              <w:top w:w="80" w:type="dxa"/>
              <w:bottom w:w="80" w:type="dxa"/>
              <w:start w:w="120" w:type="dxa"/>
              <w:end w:w="120" w:type="dxa"/>
            </w:tcMar>
          </w:tcPr>
          <w:p>
            <w:pPr>
              <w:spacing w:before="0" w:after="0" w:line="264" w:lineRule="auto"/>
              <w:jc w:val="left"/>
            </w:pPr>
            <w:r/>
            <w:r>
              <w:rPr>
                <w:rFonts w:ascii="Calibri" w:hAnsi="Calibri"/>
                <w:b w:val="0"/>
                <w:color w:val="111111"/>
                <w:sz w:val="17"/>
              </w:rPr>
              <w:t>@acme/adapter-model-openai</w:t>
            </w:r>
          </w:p>
        </w:tc>
        <w:tc>
          <w:tcPr>
            <w:tcW w:type="dxa" w:w="4200"/>
            <w:vAlign w:val="center"/>
            <w:tcMar>
              <w:top w:w="80" w:type="dxa"/>
              <w:bottom w:w="80" w:type="dxa"/>
              <w:start w:w="120" w:type="dxa"/>
              <w:end w:w="120" w:type="dxa"/>
            </w:tcMar>
          </w:tcPr>
          <w:p>
            <w:pPr>
              <w:spacing w:before="0" w:after="0" w:line="264" w:lineRule="auto"/>
              <w:jc w:val="left"/>
            </w:pPr>
            <w:r/>
            <w:r>
              <w:rPr>
                <w:rFonts w:ascii="Calibri" w:hAnsi="Calibri"/>
                <w:b w:val="0"/>
                <w:color w:val="111111"/>
                <w:sz w:val="17"/>
              </w:rPr>
              <w:t>Responses mapping + transport port</w:t>
            </w:r>
          </w:p>
        </w:tc>
        <w:tc>
          <w:tcPr>
            <w:tcW w:type="dxa" w:w="3060"/>
            <w:vAlign w:val="center"/>
            <w:tcMar>
              <w:top w:w="80" w:type="dxa"/>
              <w:bottom w:w="80" w:type="dxa"/>
              <w:start w:w="120" w:type="dxa"/>
              <w:end w:w="120" w:type="dxa"/>
            </w:tcMar>
          </w:tcPr>
          <w:p>
            <w:pPr>
              <w:spacing w:before="0" w:after="0" w:line="264" w:lineRule="auto"/>
              <w:jc w:val="center"/>
            </w:pPr>
            <w:r/>
            <w:r>
              <w:rPr>
                <w:rFonts w:ascii="Calibri" w:hAnsi="Calibri"/>
                <w:b w:val="0"/>
                <w:color w:val="111111"/>
                <w:sz w:val="17"/>
              </w:rPr>
              <w:t>core</w:t>
            </w:r>
          </w:p>
        </w:tc>
      </w:tr>
      <w:tr>
        <w:trPr>
          <w:cantSplit/>
        </w:trPr>
        <w:tc>
          <w:tcPr>
            <w:tcW w:type="dxa" w:w="2100"/>
            <w:vAlign w:val="center"/>
            <w:tcMar>
              <w:top w:w="80" w:type="dxa"/>
              <w:bottom w:w="80" w:type="dxa"/>
              <w:start w:w="120" w:type="dxa"/>
              <w:end w:w="120" w:type="dxa"/>
            </w:tcMar>
          </w:tcPr>
          <w:p>
            <w:pPr>
              <w:spacing w:before="0" w:after="0" w:line="264" w:lineRule="auto"/>
              <w:jc w:val="left"/>
            </w:pPr>
            <w:r/>
            <w:r>
              <w:rPr>
                <w:rFonts w:ascii="Calibri" w:hAnsi="Calibri"/>
                <w:b w:val="0"/>
                <w:color w:val="111111"/>
                <w:sz w:val="17"/>
              </w:rPr>
              <w:t>module-narrative/research</w:t>
            </w:r>
          </w:p>
        </w:tc>
        <w:tc>
          <w:tcPr>
            <w:tcW w:type="dxa" w:w="4200"/>
            <w:vAlign w:val="center"/>
            <w:tcMar>
              <w:top w:w="80" w:type="dxa"/>
              <w:bottom w:w="80" w:type="dxa"/>
              <w:start w:w="120" w:type="dxa"/>
              <w:end w:w="120" w:type="dxa"/>
            </w:tcMar>
          </w:tcPr>
          <w:p>
            <w:pPr>
              <w:spacing w:before="0" w:after="0" w:line="264" w:lineRule="auto"/>
              <w:jc w:val="left"/>
            </w:pPr>
            <w:r/>
            <w:r>
              <w:rPr>
                <w:rFonts w:ascii="Calibri" w:hAnsi="Calibri"/>
                <w:b w:val="0"/>
                <w:color w:val="111111"/>
                <w:sz w:val="17"/>
              </w:rPr>
              <w:t>Domain contracts, policy, reducer</w:t>
            </w:r>
          </w:p>
        </w:tc>
        <w:tc>
          <w:tcPr>
            <w:tcW w:type="dxa" w:w="3060"/>
            <w:vAlign w:val="center"/>
            <w:tcMar>
              <w:top w:w="80" w:type="dxa"/>
              <w:bottom w:w="80" w:type="dxa"/>
              <w:start w:w="120" w:type="dxa"/>
              <w:end w:w="120" w:type="dxa"/>
            </w:tcMar>
          </w:tcPr>
          <w:p>
            <w:pPr>
              <w:spacing w:before="0" w:after="0" w:line="264" w:lineRule="auto"/>
              <w:jc w:val="center"/>
            </w:pPr>
            <w:r/>
            <w:r>
              <w:rPr>
                <w:rFonts w:ascii="Calibri" w:hAnsi="Calibri"/>
                <w:b w:val="0"/>
                <w:color w:val="111111"/>
                <w:sz w:val="17"/>
              </w:rPr>
              <w:t>core</w:t>
            </w:r>
          </w:p>
        </w:tc>
      </w:tr>
      <w:tr>
        <w:trPr>
          <w:cantSplit/>
        </w:trPr>
        <w:tc>
          <w:tcPr>
            <w:tcW w:type="dxa" w:w="2100"/>
            <w:vAlign w:val="center"/>
            <w:tcMar>
              <w:top w:w="80" w:type="dxa"/>
              <w:bottom w:w="80" w:type="dxa"/>
              <w:start w:w="120" w:type="dxa"/>
              <w:end w:w="120" w:type="dxa"/>
            </w:tcMar>
          </w:tcPr>
          <w:p>
            <w:pPr>
              <w:spacing w:before="0" w:after="0" w:line="264" w:lineRule="auto"/>
              <w:jc w:val="center"/>
            </w:pPr>
            <w:r/>
            <w:r>
              <w:rPr>
                <w:rFonts w:ascii="Calibri" w:hAnsi="Calibri"/>
                <w:b w:val="0"/>
                <w:color w:val="111111"/>
                <w:sz w:val="17"/>
              </w:rPr>
              <w:t>@acme/cli</w:t>
            </w:r>
          </w:p>
        </w:tc>
        <w:tc>
          <w:tcPr>
            <w:tcW w:type="dxa" w:w="4200"/>
            <w:vAlign w:val="center"/>
            <w:tcMar>
              <w:top w:w="80" w:type="dxa"/>
              <w:bottom w:w="80" w:type="dxa"/>
              <w:start w:w="120" w:type="dxa"/>
              <w:end w:w="120" w:type="dxa"/>
            </w:tcMar>
          </w:tcPr>
          <w:p>
            <w:pPr>
              <w:spacing w:before="0" w:after="0" w:line="264" w:lineRule="auto"/>
              <w:jc w:val="left"/>
            </w:pPr>
            <w:r/>
            <w:r>
              <w:rPr>
                <w:rFonts w:ascii="Calibri" w:hAnsi="Calibri"/>
                <w:b w:val="0"/>
                <w:color w:val="111111"/>
                <w:sz w:val="17"/>
              </w:rPr>
              <w:t>Composition root och commands</w:t>
            </w:r>
          </w:p>
        </w:tc>
        <w:tc>
          <w:tcPr>
            <w:tcW w:type="dxa" w:w="3060"/>
            <w:vAlign w:val="center"/>
            <w:tcMar>
              <w:top w:w="80" w:type="dxa"/>
              <w:bottom w:w="80" w:type="dxa"/>
              <w:start w:w="120" w:type="dxa"/>
              <w:end w:w="120" w:type="dxa"/>
            </w:tcMar>
          </w:tcPr>
          <w:p>
            <w:pPr>
              <w:spacing w:before="0" w:after="0" w:line="264" w:lineRule="auto"/>
              <w:jc w:val="left"/>
            </w:pPr>
            <w:r/>
            <w:r>
              <w:rPr>
                <w:rFonts w:ascii="Calibri" w:hAnsi="Calibri"/>
                <w:b w:val="0"/>
                <w:color w:val="111111"/>
                <w:sz w:val="17"/>
              </w:rPr>
              <w:t>public package surfaces</w:t>
            </w:r>
          </w:p>
        </w:tc>
      </w:tr>
      <w:tr>
        <w:trPr>
          <w:cantSplit/>
        </w:trPr>
        <w:tc>
          <w:tcPr>
            <w:tcW w:type="dxa" w:w="2100"/>
            <w:vAlign w:val="center"/>
            <w:tcMar>
              <w:top w:w="80" w:type="dxa"/>
              <w:bottom w:w="80" w:type="dxa"/>
              <w:start w:w="120" w:type="dxa"/>
              <w:end w:w="120" w:type="dxa"/>
            </w:tcMar>
          </w:tcPr>
          <w:p>
            <w:pPr>
              <w:spacing w:before="0" w:after="0" w:line="264" w:lineRule="auto"/>
              <w:jc w:val="left"/>
            </w:pPr>
            <w:r/>
            <w:r>
              <w:rPr>
                <w:rFonts w:ascii="Calibri" w:hAnsi="Calibri"/>
                <w:b w:val="0"/>
                <w:color w:val="111111"/>
                <w:sz w:val="17"/>
              </w:rPr>
              <w:t>@acme/test-ui</w:t>
            </w:r>
          </w:p>
        </w:tc>
        <w:tc>
          <w:tcPr>
            <w:tcW w:type="dxa" w:w="4200"/>
            <w:vAlign w:val="center"/>
            <w:tcMar>
              <w:top w:w="80" w:type="dxa"/>
              <w:bottom w:w="80" w:type="dxa"/>
              <w:start w:w="120" w:type="dxa"/>
              <w:end w:w="120" w:type="dxa"/>
            </w:tcMar>
          </w:tcPr>
          <w:p>
            <w:pPr>
              <w:spacing w:before="0" w:after="0" w:line="264" w:lineRule="auto"/>
              <w:jc w:val="left"/>
            </w:pPr>
            <w:r/>
            <w:r>
              <w:rPr>
                <w:rFonts w:ascii="Calibri" w:hAnsi="Calibri"/>
                <w:b w:val="0"/>
                <w:color w:val="111111"/>
                <w:sz w:val="17"/>
              </w:rPr>
              <w:t>Pure views + explicit local I/O entries</w:t>
            </w:r>
          </w:p>
        </w:tc>
        <w:tc>
          <w:tcPr>
            <w:tcW w:type="dxa" w:w="3060"/>
            <w:vAlign w:val="center"/>
            <w:tcMar>
              <w:top w:w="80" w:type="dxa"/>
              <w:bottom w:w="80" w:type="dxa"/>
              <w:start w:w="120" w:type="dxa"/>
              <w:end w:w="120" w:type="dxa"/>
            </w:tcMar>
          </w:tcPr>
          <w:p>
            <w:pPr>
              <w:spacing w:before="0" w:after="0" w:line="264" w:lineRule="auto"/>
              <w:jc w:val="left"/>
            </w:pPr>
            <w:r/>
            <w:r>
              <w:rPr>
                <w:rFonts w:ascii="Calibri" w:hAnsi="Calibri"/>
                <w:b w:val="0"/>
                <w:color w:val="111111"/>
                <w:sz w:val="17"/>
              </w:rPr>
              <w:t>public package surfaces; leaf</w:t>
            </w:r>
          </w:p>
        </w:tc>
      </w:tr>
    </w:tbl>
    <w:p>
      <w:pPr>
        <w:pStyle w:val="TableCitation"/>
      </w:pPr>
      <w:r>
        <w:t>Källa: FILESTRUCTURE.md, package manifests och dependency-cruiser.config.mjs.</w:t>
      </w:r>
    </w:p>
    <w:p>
      <w:pPr>
        <w:pStyle w:val="Heading2"/>
      </w:pPr>
      <w:r>
        <w:t>2.1 Tillåten riktning</w:t>
      </w:r>
    </w:p>
    <w:p>
      <w:pPr>
        <w:keepLines w:val="0"/>
      </w:pPr>
      <w:r>
        <w:rPr>
          <w:rFonts w:ascii="Calibri" w:hAnsi="Calibri"/>
        </w:rPr>
        <w:t>apps → adapters/modules → core. Evaluation → core. Testing → core/evaluation. En adapter får översätta wire/driver-vokabulär till generiska ACME-kontrakt men får inte fatta domänbeslut.</w:t>
      </w:r>
    </w:p>
    <w:p>
      <w:pPr>
        <w:pStyle w:val="Heading2"/>
      </w:pPr>
      <w:r>
        <w:t>2.2 Automatiskt enforcement</w:t>
      </w:r>
    </w:p>
    <w:p>
      <w:pPr>
        <w:keepLines w:val="0"/>
      </w:pPr>
      <w:r>
        <w:rPr>
          <w:rFonts w:ascii="Calibri" w:hAnsi="Calibri"/>
        </w:rPr>
        <w:t>dependency-cruiser och negativa fixtures bevisar förbjudna core-, module-, cross-module-, provider-, driver- och Test UI-beroenden. Ett separat vocabulary guard avvisar Narrative/Research-termer under packages/core/src.</w:t>
      </w:r>
    </w:p>
    <w:p>
      <w:pPr>
        <w:pStyle w:val="Heading1"/>
      </w:pPr>
      <w:r>
        <w:t>3. Core contracts och runtime validation</w:t>
      </w:r>
    </w:p>
    <w:p>
      <w:pPr>
        <w:pStyle w:val="Heading2"/>
      </w:pPr>
      <w:r>
        <w:t>3.1 Identiteter och JSON</w:t>
      </w:r>
    </w:p>
    <w:p>
      <w:pPr>
        <w:keepLines w:val="0"/>
      </w:pPr>
      <w:r>
        <w:rPr>
          <w:rFonts w:ascii="Calibri" w:hAnsi="Calibri"/>
        </w:rPr>
        <w:t>Core använder canonical JSON-algoritmen acme-cjson-1 och SHA-256 för request-, response-, operation- och repository-digests. ExecutionId och operation keys härleds från versionerade preimages. Registret returnerar immutabla listor och deterministic fingerprints.</w:t>
      </w:r>
    </w:p>
    <w:p>
      <w:pPr>
        <w:pStyle w:val="Heading2"/>
      </w:pPr>
      <w:r>
        <w:t>3.2 PromptContract och ResponsePipeline</w:t>
      </w:r>
    </w:p>
    <w:p>
      <w:pPr>
        <w:pStyle w:val="ListNumber"/>
        <w:numPr>
          <w:ilvl w:val="0"/>
          <w:numId w:val="11"/>
        </w:numPr>
      </w:pPr>
      <w:r>
        <w:t>Validera task input innan response text inspekteras.</w:t>
      </w:r>
    </w:p>
    <w:p>
      <w:pPr>
        <w:pStyle w:val="ListNumber"/>
        <w:numPr>
          <w:ilvl w:val="0"/>
          <w:numId w:val="11"/>
        </w:numPr>
      </w:pPr>
      <w:r>
        <w:t>Avvisa empty output och parse errors.</w:t>
      </w:r>
    </w:p>
    <w:p>
      <w:pPr>
        <w:pStyle w:val="ListNumber"/>
        <w:numPr>
          <w:ilvl w:val="0"/>
          <w:numId w:val="11"/>
        </w:numPr>
      </w:pPr>
      <w:r>
        <w:t>Validera parsed JSON mot Zod/JSON-schema-kontrakt utan coercion.</w:t>
      </w:r>
    </w:p>
    <w:p>
      <w:pPr>
        <w:pStyle w:val="ListNumber"/>
        <w:numPr>
          <w:ilvl w:val="0"/>
          <w:numId w:val="11"/>
        </w:numPr>
      </w:pPr>
      <w:r>
        <w:t>Kör input-bound semantic validation på detached och deeply frozen input/output.</w:t>
      </w:r>
    </w:p>
    <w:p>
      <w:pPr>
        <w:pStyle w:val="ListNumber"/>
        <w:numPr>
          <w:ilvl w:val="0"/>
          <w:numId w:val="11"/>
        </w:numPr>
      </w:pPr>
      <w:r>
        <w:t>Tillåt endast BOM- och Markdown JSON-fence-cleanup med explicit warning.</w:t>
      </w:r>
    </w:p>
    <w:p>
      <w:pPr>
        <w:pStyle w:val="Heading2"/>
      </w:pPr>
      <w:r>
        <w:t>3.3 Registries och module typing</w:t>
      </w:r>
    </w:p>
    <w:p>
      <w:pPr>
        <w:keepLines w:val="0"/>
      </w:pPr>
      <w:r>
        <w:rPr>
          <w:rFonts w:ascii="Calibri" w:hAnsi="Calibri"/>
        </w:rPr>
        <w:t>ContractRegistry och ModuleRegistry är immutable static registries. Task definition typing binder task name till input/output och state projection vid compile time. Runtime-registret vägrar identity collisions och saknade kontrakt.</w:t>
      </w:r>
    </w:p>
    <w:p>
      <w:pPr>
        <w:pStyle w:val="Heading1"/>
      </w:pPr>
      <w:r>
        <w:t>4. ExecutionEngine-protokoll</w:t>
      </w:r>
    </w:p>
    <w:tbl>
      <w:tblPr>
        <w:tblStyle w:val="TableGrid"/>
        <w:tblW w:type="dxa" w:w="9360"/>
        <w:jc w:val="left"/>
        <w:tblLayout w:type="fixed"/>
        <w:tblLook w:firstColumn="1" w:firstRow="1" w:lastColumn="0" w:lastRow="0" w:noHBand="0" w:noVBand="1" w:val="04A0"/>
        <w:tblInd w:type="dxa" w:w="120"/>
      </w:tblPr>
      <w:tblGrid>
        <w:gridCol w:w="1200"/>
        <w:gridCol w:w="4400"/>
        <w:gridCol w:w="3760"/>
      </w:tblGrid>
      <w:tr>
        <w:trPr>
          <w:tblHeader w:val="true"/>
          <w:cantSplit/>
        </w:trPr>
        <w:tc>
          <w:tcPr>
            <w:tcW w:type="dxa" w:w="1200"/>
            <w:shd w:fill="E8EEF5"/>
            <w:vAlign w:val="center"/>
            <w:tcMar>
              <w:top w:w="80" w:type="dxa"/>
              <w:bottom w:w="80" w:type="dxa"/>
              <w:start w:w="120" w:type="dxa"/>
              <w:end w:w="120" w:type="dxa"/>
            </w:tcMar>
          </w:tcPr>
          <w:p>
            <w:pPr>
              <w:spacing w:before="0" w:after="0" w:line="264" w:lineRule="auto"/>
              <w:jc w:val="left"/>
            </w:pPr>
            <w:r/>
            <w:r>
              <w:rPr>
                <w:rFonts w:ascii="Calibri" w:hAnsi="Calibri"/>
                <w:b/>
                <w:color w:val="111111"/>
                <w:sz w:val="18"/>
              </w:rPr>
              <w:t>Steg</w:t>
            </w:r>
          </w:p>
        </w:tc>
        <w:tc>
          <w:tcPr>
            <w:tcW w:type="dxa" w:w="4400"/>
            <w:shd w:fill="E8EEF5"/>
            <w:vAlign w:val="center"/>
            <w:tcMar>
              <w:top w:w="80" w:type="dxa"/>
              <w:bottom w:w="80" w:type="dxa"/>
              <w:start w:w="120" w:type="dxa"/>
              <w:end w:w="120" w:type="dxa"/>
            </w:tcMar>
          </w:tcPr>
          <w:p>
            <w:pPr>
              <w:spacing w:before="0" w:after="0" w:line="264" w:lineRule="auto"/>
              <w:jc w:val="left"/>
            </w:pPr>
            <w:r/>
            <w:r>
              <w:rPr>
                <w:rFonts w:ascii="Calibri" w:hAnsi="Calibri"/>
                <w:b/>
                <w:color w:val="111111"/>
                <w:sz w:val="18"/>
              </w:rPr>
              <w:t>Ansvar</w:t>
            </w:r>
          </w:p>
        </w:tc>
        <w:tc>
          <w:tcPr>
            <w:tcW w:type="dxa" w:w="3760"/>
            <w:shd w:fill="E8EEF5"/>
            <w:vAlign w:val="center"/>
            <w:tcMar>
              <w:top w:w="80" w:type="dxa"/>
              <w:bottom w:w="80" w:type="dxa"/>
              <w:start w:w="120" w:type="dxa"/>
              <w:end w:w="120" w:type="dxa"/>
            </w:tcMar>
          </w:tcPr>
          <w:p>
            <w:pPr>
              <w:spacing w:before="0" w:after="0" w:line="264" w:lineRule="auto"/>
              <w:jc w:val="left"/>
            </w:pPr>
            <w:r/>
            <w:r>
              <w:rPr>
                <w:rFonts w:ascii="Calibri" w:hAnsi="Calibri"/>
                <w:b/>
                <w:color w:val="111111"/>
                <w:sz w:val="18"/>
              </w:rPr>
              <w:t>Fail-closed effekt</w:t>
            </w:r>
          </w:p>
        </w:tc>
      </w:tr>
      <w:tr>
        <w:trPr>
          <w:cantSplit/>
        </w:trPr>
        <w:tc>
          <w:tcPr>
            <w:tcW w:type="dxa" w:w="1200"/>
            <w:vAlign w:val="center"/>
            <w:tcMar>
              <w:top w:w="80" w:type="dxa"/>
              <w:bottom w:w="80" w:type="dxa"/>
              <w:start w:w="120" w:type="dxa"/>
              <w:end w:w="120" w:type="dxa"/>
            </w:tcMar>
          </w:tcPr>
          <w:p>
            <w:pPr>
              <w:spacing w:before="0" w:after="0" w:line="264" w:lineRule="auto"/>
              <w:jc w:val="center"/>
            </w:pPr>
            <w:r/>
            <w:r>
              <w:rPr>
                <w:rFonts w:ascii="Calibri" w:hAnsi="Calibri"/>
                <w:b w:val="0"/>
                <w:color w:val="111111"/>
                <w:sz w:val="18"/>
              </w:rPr>
              <w:t>accept/load</w:t>
            </w:r>
          </w:p>
        </w:tc>
        <w:tc>
          <w:tcPr>
            <w:tcW w:type="dxa" w:w="4400"/>
            <w:vAlign w:val="center"/>
            <w:tcMar>
              <w:top w:w="80" w:type="dxa"/>
              <w:bottom w:w="80" w:type="dxa"/>
              <w:start w:w="120" w:type="dxa"/>
              <w:end w:w="120" w:type="dxa"/>
            </w:tcMar>
          </w:tcPr>
          <w:p>
            <w:pPr>
              <w:spacing w:before="0" w:after="0" w:line="264" w:lineRule="auto"/>
              <w:jc w:val="left"/>
            </w:pPr>
            <w:r/>
            <w:r>
              <w:rPr>
                <w:rFonts w:ascii="Calibri" w:hAnsi="Calibri"/>
                <w:b w:val="0"/>
                <w:color w:val="111111"/>
                <w:sz w:val="18"/>
              </w:rPr>
              <w:t>Request, idempotency, revision</w:t>
            </w:r>
          </w:p>
        </w:tc>
        <w:tc>
          <w:tcPr>
            <w:tcW w:type="dxa" w:w="3760"/>
            <w:vAlign w:val="center"/>
            <w:tcMar>
              <w:top w:w="80" w:type="dxa"/>
              <w:bottom w:w="80" w:type="dxa"/>
              <w:start w:w="120" w:type="dxa"/>
              <w:end w:w="120" w:type="dxa"/>
            </w:tcMar>
          </w:tcPr>
          <w:p>
            <w:pPr>
              <w:spacing w:before="0" w:after="0" w:line="264" w:lineRule="auto"/>
              <w:jc w:val="left"/>
            </w:pPr>
            <w:r/>
            <w:r>
              <w:rPr>
                <w:rFonts w:ascii="Calibri" w:hAnsi="Calibri"/>
                <w:b w:val="0"/>
                <w:color w:val="111111"/>
                <w:sz w:val="18"/>
              </w:rPr>
              <w:t>No call / no write</w:t>
            </w:r>
          </w:p>
        </w:tc>
      </w:tr>
      <w:tr>
        <w:trPr>
          <w:cantSplit/>
        </w:trPr>
        <w:tc>
          <w:tcPr>
            <w:tcW w:type="dxa" w:w="1200"/>
            <w:vAlign w:val="center"/>
            <w:tcMar>
              <w:top w:w="80" w:type="dxa"/>
              <w:bottom w:w="80" w:type="dxa"/>
              <w:start w:w="120" w:type="dxa"/>
              <w:end w:w="120" w:type="dxa"/>
            </w:tcMar>
          </w:tcPr>
          <w:p>
            <w:pPr>
              <w:spacing w:before="0" w:after="0" w:line="264" w:lineRule="auto"/>
              <w:jc w:val="center"/>
            </w:pPr>
            <w:r/>
            <w:r>
              <w:rPr>
                <w:rFonts w:ascii="Calibri" w:hAnsi="Calibri"/>
                <w:b w:val="0"/>
                <w:color w:val="111111"/>
                <w:sz w:val="18"/>
              </w:rPr>
              <w:t>model call</w:t>
            </w:r>
          </w:p>
        </w:tc>
        <w:tc>
          <w:tcPr>
            <w:tcW w:type="dxa" w:w="4400"/>
            <w:vAlign w:val="center"/>
            <w:tcMar>
              <w:top w:w="80" w:type="dxa"/>
              <w:bottom w:w="80" w:type="dxa"/>
              <w:start w:w="120" w:type="dxa"/>
              <w:end w:w="120" w:type="dxa"/>
            </w:tcMar>
          </w:tcPr>
          <w:p>
            <w:pPr>
              <w:spacing w:before="0" w:after="0" w:line="264" w:lineRule="auto"/>
              <w:jc w:val="left"/>
            </w:pPr>
            <w:r/>
            <w:r>
              <w:rPr>
                <w:rFonts w:ascii="Calibri" w:hAnsi="Calibri"/>
                <w:b w:val="0"/>
                <w:color w:val="111111"/>
                <w:sz w:val="18"/>
              </w:rPr>
              <w:t>Reserve, invoke, normalize, record</w:t>
            </w:r>
          </w:p>
        </w:tc>
        <w:tc>
          <w:tcPr>
            <w:tcW w:type="dxa" w:w="3760"/>
            <w:vAlign w:val="center"/>
            <w:tcMar>
              <w:top w:w="80" w:type="dxa"/>
              <w:bottom w:w="80" w:type="dxa"/>
              <w:start w:w="120" w:type="dxa"/>
              <w:end w:w="120" w:type="dxa"/>
            </w:tcMar>
          </w:tcPr>
          <w:p>
            <w:pPr>
              <w:spacing w:before="0" w:after="0" w:line="264" w:lineRule="auto"/>
              <w:jc w:val="left"/>
            </w:pPr>
            <w:r/>
            <w:r>
              <w:rPr>
                <w:rFonts w:ascii="Calibri" w:hAnsi="Calibri"/>
                <w:b w:val="0"/>
                <w:color w:val="111111"/>
                <w:sz w:val="18"/>
              </w:rPr>
              <w:t>Terminal classified evidence</w:t>
            </w:r>
          </w:p>
        </w:tc>
      </w:tr>
      <w:tr>
        <w:trPr>
          <w:cantSplit/>
        </w:trPr>
        <w:tc>
          <w:tcPr>
            <w:tcW w:type="dxa" w:w="1200"/>
            <w:vAlign w:val="center"/>
            <w:tcMar>
              <w:top w:w="80" w:type="dxa"/>
              <w:bottom w:w="80" w:type="dxa"/>
              <w:start w:w="120" w:type="dxa"/>
              <w:end w:w="120" w:type="dxa"/>
            </w:tcMar>
          </w:tcPr>
          <w:p>
            <w:pPr>
              <w:spacing w:before="0" w:after="0" w:line="264" w:lineRule="auto"/>
              <w:jc w:val="center"/>
            </w:pPr>
            <w:r/>
            <w:r>
              <w:rPr>
                <w:rFonts w:ascii="Calibri" w:hAnsi="Calibri"/>
                <w:b w:val="0"/>
                <w:color w:val="111111"/>
                <w:sz w:val="18"/>
              </w:rPr>
              <w:t>validate</w:t>
            </w:r>
          </w:p>
        </w:tc>
        <w:tc>
          <w:tcPr>
            <w:tcW w:type="dxa" w:w="4400"/>
            <w:vAlign w:val="center"/>
            <w:tcMar>
              <w:top w:w="80" w:type="dxa"/>
              <w:bottom w:w="80" w:type="dxa"/>
              <w:start w:w="120" w:type="dxa"/>
              <w:end w:w="120" w:type="dxa"/>
            </w:tcMar>
          </w:tcPr>
          <w:p>
            <w:pPr>
              <w:spacing w:before="0" w:after="0" w:line="264" w:lineRule="auto"/>
              <w:jc w:val="left"/>
            </w:pPr>
            <w:r/>
            <w:r>
              <w:rPr>
                <w:rFonts w:ascii="Calibri" w:hAnsi="Calibri"/>
                <w:b w:val="0"/>
                <w:color w:val="111111"/>
                <w:sz w:val="18"/>
              </w:rPr>
              <w:t>Parse/schema/semantic</w:t>
            </w:r>
          </w:p>
        </w:tc>
        <w:tc>
          <w:tcPr>
            <w:tcW w:type="dxa" w:w="3760"/>
            <w:vAlign w:val="center"/>
            <w:tcMar>
              <w:top w:w="80" w:type="dxa"/>
              <w:bottom w:w="80" w:type="dxa"/>
              <w:start w:w="120" w:type="dxa"/>
              <w:end w:w="120" w:type="dxa"/>
            </w:tcMar>
          </w:tcPr>
          <w:p>
            <w:pPr>
              <w:spacing w:before="0" w:after="0" w:line="264" w:lineRule="auto"/>
              <w:jc w:val="left"/>
            </w:pPr>
            <w:r/>
            <w:r>
              <w:rPr>
                <w:rFonts w:ascii="Calibri" w:hAnsi="Calibri"/>
                <w:b w:val="0"/>
                <w:color w:val="111111"/>
                <w:sz w:val="18"/>
              </w:rPr>
              <w:t>No canonical write</w:t>
            </w:r>
          </w:p>
        </w:tc>
      </w:tr>
      <w:tr>
        <w:trPr>
          <w:cantSplit/>
        </w:trPr>
        <w:tc>
          <w:tcPr>
            <w:tcW w:type="dxa" w:w="1200"/>
            <w:vAlign w:val="center"/>
            <w:tcMar>
              <w:top w:w="80" w:type="dxa"/>
              <w:bottom w:w="80" w:type="dxa"/>
              <w:start w:w="120" w:type="dxa"/>
              <w:end w:w="120" w:type="dxa"/>
            </w:tcMar>
          </w:tcPr>
          <w:p>
            <w:pPr>
              <w:spacing w:before="0" w:after="0" w:line="264" w:lineRule="auto"/>
              <w:jc w:val="center"/>
            </w:pPr>
            <w:r/>
            <w:r>
              <w:rPr>
                <w:rFonts w:ascii="Calibri" w:hAnsi="Calibri"/>
                <w:b w:val="0"/>
                <w:color w:val="111111"/>
                <w:sz w:val="18"/>
              </w:rPr>
              <w:t>interpret</w:t>
            </w:r>
          </w:p>
        </w:tc>
        <w:tc>
          <w:tcPr>
            <w:tcW w:type="dxa" w:w="4400"/>
            <w:vAlign w:val="center"/>
            <w:tcMar>
              <w:top w:w="80" w:type="dxa"/>
              <w:bottom w:w="80" w:type="dxa"/>
              <w:start w:w="120" w:type="dxa"/>
              <w:end w:w="120" w:type="dxa"/>
            </w:tcMar>
          </w:tcPr>
          <w:p>
            <w:pPr>
              <w:spacing w:before="0" w:after="0" w:line="264" w:lineRule="auto"/>
              <w:jc w:val="left"/>
            </w:pPr>
            <w:r/>
            <w:r>
              <w:rPr>
                <w:rFonts w:ascii="Calibri" w:hAnsi="Calibri"/>
                <w:b w:val="0"/>
                <w:color w:val="111111"/>
                <w:sz w:val="18"/>
              </w:rPr>
              <w:t>Domain ModuleResult</w:t>
            </w:r>
          </w:p>
        </w:tc>
        <w:tc>
          <w:tcPr>
            <w:tcW w:type="dxa" w:w="3760"/>
            <w:vAlign w:val="center"/>
            <w:tcMar>
              <w:top w:w="80" w:type="dxa"/>
              <w:bottom w:w="80" w:type="dxa"/>
              <w:start w:w="120" w:type="dxa"/>
              <w:end w:w="120" w:type="dxa"/>
            </w:tcMar>
          </w:tcPr>
          <w:p>
            <w:pPr>
              <w:spacing w:before="0" w:after="0" w:line="264" w:lineRule="auto"/>
              <w:jc w:val="left"/>
            </w:pPr>
            <w:r/>
            <w:r>
              <w:rPr>
                <w:rFonts w:ascii="Calibri" w:hAnsi="Calibri"/>
                <w:b w:val="0"/>
                <w:color w:val="111111"/>
                <w:sz w:val="18"/>
              </w:rPr>
              <w:t>No memory/state mutation</w:t>
            </w:r>
          </w:p>
        </w:tc>
      </w:tr>
      <w:tr>
        <w:trPr>
          <w:cantSplit/>
        </w:trPr>
        <w:tc>
          <w:tcPr>
            <w:tcW w:type="dxa" w:w="1200"/>
            <w:vAlign w:val="center"/>
            <w:tcMar>
              <w:top w:w="80" w:type="dxa"/>
              <w:bottom w:w="80" w:type="dxa"/>
              <w:start w:w="120" w:type="dxa"/>
              <w:end w:w="120" w:type="dxa"/>
            </w:tcMar>
          </w:tcPr>
          <w:p>
            <w:pPr>
              <w:spacing w:before="0" w:after="0" w:line="264" w:lineRule="auto"/>
              <w:jc w:val="center"/>
            </w:pPr>
            <w:r/>
            <w:r>
              <w:rPr>
                <w:rFonts w:ascii="Calibri" w:hAnsi="Calibri"/>
                <w:b w:val="0"/>
                <w:color w:val="111111"/>
                <w:sz w:val="18"/>
              </w:rPr>
              <w:t>prepare</w:t>
            </w:r>
          </w:p>
        </w:tc>
        <w:tc>
          <w:tcPr>
            <w:tcW w:type="dxa" w:w="4400"/>
            <w:vAlign w:val="center"/>
            <w:tcMar>
              <w:top w:w="80" w:type="dxa"/>
              <w:bottom w:w="80" w:type="dxa"/>
              <w:start w:w="120" w:type="dxa"/>
              <w:end w:w="120" w:type="dxa"/>
            </w:tcMar>
          </w:tcPr>
          <w:p>
            <w:pPr>
              <w:spacing w:before="0" w:after="0" w:line="264" w:lineRule="auto"/>
              <w:jc w:val="left"/>
            </w:pPr>
            <w:r/>
            <w:r>
              <w:rPr>
                <w:rFonts w:ascii="Calibri" w:hAnsi="Calibri"/>
                <w:b w:val="0"/>
                <w:color w:val="111111"/>
                <w:sz w:val="18"/>
              </w:rPr>
              <w:t>Memory, projection, invariants, digest</w:t>
            </w:r>
          </w:p>
        </w:tc>
        <w:tc>
          <w:tcPr>
            <w:tcW w:type="dxa" w:w="3760"/>
            <w:vAlign w:val="center"/>
            <w:tcMar>
              <w:top w:w="80" w:type="dxa"/>
              <w:bottom w:w="80" w:type="dxa"/>
              <w:start w:w="120" w:type="dxa"/>
              <w:end w:w="120" w:type="dxa"/>
            </w:tcMar>
          </w:tcPr>
          <w:p>
            <w:pPr>
              <w:spacing w:before="0" w:after="0" w:line="264" w:lineRule="auto"/>
              <w:jc w:val="left"/>
            </w:pPr>
            <w:r/>
            <w:r>
              <w:rPr>
                <w:rFonts w:ascii="Calibri" w:hAnsi="Calibri"/>
                <w:b w:val="0"/>
                <w:color w:val="111111"/>
                <w:sz w:val="18"/>
              </w:rPr>
              <w:t>No partial commit</w:t>
            </w:r>
          </w:p>
        </w:tc>
      </w:tr>
      <w:tr>
        <w:trPr>
          <w:cantSplit/>
        </w:trPr>
        <w:tc>
          <w:tcPr>
            <w:tcW w:type="dxa" w:w="1200"/>
            <w:vAlign w:val="center"/>
            <w:tcMar>
              <w:top w:w="80" w:type="dxa"/>
              <w:bottom w:w="80" w:type="dxa"/>
              <w:start w:w="120" w:type="dxa"/>
              <w:end w:w="120" w:type="dxa"/>
            </w:tcMar>
          </w:tcPr>
          <w:p>
            <w:pPr>
              <w:spacing w:before="0" w:after="0" w:line="264" w:lineRule="auto"/>
              <w:jc w:val="center"/>
            </w:pPr>
            <w:r/>
            <w:r>
              <w:rPr>
                <w:rFonts w:ascii="Calibri" w:hAnsi="Calibri"/>
                <w:b w:val="0"/>
                <w:color w:val="111111"/>
                <w:sz w:val="18"/>
              </w:rPr>
              <w:t>commit</w:t>
            </w:r>
          </w:p>
        </w:tc>
        <w:tc>
          <w:tcPr>
            <w:tcW w:type="dxa" w:w="4400"/>
            <w:vAlign w:val="center"/>
            <w:tcMar>
              <w:top w:w="80" w:type="dxa"/>
              <w:bottom w:w="80" w:type="dxa"/>
              <w:start w:w="120" w:type="dxa"/>
              <w:end w:w="120" w:type="dxa"/>
            </w:tcMar>
          </w:tcPr>
          <w:p>
            <w:pPr>
              <w:spacing w:before="0" w:after="0" w:line="264" w:lineRule="auto"/>
              <w:jc w:val="left"/>
            </w:pPr>
            <w:r/>
            <w:r>
              <w:rPr>
                <w:rFonts w:ascii="Calibri" w:hAnsi="Calibri"/>
                <w:b w:val="0"/>
                <w:color w:val="111111"/>
                <w:sz w:val="18"/>
              </w:rPr>
              <w:t>Aggregate UoW + CAS</w:t>
            </w:r>
          </w:p>
        </w:tc>
        <w:tc>
          <w:tcPr>
            <w:tcW w:type="dxa" w:w="3760"/>
            <w:vAlign w:val="center"/>
            <w:tcMar>
              <w:top w:w="80" w:type="dxa"/>
              <w:bottom w:w="80" w:type="dxa"/>
              <w:start w:w="120" w:type="dxa"/>
              <w:end w:w="120" w:type="dxa"/>
            </w:tcMar>
          </w:tcPr>
          <w:p>
            <w:pPr>
              <w:spacing w:before="0" w:after="0" w:line="264" w:lineRule="auto"/>
              <w:jc w:val="left"/>
            </w:pPr>
            <w:r/>
            <w:r>
              <w:rPr>
                <w:rFonts w:ascii="Calibri" w:hAnsi="Calibri"/>
                <w:b w:val="0"/>
                <w:color w:val="111111"/>
                <w:sz w:val="18"/>
              </w:rPr>
              <w:t>Rollback on any fault</w:t>
            </w:r>
          </w:p>
        </w:tc>
      </w:tr>
      <w:tr>
        <w:trPr>
          <w:cantSplit/>
        </w:trPr>
        <w:tc>
          <w:tcPr>
            <w:tcW w:type="dxa" w:w="1200"/>
            <w:vAlign w:val="center"/>
            <w:tcMar>
              <w:top w:w="80" w:type="dxa"/>
              <w:bottom w:w="80" w:type="dxa"/>
              <w:start w:w="120" w:type="dxa"/>
              <w:end w:w="120" w:type="dxa"/>
            </w:tcMar>
          </w:tcPr>
          <w:p>
            <w:pPr>
              <w:spacing w:before="0" w:after="0" w:line="264" w:lineRule="auto"/>
              <w:jc w:val="center"/>
            </w:pPr>
            <w:r/>
            <w:r>
              <w:rPr>
                <w:rFonts w:ascii="Calibri" w:hAnsi="Calibri"/>
                <w:b w:val="0"/>
                <w:color w:val="111111"/>
                <w:sz w:val="18"/>
              </w:rPr>
              <w:t>replay</w:t>
            </w:r>
          </w:p>
        </w:tc>
        <w:tc>
          <w:tcPr>
            <w:tcW w:type="dxa" w:w="4400"/>
            <w:vAlign w:val="center"/>
            <w:tcMar>
              <w:top w:w="80" w:type="dxa"/>
              <w:bottom w:w="80" w:type="dxa"/>
              <w:start w:w="120" w:type="dxa"/>
              <w:end w:w="120" w:type="dxa"/>
            </w:tcMar>
          </w:tcPr>
          <w:p>
            <w:pPr>
              <w:spacing w:before="0" w:after="0" w:line="264" w:lineRule="auto"/>
              <w:jc w:val="left"/>
            </w:pPr>
            <w:r/>
            <w:r>
              <w:rPr>
                <w:rFonts w:ascii="Calibri" w:hAnsi="Calibri"/>
                <w:b w:val="0"/>
                <w:color w:val="111111"/>
                <w:sz w:val="18"/>
              </w:rPr>
              <w:t>Read-set verification</w:t>
            </w:r>
          </w:p>
        </w:tc>
        <w:tc>
          <w:tcPr>
            <w:tcW w:type="dxa" w:w="3760"/>
            <w:vAlign w:val="center"/>
            <w:tcMar>
              <w:top w:w="80" w:type="dxa"/>
              <w:bottom w:w="80" w:type="dxa"/>
              <w:start w:w="120" w:type="dxa"/>
              <w:end w:w="120" w:type="dxa"/>
            </w:tcMar>
          </w:tcPr>
          <w:p>
            <w:pPr>
              <w:spacing w:before="0" w:after="0" w:line="264" w:lineRule="auto"/>
              <w:jc w:val="left"/>
            </w:pPr>
            <w:r/>
            <w:r>
              <w:rPr>
                <w:rFonts w:ascii="Calibri" w:hAnsi="Calibri"/>
                <w:b w:val="0"/>
                <w:color w:val="111111"/>
                <w:sz w:val="18"/>
              </w:rPr>
              <w:t>match/different/unavailable</w:t>
            </w:r>
          </w:p>
        </w:tc>
      </w:tr>
    </w:tbl>
    <w:p>
      <w:pPr>
        <w:pStyle w:val="TableCitation"/>
      </w:pPr>
      <w:r>
        <w:t>Källa: SYSTEMDOC.md och design specification section 14.</w:t>
      </w:r>
    </w:p>
    <w:p>
      <w:pPr>
        <w:pStyle w:val="Heading2"/>
      </w:pPr>
      <w:r>
        <w:t>4.1 Idempotency</w:t>
      </w:r>
    </w:p>
    <w:p>
      <w:pPr>
        <w:keepLines w:val="0"/>
      </w:pPr>
      <w:r>
        <w:rPr>
          <w:rFonts w:ascii="Calibri" w:hAnsi="Calibri"/>
        </w:rPr>
        <w:t>Samma request key och samma fingerprint returnerar samma terminala execution result. Samma key med annan fingerprint är conflict. Model call reservation/outcome gör det möjligt att resume utan att upprepa ett säkert inspelat call.</w:t>
      </w:r>
    </w:p>
    <w:p>
      <w:pPr>
        <w:pStyle w:val="Heading2"/>
      </w:pPr>
      <w:r>
        <w:t>4.2 Error semantics</w:t>
      </w:r>
    </w:p>
    <w:p>
      <w:pPr>
        <w:keepLines w:val="0"/>
      </w:pPr>
      <w:r>
        <w:rPr>
          <w:rFonts w:ascii="Calibri" w:hAnsi="Calibri"/>
        </w:rPr>
        <w:t>AcmeError använder en sluten provider- och driverneutral taxonomy. Oväntade råa fel faller tillbaka till INTERNAL. Den öppna driver-error-proposalens avsikt är att varje konkret adapter mappar privata driver codes, exempelvis SQLITE_BUSY, till generiska PERSISTENCE_TRANSIENT/PERSISTENCE_CORRUPTION utan att core känner SQLite.</w:t>
      </w:r>
    </w:p>
    <w:p>
      <w:pPr>
        <w:pStyle w:val="Heading1"/>
      </w:pPr>
      <w:r>
        <w:t>5. StateEngine och MemoryEngine</w:t>
      </w:r>
    </w:p>
    <w:p>
      <w:pPr>
        <w:pStyle w:val="Heading2"/>
      </w:pPr>
      <w:r>
        <w:t>5.1 StateEngine</w:t>
      </w:r>
    </w:p>
    <w:p>
      <w:pPr>
        <w:keepLines w:val="0"/>
      </w:pPr>
      <w:r>
        <w:rPr>
          <w:rFonts w:ascii="Calibri" w:hAnsi="Calibri"/>
        </w:rPr>
        <w:t>StateEngine är pure och revisionsstyrd. En transition kräver namespace/entity, explicit delta, expected revision, domänreducer och invariants. Reducern får inte läsa wall-clock, env, filesystem eller provider. En stale expected revision avvisas innan model call när revisionen kan kontrolleras.</w:t>
      </w:r>
    </w:p>
    <w:p>
      <w:pPr>
        <w:pStyle w:val="Heading2"/>
      </w:pPr>
      <w:r>
        <w:t>5.2 MemoryEngine</w:t>
      </w:r>
    </w:p>
    <w:p>
      <w:pPr>
        <w:keepLines w:val="0"/>
      </w:pPr>
      <w:r>
        <w:rPr>
          <w:rFonts w:ascii="Calibri" w:hAnsi="Calibri"/>
        </w:rPr>
        <w:t>MemoryEngine separerar generic mechanics från domain meaning. Candidates korreleras exakt till decisions; endast applied decisions når state projection. Retrieval scores måste vara finite och tie ordering är deterministisk. Create/supersede identities allokeras först efter att hela beslutet validerats.</w:t>
      </w:r>
    </w:p>
    <w:tbl>
      <w:tblPr>
        <w:tblStyle w:val="TableGrid"/>
        <w:tblW w:type="dxa" w:w="9360"/>
        <w:jc w:val="left"/>
        <w:tblLayout w:type="fixed"/>
        <w:tblLook w:firstColumn="1" w:firstRow="1" w:lastColumn="0" w:lastRow="0" w:noHBand="0" w:noVBand="1" w:val="04A0"/>
        <w:tblInd w:type="dxa" w:w="120"/>
      </w:tblPr>
      <w:tblGrid>
        <w:gridCol w:w="1700"/>
        <w:gridCol w:w="3300"/>
        <w:gridCol w:w="4360"/>
      </w:tblGrid>
      <w:tr>
        <w:trPr>
          <w:tblHeader w:val="true"/>
          <w:cantSplit/>
        </w:trPr>
        <w:tc>
          <w:tcPr>
            <w:tcW w:type="dxa" w:w="1700"/>
            <w:shd w:fill="F2F4F7"/>
            <w:vAlign w:val="center"/>
            <w:tcMar>
              <w:top w:w="80" w:type="dxa"/>
              <w:bottom w:w="80" w:type="dxa"/>
              <w:start w:w="120" w:type="dxa"/>
              <w:end w:w="120" w:type="dxa"/>
            </w:tcMar>
          </w:tcPr>
          <w:p>
            <w:pPr>
              <w:spacing w:before="0" w:after="0" w:line="264" w:lineRule="auto"/>
              <w:jc w:val="left"/>
            </w:pPr>
            <w:r/>
            <w:r>
              <w:rPr>
                <w:rFonts w:ascii="Calibri" w:hAnsi="Calibri"/>
                <w:b/>
                <w:color w:val="111111"/>
                <w:sz w:val="18"/>
              </w:rPr>
              <w:t>Memory status</w:t>
            </w:r>
          </w:p>
        </w:tc>
        <w:tc>
          <w:tcPr>
            <w:tcW w:type="dxa" w:w="3300"/>
            <w:shd w:fill="F2F4F7"/>
            <w:vAlign w:val="center"/>
            <w:tcMar>
              <w:top w:w="80" w:type="dxa"/>
              <w:bottom w:w="80" w:type="dxa"/>
              <w:start w:w="120" w:type="dxa"/>
              <w:end w:w="120" w:type="dxa"/>
            </w:tcMar>
          </w:tcPr>
          <w:p>
            <w:pPr>
              <w:spacing w:before="0" w:after="0" w:line="264" w:lineRule="auto"/>
              <w:jc w:val="left"/>
            </w:pPr>
            <w:r/>
            <w:r>
              <w:rPr>
                <w:rFonts w:ascii="Calibri" w:hAnsi="Calibri"/>
                <w:b/>
                <w:color w:val="111111"/>
                <w:sz w:val="18"/>
              </w:rPr>
              <w:t>Mekanisk betydelse</w:t>
            </w:r>
          </w:p>
        </w:tc>
        <w:tc>
          <w:tcPr>
            <w:tcW w:type="dxa" w:w="4360"/>
            <w:shd w:fill="F2F4F7"/>
            <w:vAlign w:val="center"/>
            <w:tcMar>
              <w:top w:w="80" w:type="dxa"/>
              <w:bottom w:w="80" w:type="dxa"/>
              <w:start w:w="120" w:type="dxa"/>
              <w:end w:w="120" w:type="dxa"/>
            </w:tcMar>
          </w:tcPr>
          <w:p>
            <w:pPr>
              <w:spacing w:before="0" w:after="0" w:line="264" w:lineRule="auto"/>
              <w:jc w:val="left"/>
            </w:pPr>
            <w:r/>
            <w:r>
              <w:rPr>
                <w:rFonts w:ascii="Calibri" w:hAnsi="Calibri"/>
                <w:b/>
                <w:color w:val="111111"/>
                <w:sz w:val="18"/>
              </w:rPr>
              <w:t>Domänens ansvar</w:t>
            </w:r>
          </w:p>
        </w:tc>
      </w:tr>
      <w:tr>
        <w:trPr>
          <w:cantSplit/>
        </w:trPr>
        <w:tc>
          <w:tcPr>
            <w:tcW w:type="dxa" w:w="1700"/>
            <w:vAlign w:val="center"/>
            <w:tcMar>
              <w:top w:w="80" w:type="dxa"/>
              <w:bottom w:w="80" w:type="dxa"/>
              <w:start w:w="120" w:type="dxa"/>
              <w:end w:w="120" w:type="dxa"/>
            </w:tcMar>
          </w:tcPr>
          <w:p>
            <w:pPr>
              <w:spacing w:before="0" w:after="0" w:line="264" w:lineRule="auto"/>
              <w:jc w:val="center"/>
            </w:pPr>
            <w:r/>
            <w:r>
              <w:rPr>
                <w:rFonts w:ascii="Calibri" w:hAnsi="Calibri"/>
                <w:b w:val="0"/>
                <w:color w:val="111111"/>
                <w:sz w:val="18"/>
              </w:rPr>
              <w:t>ignored</w:t>
            </w:r>
          </w:p>
        </w:tc>
        <w:tc>
          <w:tcPr>
            <w:tcW w:type="dxa" w:w="3300"/>
            <w:vAlign w:val="center"/>
            <w:tcMar>
              <w:top w:w="80" w:type="dxa"/>
              <w:bottom w:w="80" w:type="dxa"/>
              <w:start w:w="120" w:type="dxa"/>
              <w:end w:w="120" w:type="dxa"/>
            </w:tcMar>
          </w:tcPr>
          <w:p>
            <w:pPr>
              <w:spacing w:before="0" w:after="0" w:line="264" w:lineRule="auto"/>
              <w:jc w:val="left"/>
            </w:pPr>
            <w:r/>
            <w:r>
              <w:rPr>
                <w:rFonts w:ascii="Calibri" w:hAnsi="Calibri"/>
                <w:b w:val="0"/>
                <w:color w:val="111111"/>
                <w:sz w:val="18"/>
              </w:rPr>
              <w:t>Candidate behålls som evidens</w:t>
            </w:r>
          </w:p>
        </w:tc>
        <w:tc>
          <w:tcPr>
            <w:tcW w:type="dxa" w:w="4360"/>
            <w:vAlign w:val="center"/>
            <w:tcMar>
              <w:top w:w="80" w:type="dxa"/>
              <w:bottom w:w="80" w:type="dxa"/>
              <w:start w:w="120" w:type="dxa"/>
              <w:end w:w="120" w:type="dxa"/>
            </w:tcMar>
          </w:tcPr>
          <w:p>
            <w:pPr>
              <w:spacing w:before="0" w:after="0" w:line="264" w:lineRule="auto"/>
              <w:jc w:val="left"/>
            </w:pPr>
            <w:r/>
            <w:r>
              <w:rPr>
                <w:rFonts w:ascii="Calibri" w:hAnsi="Calibri"/>
                <w:b w:val="0"/>
                <w:color w:val="111111"/>
                <w:sz w:val="18"/>
              </w:rPr>
              <w:t>Varför informationen inte används</w:t>
            </w:r>
          </w:p>
        </w:tc>
      </w:tr>
      <w:tr>
        <w:trPr>
          <w:cantSplit/>
        </w:trPr>
        <w:tc>
          <w:tcPr>
            <w:tcW w:type="dxa" w:w="1700"/>
            <w:vAlign w:val="center"/>
            <w:tcMar>
              <w:top w:w="80" w:type="dxa"/>
              <w:bottom w:w="80" w:type="dxa"/>
              <w:start w:w="120" w:type="dxa"/>
              <w:end w:w="120" w:type="dxa"/>
            </w:tcMar>
          </w:tcPr>
          <w:p>
            <w:pPr>
              <w:spacing w:before="0" w:after="0" w:line="264" w:lineRule="auto"/>
              <w:jc w:val="center"/>
            </w:pPr>
            <w:r/>
            <w:r>
              <w:rPr>
                <w:rFonts w:ascii="Calibri" w:hAnsi="Calibri"/>
                <w:b w:val="0"/>
                <w:color w:val="111111"/>
                <w:sz w:val="18"/>
              </w:rPr>
              <w:t>rejected</w:t>
            </w:r>
          </w:p>
        </w:tc>
        <w:tc>
          <w:tcPr>
            <w:tcW w:type="dxa" w:w="3300"/>
            <w:vAlign w:val="center"/>
            <w:tcMar>
              <w:top w:w="80" w:type="dxa"/>
              <w:bottom w:w="80" w:type="dxa"/>
              <w:start w:w="120" w:type="dxa"/>
              <w:end w:w="120" w:type="dxa"/>
            </w:tcMar>
          </w:tcPr>
          <w:p>
            <w:pPr>
              <w:spacing w:before="0" w:after="0" w:line="264" w:lineRule="auto"/>
              <w:jc w:val="left"/>
            </w:pPr>
            <w:r/>
            <w:r>
              <w:rPr>
                <w:rFonts w:ascii="Calibri" w:hAnsi="Calibri"/>
                <w:b w:val="0"/>
                <w:color w:val="111111"/>
                <w:sz w:val="18"/>
              </w:rPr>
              <w:t>Ingen canonical memory mutation</w:t>
            </w:r>
          </w:p>
        </w:tc>
        <w:tc>
          <w:tcPr>
            <w:tcW w:type="dxa" w:w="4360"/>
            <w:vAlign w:val="center"/>
            <w:tcMar>
              <w:top w:w="80" w:type="dxa"/>
              <w:bottom w:w="80" w:type="dxa"/>
              <w:start w:w="120" w:type="dxa"/>
              <w:end w:w="120" w:type="dxa"/>
            </w:tcMar>
          </w:tcPr>
          <w:p>
            <w:pPr>
              <w:spacing w:before="0" w:after="0" w:line="264" w:lineRule="auto"/>
              <w:jc w:val="left"/>
            </w:pPr>
            <w:r/>
            <w:r>
              <w:rPr>
                <w:rFonts w:ascii="Calibri" w:hAnsi="Calibri"/>
                <w:b w:val="0"/>
                <w:color w:val="111111"/>
                <w:sz w:val="18"/>
              </w:rPr>
              <w:t>Invalid/unsafe/inconsistent semantics</w:t>
            </w:r>
          </w:p>
        </w:tc>
      </w:tr>
      <w:tr>
        <w:trPr>
          <w:cantSplit/>
        </w:trPr>
        <w:tc>
          <w:tcPr>
            <w:tcW w:type="dxa" w:w="1700"/>
            <w:vAlign w:val="center"/>
            <w:tcMar>
              <w:top w:w="80" w:type="dxa"/>
              <w:bottom w:w="80" w:type="dxa"/>
              <w:start w:w="120" w:type="dxa"/>
              <w:end w:w="120" w:type="dxa"/>
            </w:tcMar>
          </w:tcPr>
          <w:p>
            <w:pPr>
              <w:spacing w:before="0" w:after="0" w:line="264" w:lineRule="auto"/>
              <w:jc w:val="center"/>
            </w:pPr>
            <w:r/>
            <w:r>
              <w:rPr>
                <w:rFonts w:ascii="Calibri" w:hAnsi="Calibri"/>
                <w:b w:val="0"/>
                <w:color w:val="111111"/>
                <w:sz w:val="18"/>
              </w:rPr>
              <w:t>applied</w:t>
            </w:r>
          </w:p>
        </w:tc>
        <w:tc>
          <w:tcPr>
            <w:tcW w:type="dxa" w:w="3300"/>
            <w:vAlign w:val="center"/>
            <w:tcMar>
              <w:top w:w="80" w:type="dxa"/>
              <w:bottom w:w="80" w:type="dxa"/>
              <w:start w:w="120" w:type="dxa"/>
              <w:end w:w="120" w:type="dxa"/>
            </w:tcMar>
          </w:tcPr>
          <w:p>
            <w:pPr>
              <w:spacing w:before="0" w:after="0" w:line="264" w:lineRule="auto"/>
              <w:jc w:val="left"/>
            </w:pPr>
            <w:r/>
            <w:r>
              <w:rPr>
                <w:rFonts w:ascii="Calibri" w:hAnsi="Calibri"/>
                <w:b w:val="0"/>
                <w:color w:val="111111"/>
                <w:sz w:val="18"/>
              </w:rPr>
              <w:t>Create/update/supersede mutation</w:t>
            </w:r>
          </w:p>
        </w:tc>
        <w:tc>
          <w:tcPr>
            <w:tcW w:type="dxa" w:w="4360"/>
            <w:vAlign w:val="center"/>
            <w:tcMar>
              <w:top w:w="80" w:type="dxa"/>
              <w:bottom w:w="80" w:type="dxa"/>
              <w:start w:w="120" w:type="dxa"/>
              <w:end w:w="120" w:type="dxa"/>
            </w:tcMar>
          </w:tcPr>
          <w:p>
            <w:pPr>
              <w:spacing w:before="0" w:after="0" w:line="264" w:lineRule="auto"/>
              <w:jc w:val="left"/>
            </w:pPr>
            <w:r/>
            <w:r>
              <w:rPr>
                <w:rFonts w:ascii="Calibri" w:hAnsi="Calibri"/>
                <w:b w:val="0"/>
                <w:color w:val="111111"/>
                <w:sz w:val="18"/>
              </w:rPr>
              <w:t>Identity, merge, promotion policy</w:t>
            </w:r>
          </w:p>
        </w:tc>
      </w:tr>
    </w:tbl>
    <w:p>
      <w:pPr>
        <w:pStyle w:val="Heading1"/>
      </w:pPr>
      <w:r>
        <w:t>6. Repositories och Unit of Work</w:t>
      </w:r>
    </w:p>
    <w:p>
      <w:pPr>
        <w:pStyle w:val="Heading2"/>
      </w:pPr>
      <w:r>
        <w:t>6.1 ExecutionRepository-port</w:t>
      </w:r>
    </w:p>
    <w:p>
      <w:pPr>
        <w:keepLines w:val="0"/>
      </w:pPr>
      <w:r>
        <w:rPr>
          <w:rFonts w:ascii="Calibri" w:hAnsi="Calibri"/>
        </w:rPr>
        <w:t>Porten modellerar ett aggregate med execution metadata, model calls, evaluation evidence, documents, memory candidates/decisions/mutations, state snapshot/transition, events och outbox. Reads returnerar detached och immutable data.</w:t>
      </w:r>
    </w:p>
    <w:p>
      <w:pPr>
        <w:pStyle w:val="Heading2"/>
      </w:pPr>
      <w:r>
        <w:t>6.2 In-memory adapter</w:t>
      </w:r>
    </w:p>
    <w:p>
      <w:pPr>
        <w:keepLines w:val="0"/>
      </w:pPr>
      <w:r>
        <w:rPr>
          <w:rFonts w:ascii="Calibri" w:hAnsi="Calibri"/>
        </w:rPr>
        <w:t>Copy-on-commit transactions ger deterministic tester och fault injection men ingen process-durability. Samma adapter-package innehåller separat append-only in-memory QualityEvaluationStore; den är inte del av execution aggregate.</w:t>
      </w:r>
    </w:p>
    <w:p>
      <w:pPr>
        <w:pStyle w:val="Heading2"/>
      </w:pPr>
      <w:r>
        <w:t>6.3 SQLite adapter</w:t>
      </w:r>
    </w:p>
    <w:p>
      <w:pPr>
        <w:pStyle w:val="ListBullet"/>
      </w:pPr>
      <w:r>
        <w:t>WAL mode och ordered checksum-verified migrations.</w:t>
      </w:r>
    </w:p>
    <w:p>
      <w:pPr>
        <w:pStyle w:val="ListBullet"/>
      </w:pPr>
      <w:r>
        <w:t>BEGIN IMMEDIATE för aggregate Unit of Work.</w:t>
      </w:r>
    </w:p>
    <w:p>
      <w:pPr>
        <w:pStyle w:val="ListBullet"/>
      </w:pPr>
      <w:r>
        <w:t>Driver-level compare-and-swap för state revision.</w:t>
      </w:r>
    </w:p>
    <w:p>
      <w:pPr>
        <w:pStyle w:val="ListBullet"/>
      </w:pPr>
      <w:r>
        <w:t>Injected mid-transaction fault och reopen bevisar rollback.</w:t>
      </w:r>
    </w:p>
    <w:p>
      <w:pPr>
        <w:pStyle w:val="ListBullet"/>
      </w:pPr>
      <w:r>
        <w:t>Encrypted payload retention lagrar ciphertext när encryptor injiceras.</w:t>
      </w:r>
    </w:p>
    <w:p>
      <w:pPr>
        <w:pStyle w:val="Heading1"/>
      </w:pPr>
      <w:r>
        <w:t>7. Model gateways och providergräns</w:t>
      </w:r>
    </w:p>
    <w:p>
      <w:pPr>
        <w:pStyle w:val="Heading2"/>
      </w:pPr>
      <w:r>
        <w:t>7.1 Deterministic mock</w:t>
      </w:r>
    </w:p>
    <w:p>
      <w:pPr>
        <w:keepLines w:val="0"/>
      </w:pPr>
      <w:r>
        <w:rPr>
          <w:rFonts w:ascii="Calibri" w:hAnsi="Calibri"/>
        </w:rPr>
        <w:t>ScriptedModelGateway matchar exakt selection, request hash och call identity. Scripts konsumeras en gång i deterministisk ordning. Saknade eller överblivna scripts är testfel; ingen nondeterministic fallback finns.</w:t>
      </w:r>
    </w:p>
    <w:p>
      <w:pPr>
        <w:pStyle w:val="Heading2"/>
      </w:pPr>
      <w:r>
        <w:t>7.2 OpenAI Responses adapter</w:t>
      </w:r>
    </w:p>
    <w:p>
      <w:pPr>
        <w:keepLines w:val="0"/>
      </w:pPr>
      <w:r>
        <w:rPr>
          <w:rFonts w:ascii="Calibri" w:hAnsi="Calibri"/>
        </w:rPr>
        <w:t>Adaptern mappar ACME ModelRequest till Responses-wire bakom en injicerad ProviderTransport. Canonical JSON Schemas sänks till providerens strict structured-output subset; konstruktioner som inte kan sänkas vägras lokalt före dispatch. fetch-transporten exporteras från separat entrypoint så default-import inte ger nätverkseffekt.</w:t>
      </w:r>
    </w:p>
    <w:p>
      <w:pPr>
        <w:pStyle w:val="Heading2"/>
      </w:pPr>
      <w:r>
        <w:t>7.3 Live gate</w:t>
      </w:r>
    </w:p>
    <w:p>
      <w:pPr>
        <w:keepLines w:val="0"/>
      </w:pPr>
      <w:r>
        <w:rPr>
          <w:rFonts w:ascii="Calibri" w:hAnsi="Calibri"/>
        </w:rPr>
        <w:t>Live tests och CLI/Test UI är opt-in och credentials läses endast i composition root. Budget, retention och confirmation dokumenteras per run. Default CI är secret-free och använder mocks/fixtures.</w:t>
      </w:r>
    </w:p>
    <w:p>
      <w:pPr>
        <w:pStyle w:val="Heading1"/>
      </w:pPr>
      <w:r>
        <w:t>8. Replay, resume och retention</w:t>
      </w:r>
    </w:p>
    <w:tbl>
      <w:tblPr>
        <w:tblStyle w:val="TableGrid"/>
        <w:tblW w:type="dxa" w:w="9360"/>
        <w:jc w:val="left"/>
        <w:tblLayout w:type="fixed"/>
        <w:tblLook w:firstColumn="1" w:firstRow="1" w:lastColumn="0" w:lastRow="0" w:noHBand="0" w:noVBand="1" w:val="04A0"/>
        <w:tblInd w:type="dxa" w:w="120"/>
      </w:tblPr>
      <w:tblGrid>
        <w:gridCol w:w="1700"/>
        <w:gridCol w:w="4000"/>
        <w:gridCol w:w="3660"/>
      </w:tblGrid>
      <w:tr>
        <w:trPr>
          <w:tblHeader w:val="true"/>
          <w:cantSplit/>
        </w:trPr>
        <w:tc>
          <w:tcPr>
            <w:tcW w:type="dxa" w:w="1700"/>
            <w:shd w:fill="E8EEF5"/>
            <w:vAlign w:val="center"/>
            <w:tcMar>
              <w:top w:w="80" w:type="dxa"/>
              <w:bottom w:w="80" w:type="dxa"/>
              <w:start w:w="120" w:type="dxa"/>
              <w:end w:w="120" w:type="dxa"/>
            </w:tcMar>
          </w:tcPr>
          <w:p>
            <w:pPr>
              <w:spacing w:before="0" w:after="0" w:line="264" w:lineRule="auto"/>
              <w:jc w:val="left"/>
            </w:pPr>
            <w:r/>
            <w:r>
              <w:rPr>
                <w:rFonts w:ascii="Calibri" w:hAnsi="Calibri"/>
                <w:b/>
                <w:color w:val="111111"/>
                <w:sz w:val="18"/>
              </w:rPr>
              <w:t>Funktion</w:t>
            </w:r>
          </w:p>
        </w:tc>
        <w:tc>
          <w:tcPr>
            <w:tcW w:type="dxa" w:w="4000"/>
            <w:shd w:fill="E8EEF5"/>
            <w:vAlign w:val="center"/>
            <w:tcMar>
              <w:top w:w="80" w:type="dxa"/>
              <w:bottom w:w="80" w:type="dxa"/>
              <w:start w:w="120" w:type="dxa"/>
              <w:end w:w="120" w:type="dxa"/>
            </w:tcMar>
          </w:tcPr>
          <w:p>
            <w:pPr>
              <w:spacing w:before="0" w:after="0" w:line="264" w:lineRule="auto"/>
              <w:jc w:val="left"/>
            </w:pPr>
            <w:r/>
            <w:r>
              <w:rPr>
                <w:rFonts w:ascii="Calibri" w:hAnsi="Calibri"/>
                <w:b/>
                <w:color w:val="111111"/>
                <w:sz w:val="18"/>
              </w:rPr>
              <w:t>Input</w:t>
            </w:r>
          </w:p>
        </w:tc>
        <w:tc>
          <w:tcPr>
            <w:tcW w:type="dxa" w:w="3660"/>
            <w:shd w:fill="E8EEF5"/>
            <w:vAlign w:val="center"/>
            <w:tcMar>
              <w:top w:w="80" w:type="dxa"/>
              <w:bottom w:w="80" w:type="dxa"/>
              <w:start w:w="120" w:type="dxa"/>
              <w:end w:w="120" w:type="dxa"/>
            </w:tcMar>
          </w:tcPr>
          <w:p>
            <w:pPr>
              <w:spacing w:before="0" w:after="0" w:line="264" w:lineRule="auto"/>
              <w:jc w:val="left"/>
            </w:pPr>
            <w:r/>
            <w:r>
              <w:rPr>
                <w:rFonts w:ascii="Calibri" w:hAnsi="Calibri"/>
                <w:b/>
                <w:color w:val="111111"/>
                <w:sz w:val="18"/>
              </w:rPr>
              <w:t>Resultat</w:t>
            </w:r>
          </w:p>
        </w:tc>
      </w:tr>
      <w:tr>
        <w:trPr>
          <w:cantSplit/>
        </w:trPr>
        <w:tc>
          <w:tcPr>
            <w:tcW w:type="dxa" w:w="1700"/>
            <w:vAlign w:val="center"/>
            <w:tcMar>
              <w:top w:w="80" w:type="dxa"/>
              <w:bottom w:w="80" w:type="dxa"/>
              <w:start w:w="120" w:type="dxa"/>
              <w:end w:w="120" w:type="dxa"/>
            </w:tcMar>
          </w:tcPr>
          <w:p>
            <w:pPr>
              <w:spacing w:before="0" w:after="0" w:line="264" w:lineRule="auto"/>
              <w:jc w:val="left"/>
            </w:pPr>
            <w:r/>
            <w:r>
              <w:rPr>
                <w:rFonts w:ascii="Calibri" w:hAnsi="Calibri"/>
                <w:b w:val="0"/>
                <w:color w:val="111111"/>
                <w:sz w:val="18"/>
              </w:rPr>
              <w:t>Replay verify</w:t>
            </w:r>
          </w:p>
        </w:tc>
        <w:tc>
          <w:tcPr>
            <w:tcW w:type="dxa" w:w="4000"/>
            <w:vAlign w:val="center"/>
            <w:tcMar>
              <w:top w:w="80" w:type="dxa"/>
              <w:bottom w:w="80" w:type="dxa"/>
              <w:start w:w="120" w:type="dxa"/>
              <w:end w:w="120" w:type="dxa"/>
            </w:tcMar>
          </w:tcPr>
          <w:p>
            <w:pPr>
              <w:spacing w:before="0" w:after="0" w:line="264" w:lineRule="auto"/>
              <w:jc w:val="left"/>
            </w:pPr>
            <w:r/>
            <w:r>
              <w:rPr>
                <w:rFonts w:ascii="Calibri" w:hAnsi="Calibri"/>
                <w:b w:val="0"/>
                <w:color w:val="111111"/>
                <w:sz w:val="18"/>
              </w:rPr>
              <w:t>Portable immutable read-set</w:t>
            </w:r>
          </w:p>
        </w:tc>
        <w:tc>
          <w:tcPr>
            <w:tcW w:type="dxa" w:w="3660"/>
            <w:vAlign w:val="center"/>
            <w:tcMar>
              <w:top w:w="80" w:type="dxa"/>
              <w:bottom w:w="80" w:type="dxa"/>
              <w:start w:w="120" w:type="dxa"/>
              <w:end w:w="120" w:type="dxa"/>
            </w:tcMar>
          </w:tcPr>
          <w:p>
            <w:pPr>
              <w:spacing w:before="0" w:after="0" w:line="264" w:lineRule="auto"/>
              <w:jc w:val="left"/>
            </w:pPr>
            <w:r/>
            <w:r>
              <w:rPr>
                <w:rFonts w:ascii="Calibri" w:hAnsi="Calibri"/>
                <w:b w:val="0"/>
                <w:color w:val="111111"/>
                <w:sz w:val="18"/>
              </w:rPr>
              <w:t>match / different / unavailable</w:t>
            </w:r>
          </w:p>
        </w:tc>
      </w:tr>
      <w:tr>
        <w:trPr>
          <w:cantSplit/>
        </w:trPr>
        <w:tc>
          <w:tcPr>
            <w:tcW w:type="dxa" w:w="1700"/>
            <w:vAlign w:val="center"/>
            <w:tcMar>
              <w:top w:w="80" w:type="dxa"/>
              <w:bottom w:w="80" w:type="dxa"/>
              <w:start w:w="120" w:type="dxa"/>
              <w:end w:w="120" w:type="dxa"/>
            </w:tcMar>
          </w:tcPr>
          <w:p>
            <w:pPr>
              <w:spacing w:before="0" w:after="0" w:line="264" w:lineRule="auto"/>
              <w:jc w:val="center"/>
            </w:pPr>
            <w:r/>
            <w:r>
              <w:rPr>
                <w:rFonts w:ascii="Calibri" w:hAnsi="Calibri"/>
                <w:b w:val="0"/>
                <w:color w:val="111111"/>
                <w:sz w:val="18"/>
              </w:rPr>
              <w:t>Resume</w:t>
            </w:r>
          </w:p>
        </w:tc>
        <w:tc>
          <w:tcPr>
            <w:tcW w:type="dxa" w:w="4000"/>
            <w:vAlign w:val="center"/>
            <w:tcMar>
              <w:top w:w="80" w:type="dxa"/>
              <w:bottom w:w="80" w:type="dxa"/>
              <w:start w:w="120" w:type="dxa"/>
              <w:end w:w="120" w:type="dxa"/>
            </w:tcMar>
          </w:tcPr>
          <w:p>
            <w:pPr>
              <w:spacing w:before="0" w:after="0" w:line="264" w:lineRule="auto"/>
              <w:jc w:val="left"/>
            </w:pPr>
            <w:r/>
            <w:r>
              <w:rPr>
                <w:rFonts w:ascii="Calibri" w:hAnsi="Calibri"/>
                <w:b w:val="0"/>
                <w:color w:val="111111"/>
                <w:sz w:val="18"/>
              </w:rPr>
              <w:t>Recorded model calls + highest attempt</w:t>
            </w:r>
          </w:p>
        </w:tc>
        <w:tc>
          <w:tcPr>
            <w:tcW w:type="dxa" w:w="3660"/>
            <w:vAlign w:val="center"/>
            <w:tcMar>
              <w:top w:w="80" w:type="dxa"/>
              <w:bottom w:w="80" w:type="dxa"/>
              <w:start w:w="120" w:type="dxa"/>
              <w:end w:w="120" w:type="dxa"/>
            </w:tcMar>
          </w:tcPr>
          <w:p>
            <w:pPr>
              <w:spacing w:before="0" w:after="0" w:line="264" w:lineRule="auto"/>
              <w:jc w:val="left"/>
            </w:pPr>
            <w:r/>
            <w:r>
              <w:rPr>
                <w:rFonts w:ascii="Calibri" w:hAnsi="Calibri"/>
                <w:b w:val="0"/>
                <w:color w:val="111111"/>
                <w:sz w:val="18"/>
              </w:rPr>
              <w:t>Fortsätt utan nytt call när evidens räcker</w:t>
            </w:r>
          </w:p>
        </w:tc>
      </w:tr>
      <w:tr>
        <w:trPr>
          <w:cantSplit/>
        </w:trPr>
        <w:tc>
          <w:tcPr>
            <w:tcW w:type="dxa" w:w="1700"/>
            <w:vAlign w:val="center"/>
            <w:tcMar>
              <w:top w:w="80" w:type="dxa"/>
              <w:bottom w:w="80" w:type="dxa"/>
              <w:start w:w="120" w:type="dxa"/>
              <w:end w:w="120" w:type="dxa"/>
            </w:tcMar>
          </w:tcPr>
          <w:p>
            <w:pPr>
              <w:spacing w:before="0" w:after="0" w:line="264" w:lineRule="auto"/>
              <w:jc w:val="left"/>
            </w:pPr>
            <w:r/>
            <w:r>
              <w:rPr>
                <w:rFonts w:ascii="Calibri" w:hAnsi="Calibri"/>
                <w:b w:val="0"/>
                <w:color w:val="111111"/>
                <w:sz w:val="18"/>
              </w:rPr>
              <w:t>Retention none</w:t>
            </w:r>
          </w:p>
        </w:tc>
        <w:tc>
          <w:tcPr>
            <w:tcW w:type="dxa" w:w="4000"/>
            <w:vAlign w:val="center"/>
            <w:tcMar>
              <w:top w:w="80" w:type="dxa"/>
              <w:bottom w:w="80" w:type="dxa"/>
              <w:start w:w="120" w:type="dxa"/>
              <w:end w:w="120" w:type="dxa"/>
            </w:tcMar>
          </w:tcPr>
          <w:p>
            <w:pPr>
              <w:spacing w:before="0" w:after="0" w:line="264" w:lineRule="auto"/>
              <w:jc w:val="left"/>
            </w:pPr>
            <w:r/>
            <w:r>
              <w:rPr>
                <w:rFonts w:ascii="Calibri" w:hAnsi="Calibri"/>
                <w:b w:val="0"/>
                <w:color w:val="111111"/>
                <w:sz w:val="18"/>
              </w:rPr>
              <w:t>Hashes/metadata</w:t>
            </w:r>
          </w:p>
        </w:tc>
        <w:tc>
          <w:tcPr>
            <w:tcW w:type="dxa" w:w="3660"/>
            <w:vAlign w:val="center"/>
            <w:tcMar>
              <w:top w:w="80" w:type="dxa"/>
              <w:bottom w:w="80" w:type="dxa"/>
              <w:start w:w="120" w:type="dxa"/>
              <w:end w:w="120" w:type="dxa"/>
            </w:tcMar>
          </w:tcPr>
          <w:p>
            <w:pPr>
              <w:spacing w:before="0" w:after="0" w:line="264" w:lineRule="auto"/>
              <w:jc w:val="left"/>
            </w:pPr>
            <w:r/>
            <w:r>
              <w:rPr>
                <w:rFonts w:ascii="Calibri" w:hAnsi="Calibri"/>
                <w:b w:val="0"/>
                <w:color w:val="111111"/>
                <w:sz w:val="18"/>
              </w:rPr>
              <w:t>Payload unavailable</w:t>
            </w:r>
          </w:p>
        </w:tc>
      </w:tr>
      <w:tr>
        <w:trPr>
          <w:cantSplit/>
        </w:trPr>
        <w:tc>
          <w:tcPr>
            <w:tcW w:type="dxa" w:w="1700"/>
            <w:vAlign w:val="center"/>
            <w:tcMar>
              <w:top w:w="80" w:type="dxa"/>
              <w:bottom w:w="80" w:type="dxa"/>
              <w:start w:w="120" w:type="dxa"/>
              <w:end w:w="120" w:type="dxa"/>
            </w:tcMar>
          </w:tcPr>
          <w:p>
            <w:pPr>
              <w:spacing w:before="0" w:after="0" w:line="264" w:lineRule="auto"/>
              <w:jc w:val="left"/>
            </w:pPr>
            <w:r/>
            <w:r>
              <w:rPr>
                <w:rFonts w:ascii="Calibri" w:hAnsi="Calibri"/>
                <w:b w:val="0"/>
                <w:color w:val="111111"/>
                <w:sz w:val="18"/>
              </w:rPr>
              <w:t>Retention hash-only</w:t>
            </w:r>
          </w:p>
        </w:tc>
        <w:tc>
          <w:tcPr>
            <w:tcW w:type="dxa" w:w="4000"/>
            <w:vAlign w:val="center"/>
            <w:tcMar>
              <w:top w:w="80" w:type="dxa"/>
              <w:bottom w:w="80" w:type="dxa"/>
              <w:start w:w="120" w:type="dxa"/>
              <w:end w:w="120" w:type="dxa"/>
            </w:tcMar>
          </w:tcPr>
          <w:p>
            <w:pPr>
              <w:spacing w:before="0" w:after="0" w:line="264" w:lineRule="auto"/>
              <w:jc w:val="left"/>
            </w:pPr>
            <w:r/>
            <w:r>
              <w:rPr>
                <w:rFonts w:ascii="Calibri" w:hAnsi="Calibri"/>
                <w:b w:val="0"/>
                <w:color w:val="111111"/>
                <w:sz w:val="18"/>
              </w:rPr>
              <w:t>Hash + metadata</w:t>
            </w:r>
          </w:p>
        </w:tc>
        <w:tc>
          <w:tcPr>
            <w:tcW w:type="dxa" w:w="3660"/>
            <w:vAlign w:val="center"/>
            <w:tcMar>
              <w:top w:w="80" w:type="dxa"/>
              <w:bottom w:w="80" w:type="dxa"/>
              <w:start w:w="120" w:type="dxa"/>
              <w:end w:w="120" w:type="dxa"/>
            </w:tcMar>
          </w:tcPr>
          <w:p>
            <w:pPr>
              <w:spacing w:before="0" w:after="0" w:line="264" w:lineRule="auto"/>
              <w:jc w:val="left"/>
            </w:pPr>
            <w:r/>
            <w:r>
              <w:rPr>
                <w:rFonts w:ascii="Calibri" w:hAnsi="Calibri"/>
                <w:b w:val="0"/>
                <w:color w:val="111111"/>
                <w:sz w:val="18"/>
              </w:rPr>
              <w:t>Payload not retained</w:t>
            </w:r>
          </w:p>
        </w:tc>
      </w:tr>
      <w:tr>
        <w:trPr>
          <w:cantSplit/>
        </w:trPr>
        <w:tc>
          <w:tcPr>
            <w:tcW w:type="dxa" w:w="1700"/>
            <w:vAlign w:val="center"/>
            <w:tcMar>
              <w:top w:w="80" w:type="dxa"/>
              <w:bottom w:w="80" w:type="dxa"/>
              <w:start w:w="120" w:type="dxa"/>
              <w:end w:w="120" w:type="dxa"/>
            </w:tcMar>
          </w:tcPr>
          <w:p>
            <w:pPr>
              <w:spacing w:before="0" w:after="0" w:line="264" w:lineRule="auto"/>
              <w:jc w:val="left"/>
            </w:pPr>
            <w:r/>
            <w:r>
              <w:rPr>
                <w:rFonts w:ascii="Calibri" w:hAnsi="Calibri"/>
                <w:b w:val="0"/>
                <w:color w:val="111111"/>
                <w:sz w:val="18"/>
              </w:rPr>
              <w:t>Retention encrypted</w:t>
            </w:r>
          </w:p>
        </w:tc>
        <w:tc>
          <w:tcPr>
            <w:tcW w:type="dxa" w:w="4000"/>
            <w:vAlign w:val="center"/>
            <w:tcMar>
              <w:top w:w="80" w:type="dxa"/>
              <w:bottom w:w="80" w:type="dxa"/>
              <w:start w:w="120" w:type="dxa"/>
              <w:end w:w="120" w:type="dxa"/>
            </w:tcMar>
          </w:tcPr>
          <w:p>
            <w:pPr>
              <w:spacing w:before="0" w:after="0" w:line="264" w:lineRule="auto"/>
              <w:jc w:val="left"/>
            </w:pPr>
            <w:r/>
            <w:r>
              <w:rPr>
                <w:rFonts w:ascii="Calibri" w:hAnsi="Calibri"/>
                <w:b w:val="0"/>
                <w:color w:val="111111"/>
                <w:sz w:val="18"/>
              </w:rPr>
              <w:t>AES-256-GCM envelope</w:t>
            </w:r>
          </w:p>
        </w:tc>
        <w:tc>
          <w:tcPr>
            <w:tcW w:type="dxa" w:w="3660"/>
            <w:vAlign w:val="center"/>
            <w:tcMar>
              <w:top w:w="80" w:type="dxa"/>
              <w:bottom w:w="80" w:type="dxa"/>
              <w:start w:w="120" w:type="dxa"/>
              <w:end w:w="120" w:type="dxa"/>
            </w:tcMar>
          </w:tcPr>
          <w:p>
            <w:pPr>
              <w:spacing w:before="0" w:after="0" w:line="264" w:lineRule="auto"/>
              <w:jc w:val="left"/>
            </w:pPr>
            <w:r/>
            <w:r>
              <w:rPr>
                <w:rFonts w:ascii="Calibri" w:hAnsi="Calibri"/>
                <w:b w:val="0"/>
                <w:color w:val="111111"/>
                <w:sz w:val="18"/>
              </w:rPr>
              <w:t>Decrypt only with injected key</w:t>
            </w:r>
          </w:p>
        </w:tc>
      </w:tr>
    </w:tbl>
    <w:p>
      <w:pPr>
        <w:keepLines w:val="0"/>
      </w:pPr>
      <w:r>
        <w:rPr>
          <w:rFonts w:ascii="Calibri" w:hAnsi="Calibri"/>
        </w:rPr>
        <w:t>Ambiguous calls utan provider-side reconciliation är terminala och non-retried. Stranded executions vars evidence inte räcker behöver ett framtida operatorbeslut; inget automatiskt kommando discharger dem.</w:t>
      </w:r>
    </w:p>
    <w:p>
      <w:pPr>
        <w:pStyle w:val="Heading1"/>
      </w:pPr>
      <w:r>
        <w:t>9. Outbox delivery boundary</w:t>
      </w:r>
    </w:p>
    <w:p>
      <w:pPr>
        <w:keepLines w:val="0"/>
      </w:pPr>
      <w:r>
        <w:rPr>
          <w:rFonts w:ascii="Calibri" w:hAnsi="Calibri"/>
        </w:rPr>
        <w:t>Canonical events lämnar execution transaction genom en explicit bounded drain. En drainer claimar en lease, levererar och settle:ar outcome. Semantiken är at-least-once; konsumenten måste därför deduplicera på event identity. Ingenting dränerar automatiskt.</w:t>
      </w:r>
    </w:p>
    <w:p>
      <w:pPr>
        <w:pStyle w:val="ListBullet"/>
      </w:pPr>
      <w:r>
        <w:t>CLI har outbox inspect och bounded drain.</w:t>
      </w:r>
    </w:p>
    <w:p>
      <w:pPr>
        <w:pStyle w:val="ListBullet"/>
      </w:pPr>
      <w:r>
        <w:t>Ingen real transport utöver rapportdispatcher är produktionsklar.</w:t>
      </w:r>
    </w:p>
    <w:p>
      <w:pPr>
        <w:pStyle w:val="ListBullet"/>
      </w:pPr>
      <w:r>
        <w:t>Failed entries saknar redrive och alarm.</w:t>
      </w:r>
    </w:p>
    <w:p>
      <w:pPr>
        <w:pStyle w:val="ListBullet"/>
      </w:pPr>
      <w:r>
        <w:t>Referensmodulerna emitterar ännu inga domain events.</w:t>
      </w:r>
    </w:p>
    <w:p>
      <w:pPr>
        <w:pStyle w:val="Heading1"/>
      </w:pPr>
      <w:r>
        <w:t>10. Referensmoduler</w:t>
      </w:r>
    </w:p>
    <w:tbl>
      <w:tblPr>
        <w:tblStyle w:val="TableGrid"/>
        <w:tblW w:type="dxa" w:w="9360"/>
        <w:jc w:val="left"/>
        <w:tblLayout w:type="fixed"/>
        <w:tblLook w:firstColumn="1" w:firstRow="1" w:lastColumn="0" w:lastRow="0" w:noHBand="0" w:noVBand="1" w:val="04A0"/>
        <w:tblInd w:type="dxa" w:w="120"/>
      </w:tblPr>
      <w:tblGrid>
        <w:gridCol w:w="1800"/>
        <w:gridCol w:w="3780"/>
        <w:gridCol w:w="3780"/>
      </w:tblGrid>
      <w:tr>
        <w:trPr>
          <w:tblHeader w:val="true"/>
          <w:cantSplit/>
        </w:trPr>
        <w:tc>
          <w:tcPr>
            <w:tcW w:type="dxa" w:w="1800"/>
            <w:shd w:fill="E8EEF5"/>
            <w:vAlign w:val="center"/>
            <w:tcMar>
              <w:top w:w="80" w:type="dxa"/>
              <w:bottom w:w="80" w:type="dxa"/>
              <w:start w:w="120" w:type="dxa"/>
              <w:end w:w="120" w:type="dxa"/>
            </w:tcMar>
          </w:tcPr>
          <w:p>
            <w:pPr>
              <w:spacing w:before="0" w:after="0" w:line="264" w:lineRule="auto"/>
              <w:jc w:val="left"/>
            </w:pPr>
            <w:r/>
            <w:r>
              <w:rPr>
                <w:rFonts w:ascii="Calibri" w:hAnsi="Calibri"/>
                <w:b/>
                <w:color w:val="111111"/>
                <w:sz w:val="18"/>
              </w:rPr>
              <w:t>Egenskap</w:t>
            </w:r>
          </w:p>
        </w:tc>
        <w:tc>
          <w:tcPr>
            <w:tcW w:type="dxa" w:w="3780"/>
            <w:shd w:fill="E8EEF5"/>
            <w:vAlign w:val="center"/>
            <w:tcMar>
              <w:top w:w="80" w:type="dxa"/>
              <w:bottom w:w="80" w:type="dxa"/>
              <w:start w:w="120" w:type="dxa"/>
              <w:end w:w="120" w:type="dxa"/>
            </w:tcMar>
          </w:tcPr>
          <w:p>
            <w:pPr>
              <w:spacing w:before="0" w:after="0" w:line="264" w:lineRule="auto"/>
              <w:jc w:val="left"/>
            </w:pPr>
            <w:r/>
            <w:r>
              <w:rPr>
                <w:rFonts w:ascii="Calibri" w:hAnsi="Calibri"/>
                <w:b/>
                <w:color w:val="111111"/>
                <w:sz w:val="18"/>
              </w:rPr>
              <w:t>NarrativeModule</w:t>
            </w:r>
          </w:p>
        </w:tc>
        <w:tc>
          <w:tcPr>
            <w:tcW w:type="dxa" w:w="3780"/>
            <w:shd w:fill="E8EEF5"/>
            <w:vAlign w:val="center"/>
            <w:tcMar>
              <w:top w:w="80" w:type="dxa"/>
              <w:bottom w:w="80" w:type="dxa"/>
              <w:start w:w="120" w:type="dxa"/>
              <w:end w:w="120" w:type="dxa"/>
            </w:tcMar>
          </w:tcPr>
          <w:p>
            <w:pPr>
              <w:spacing w:before="0" w:after="0" w:line="264" w:lineRule="auto"/>
              <w:jc w:val="left"/>
            </w:pPr>
            <w:r/>
            <w:r>
              <w:rPr>
                <w:rFonts w:ascii="Calibri" w:hAnsi="Calibri"/>
                <w:b/>
                <w:color w:val="111111"/>
                <w:sz w:val="18"/>
              </w:rPr>
              <w:t>ResearchModule</w:t>
            </w:r>
          </w:p>
        </w:tc>
      </w:tr>
      <w:tr>
        <w:trPr>
          <w:cantSplit/>
        </w:trPr>
        <w:tc>
          <w:tcPr>
            <w:tcW w:type="dxa" w:w="1800"/>
            <w:vAlign w:val="center"/>
            <w:tcMar>
              <w:top w:w="80" w:type="dxa"/>
              <w:bottom w:w="80" w:type="dxa"/>
              <w:start w:w="120" w:type="dxa"/>
              <w:end w:w="120" w:type="dxa"/>
            </w:tcMar>
          </w:tcPr>
          <w:p>
            <w:pPr>
              <w:spacing w:before="0" w:after="0" w:line="264" w:lineRule="auto"/>
              <w:jc w:val="center"/>
            </w:pPr>
            <w:r/>
            <w:r>
              <w:rPr>
                <w:rFonts w:ascii="Calibri" w:hAnsi="Calibri"/>
                <w:b w:val="0"/>
                <w:color w:val="111111"/>
                <w:sz w:val="18"/>
              </w:rPr>
              <w:t>Task</w:t>
            </w:r>
          </w:p>
        </w:tc>
        <w:tc>
          <w:tcPr>
            <w:tcW w:type="dxa" w:w="3780"/>
            <w:vAlign w:val="center"/>
            <w:tcMar>
              <w:top w:w="80" w:type="dxa"/>
              <w:bottom w:w="80" w:type="dxa"/>
              <w:start w:w="120" w:type="dxa"/>
              <w:end w:w="120" w:type="dxa"/>
            </w:tcMar>
          </w:tcPr>
          <w:p>
            <w:pPr>
              <w:spacing w:before="0" w:after="0" w:line="264" w:lineRule="auto"/>
              <w:jc w:val="left"/>
            </w:pPr>
            <w:r/>
            <w:r>
              <w:rPr>
                <w:rFonts w:ascii="Calibri" w:hAnsi="Calibri"/>
                <w:b w:val="0"/>
                <w:color w:val="111111"/>
                <w:sz w:val="18"/>
              </w:rPr>
              <w:t>observe-document</w:t>
            </w:r>
          </w:p>
        </w:tc>
        <w:tc>
          <w:tcPr>
            <w:tcW w:type="dxa" w:w="3780"/>
            <w:vAlign w:val="center"/>
            <w:tcMar>
              <w:top w:w="80" w:type="dxa"/>
              <w:bottom w:w="80" w:type="dxa"/>
              <w:start w:w="120" w:type="dxa"/>
              <w:end w:w="120" w:type="dxa"/>
            </w:tcMar>
          </w:tcPr>
          <w:p>
            <w:pPr>
              <w:spacing w:before="0" w:after="0" w:line="264" w:lineRule="auto"/>
              <w:jc w:val="left"/>
            </w:pPr>
            <w:r/>
            <w:r>
              <w:rPr>
                <w:rFonts w:ascii="Calibri" w:hAnsi="Calibri"/>
                <w:b w:val="0"/>
                <w:color w:val="111111"/>
                <w:sz w:val="18"/>
              </w:rPr>
              <w:t>observe-evidence</w:t>
            </w:r>
          </w:p>
        </w:tc>
      </w:tr>
      <w:tr>
        <w:trPr>
          <w:cantSplit/>
        </w:trPr>
        <w:tc>
          <w:tcPr>
            <w:tcW w:type="dxa" w:w="1800"/>
            <w:vAlign w:val="center"/>
            <w:tcMar>
              <w:top w:w="80" w:type="dxa"/>
              <w:bottom w:w="80" w:type="dxa"/>
              <w:start w:w="120" w:type="dxa"/>
              <w:end w:w="120" w:type="dxa"/>
            </w:tcMar>
          </w:tcPr>
          <w:p>
            <w:pPr>
              <w:spacing w:before="0" w:after="0" w:line="264" w:lineRule="auto"/>
              <w:jc w:val="center"/>
            </w:pPr>
            <w:r/>
            <w:r>
              <w:rPr>
                <w:rFonts w:ascii="Calibri" w:hAnsi="Calibri"/>
                <w:b w:val="0"/>
                <w:color w:val="111111"/>
                <w:sz w:val="18"/>
              </w:rPr>
              <w:t>Identity</w:t>
            </w:r>
          </w:p>
        </w:tc>
        <w:tc>
          <w:tcPr>
            <w:tcW w:type="dxa" w:w="3780"/>
            <w:vAlign w:val="center"/>
            <w:tcMar>
              <w:top w:w="80" w:type="dxa"/>
              <w:bottom w:w="80" w:type="dxa"/>
              <w:start w:w="120" w:type="dxa"/>
              <w:end w:w="120" w:type="dxa"/>
            </w:tcMar>
          </w:tcPr>
          <w:p>
            <w:pPr>
              <w:spacing w:before="0" w:after="0" w:line="264" w:lineRule="auto"/>
              <w:jc w:val="left"/>
            </w:pPr>
            <w:r/>
            <w:r>
              <w:rPr>
                <w:rFonts w:ascii="Calibri" w:hAnsi="Calibri"/>
                <w:b w:val="0"/>
                <w:color w:val="111111"/>
                <w:sz w:val="18"/>
              </w:rPr>
              <w:t>Document/knowledge continuity</w:t>
            </w:r>
          </w:p>
        </w:tc>
        <w:tc>
          <w:tcPr>
            <w:tcW w:type="dxa" w:w="3780"/>
            <w:vAlign w:val="center"/>
            <w:tcMar>
              <w:top w:w="80" w:type="dxa"/>
              <w:bottom w:w="80" w:type="dxa"/>
              <w:start w:w="120" w:type="dxa"/>
              <w:end w:w="120" w:type="dxa"/>
            </w:tcMar>
          </w:tcPr>
          <w:p>
            <w:pPr>
              <w:spacing w:before="0" w:after="0" w:line="264" w:lineRule="auto"/>
              <w:jc w:val="left"/>
            </w:pPr>
            <w:r/>
            <w:r>
              <w:rPr>
                <w:rFonts w:ascii="Calibri" w:hAnsi="Calibri"/>
                <w:b w:val="0"/>
                <w:color w:val="111111"/>
                <w:sz w:val="18"/>
              </w:rPr>
              <w:t>Proposition/source/independence</w:t>
            </w:r>
          </w:p>
        </w:tc>
      </w:tr>
      <w:tr>
        <w:trPr>
          <w:cantSplit/>
        </w:trPr>
        <w:tc>
          <w:tcPr>
            <w:tcW w:type="dxa" w:w="1800"/>
            <w:vAlign w:val="center"/>
            <w:tcMar>
              <w:top w:w="80" w:type="dxa"/>
              <w:bottom w:w="80" w:type="dxa"/>
              <w:start w:w="120" w:type="dxa"/>
              <w:end w:w="120" w:type="dxa"/>
            </w:tcMar>
          </w:tcPr>
          <w:p>
            <w:pPr>
              <w:spacing w:before="0" w:after="0" w:line="264" w:lineRule="auto"/>
              <w:jc w:val="left"/>
            </w:pPr>
            <w:r/>
            <w:r>
              <w:rPr>
                <w:rFonts w:ascii="Calibri" w:hAnsi="Calibri"/>
                <w:b w:val="0"/>
                <w:color w:val="111111"/>
                <w:sz w:val="18"/>
              </w:rPr>
              <w:t>Memory policy</w:t>
            </w:r>
          </w:p>
        </w:tc>
        <w:tc>
          <w:tcPr>
            <w:tcW w:type="dxa" w:w="3780"/>
            <w:vAlign w:val="center"/>
            <w:tcMar>
              <w:top w:w="80" w:type="dxa"/>
              <w:bottom w:w="80" w:type="dxa"/>
              <w:start w:w="120" w:type="dxa"/>
              <w:end w:w="120" w:type="dxa"/>
            </w:tcMar>
          </w:tcPr>
          <w:p>
            <w:pPr>
              <w:spacing w:before="0" w:after="0" w:line="264" w:lineRule="auto"/>
              <w:jc w:val="left"/>
            </w:pPr>
            <w:r/>
            <w:r>
              <w:rPr>
                <w:rFonts w:ascii="Calibri" w:hAnsi="Calibri"/>
                <w:b w:val="0"/>
                <w:color w:val="111111"/>
                <w:sz w:val="18"/>
              </w:rPr>
              <w:t>Domain continuity and promotion</w:t>
            </w:r>
          </w:p>
        </w:tc>
        <w:tc>
          <w:tcPr>
            <w:tcW w:type="dxa" w:w="3780"/>
            <w:vAlign w:val="center"/>
            <w:tcMar>
              <w:top w:w="80" w:type="dxa"/>
              <w:bottom w:w="80" w:type="dxa"/>
              <w:start w:w="120" w:type="dxa"/>
              <w:end w:w="120" w:type="dxa"/>
            </w:tcMar>
          </w:tcPr>
          <w:p>
            <w:pPr>
              <w:spacing w:before="0" w:after="0" w:line="264" w:lineRule="auto"/>
              <w:jc w:val="left"/>
            </w:pPr>
            <w:r/>
            <w:r>
              <w:rPr>
                <w:rFonts w:ascii="Calibri" w:hAnsi="Calibri"/>
                <w:b w:val="0"/>
                <w:color w:val="111111"/>
                <w:sz w:val="18"/>
              </w:rPr>
              <w:t>Corroboration/contradiction</w:t>
            </w:r>
          </w:p>
        </w:tc>
      </w:tr>
      <w:tr>
        <w:trPr>
          <w:cantSplit/>
        </w:trPr>
        <w:tc>
          <w:tcPr>
            <w:tcW w:type="dxa" w:w="1800"/>
            <w:vAlign w:val="center"/>
            <w:tcMar>
              <w:top w:w="80" w:type="dxa"/>
              <w:bottom w:w="80" w:type="dxa"/>
              <w:start w:w="120" w:type="dxa"/>
              <w:end w:w="120" w:type="dxa"/>
            </w:tcMar>
          </w:tcPr>
          <w:p>
            <w:pPr>
              <w:spacing w:before="0" w:after="0" w:line="264" w:lineRule="auto"/>
              <w:jc w:val="center"/>
            </w:pPr>
            <w:r/>
            <w:r>
              <w:rPr>
                <w:rFonts w:ascii="Calibri" w:hAnsi="Calibri"/>
                <w:b w:val="0"/>
                <w:color w:val="111111"/>
                <w:sz w:val="18"/>
              </w:rPr>
              <w:t>State</w:t>
            </w:r>
          </w:p>
        </w:tc>
        <w:tc>
          <w:tcPr>
            <w:tcW w:type="dxa" w:w="3780"/>
            <w:vAlign w:val="center"/>
            <w:tcMar>
              <w:top w:w="80" w:type="dxa"/>
              <w:bottom w:w="80" w:type="dxa"/>
              <w:start w:w="120" w:type="dxa"/>
              <w:end w:w="120" w:type="dxa"/>
            </w:tcMar>
          </w:tcPr>
          <w:p>
            <w:pPr>
              <w:spacing w:before="0" w:after="0" w:line="264" w:lineRule="auto"/>
              <w:jc w:val="left"/>
            </w:pPr>
            <w:r/>
            <w:r>
              <w:rPr>
                <w:rFonts w:ascii="Calibri" w:hAnsi="Calibri"/>
                <w:b w:val="0"/>
                <w:color w:val="111111"/>
                <w:sz w:val="18"/>
              </w:rPr>
              <w:t>Narrative observed state</w:t>
            </w:r>
          </w:p>
        </w:tc>
        <w:tc>
          <w:tcPr>
            <w:tcW w:type="dxa" w:w="3780"/>
            <w:vAlign w:val="center"/>
            <w:tcMar>
              <w:top w:w="80" w:type="dxa"/>
              <w:bottom w:w="80" w:type="dxa"/>
              <w:start w:w="120" w:type="dxa"/>
              <w:end w:w="120" w:type="dxa"/>
            </w:tcMar>
          </w:tcPr>
          <w:p>
            <w:pPr>
              <w:spacing w:before="0" w:after="0" w:line="264" w:lineRule="auto"/>
              <w:jc w:val="left"/>
            </w:pPr>
            <w:r/>
            <w:r>
              <w:rPr>
                <w:rFonts w:ascii="Calibri" w:hAnsi="Calibri"/>
                <w:b w:val="0"/>
                <w:color w:val="111111"/>
                <w:sz w:val="18"/>
              </w:rPr>
              <w:t>Research evidence state</w:t>
            </w:r>
          </w:p>
        </w:tc>
      </w:tr>
      <w:tr>
        <w:trPr>
          <w:cantSplit/>
        </w:trPr>
        <w:tc>
          <w:tcPr>
            <w:tcW w:type="dxa" w:w="1800"/>
            <w:vAlign w:val="center"/>
            <w:tcMar>
              <w:top w:w="80" w:type="dxa"/>
              <w:bottom w:w="80" w:type="dxa"/>
              <w:start w:w="120" w:type="dxa"/>
              <w:end w:w="120" w:type="dxa"/>
            </w:tcMar>
          </w:tcPr>
          <w:p>
            <w:pPr>
              <w:spacing w:before="0" w:after="0" w:line="264" w:lineRule="auto"/>
              <w:jc w:val="center"/>
            </w:pPr>
            <w:r/>
            <w:r>
              <w:rPr>
                <w:rFonts w:ascii="Calibri" w:hAnsi="Calibri"/>
                <w:b w:val="0"/>
                <w:color w:val="111111"/>
                <w:sz w:val="18"/>
              </w:rPr>
              <w:t>Proof</w:t>
            </w:r>
          </w:p>
        </w:tc>
        <w:tc>
          <w:tcPr>
            <w:tcW w:type="dxa" w:w="3780"/>
            <w:vAlign w:val="center"/>
            <w:tcMar>
              <w:top w:w="80" w:type="dxa"/>
              <w:bottom w:w="80" w:type="dxa"/>
              <w:start w:w="120" w:type="dxa"/>
              <w:end w:w="120" w:type="dxa"/>
            </w:tcMar>
          </w:tcPr>
          <w:p>
            <w:pPr>
              <w:spacing w:before="0" w:after="0" w:line="264" w:lineRule="auto"/>
              <w:jc w:val="left"/>
            </w:pPr>
            <w:r/>
            <w:r>
              <w:rPr>
                <w:rFonts w:ascii="Calibri" w:hAnsi="Calibri"/>
                <w:b w:val="0"/>
                <w:color w:val="111111"/>
                <w:sz w:val="18"/>
              </w:rPr>
              <w:t>Offline Phase 5 scenario</w:t>
            </w:r>
          </w:p>
        </w:tc>
        <w:tc>
          <w:tcPr>
            <w:tcW w:type="dxa" w:w="3780"/>
            <w:vAlign w:val="center"/>
            <w:tcMar>
              <w:top w:w="80" w:type="dxa"/>
              <w:bottom w:w="80" w:type="dxa"/>
              <w:start w:w="120" w:type="dxa"/>
              <w:end w:w="120" w:type="dxa"/>
            </w:tcMar>
          </w:tcPr>
          <w:p>
            <w:pPr>
              <w:spacing w:before="0" w:after="0" w:line="264" w:lineRule="auto"/>
              <w:jc w:val="left"/>
            </w:pPr>
            <w:r/>
            <w:r>
              <w:rPr>
                <w:rFonts w:ascii="Calibri" w:hAnsi="Calibri"/>
                <w:b w:val="0"/>
                <w:color w:val="111111"/>
                <w:sz w:val="18"/>
              </w:rPr>
              <w:t>Offline Phase 5 scenario</w:t>
            </w:r>
          </w:p>
        </w:tc>
      </w:tr>
    </w:tbl>
    <w:p>
      <w:pPr>
        <w:keepLines w:val="0"/>
      </w:pPr>
      <w:r>
        <w:rPr>
          <w:rFonts w:ascii="Calibri" w:hAnsi="Calibri"/>
        </w:rPr>
        <w:t>Båda modulerna implementerar public DomainModule contracts, kör samma conformance kit och använder samma core engines. Domain vocabulary förekommer inte i core source.</w:t>
      </w:r>
    </w:p>
    <w:p>
      <w:pPr>
        <w:pStyle w:val="Heading1"/>
      </w:pPr>
      <w:r>
        <w:t>11. ScenarioRunner v1/v2</w:t>
      </w:r>
    </w:p>
    <w:p>
      <w:pPr>
        <w:pStyle w:val="Heading2"/>
      </w:pPr>
      <w:r>
        <w:t>11.1 acme-scenario/1</w:t>
      </w:r>
    </w:p>
    <w:p>
      <w:pPr>
        <w:keepLines w:val="0"/>
      </w:pPr>
      <w:r>
        <w:rPr>
          <w:rFonts w:ascii="Calibri" w:hAnsi="Calibri"/>
        </w:rPr>
        <w:t>Version 1 sekvenserar execute, assert, replay och assertDigest. Alias binder senare steg till tidigare executions. En run stoppar vid första failed assertion och rapporterar utförda steg. Formatet tillåter inte branch, retry, loop, include eller arbitrary code.</w:t>
      </w:r>
    </w:p>
    <w:p>
      <w:pPr>
        <w:pStyle w:val="Heading2"/>
      </w:pPr>
      <w:r>
        <w:t>11.2 acme-scenario/2</w:t>
      </w:r>
    </w:p>
    <w:p>
      <w:pPr>
        <w:keepLines w:val="0"/>
      </w:pPr>
      <w:r>
        <w:rPr>
          <w:rFonts w:ascii="Calibri" w:hAnsi="Calibri"/>
        </w:rPr>
        <w:t>Version 2 är kompatibel och lägger till evaluate och assertEvaluation. evaluate producerar och lagrar en kvalitetspost; ett fail-verdict är fortfarande ett framgångsrikt evaluate-step. Endast explicit assertEvaluation gör verdict till scenarioexpectation.</w:t>
      </w:r>
    </w:p>
    <w:p>
      <w:pPr>
        <w:pStyle w:val="Heading2"/>
      </w:pPr>
      <w:r>
        <w:t>11.3 I/O boundary</w:t>
      </w:r>
    </w:p>
    <w:p>
      <w:pPr>
        <w:keepLines w:val="0"/>
      </w:pPr>
      <w:r>
        <w:rPr>
          <w:rFonts w:ascii="Calibri" w:hAnsi="Calibri"/>
        </w:rPr>
        <w:t>Runnern läser inga filer. Caller injicerar fixture loader, run id, quality harness och engine composition. CLI/Test UI äger path traversal-skydd och adapterval.</w:t>
      </w:r>
    </w:p>
    <w:p>
      <w:pPr>
        <w:pStyle w:val="Heading1"/>
      </w:pPr>
      <w:r>
        <w:t>12. Post-execution quality evaluation</w:t>
      </w:r>
    </w:p>
    <w:tbl>
      <w:tblPr>
        <w:tblStyle w:val="TableGrid"/>
        <w:tblW w:type="dxa" w:w="9360"/>
        <w:jc w:val="left"/>
        <w:tblLayout w:type="fixed"/>
        <w:tblLook w:firstColumn="1" w:firstRow="1" w:lastColumn="0" w:lastRow="0" w:noHBand="0" w:noVBand="1" w:val="04A0"/>
        <w:tblInd w:type="dxa" w:w="120"/>
      </w:tblPr>
      <w:tblGrid>
        <w:gridCol w:w="2200"/>
        <w:gridCol w:w="2350"/>
        <w:gridCol w:w="4810"/>
      </w:tblGrid>
      <w:tr>
        <w:trPr>
          <w:tblHeader w:val="true"/>
          <w:cantSplit/>
        </w:trPr>
        <w:tc>
          <w:tcPr>
            <w:tcW w:type="dxa" w:w="2200"/>
            <w:shd w:fill="E8EEF5"/>
            <w:vAlign w:val="center"/>
            <w:tcMar>
              <w:top w:w="80" w:type="dxa"/>
              <w:bottom w:w="80" w:type="dxa"/>
              <w:start w:w="120" w:type="dxa"/>
              <w:end w:w="120" w:type="dxa"/>
            </w:tcMar>
          </w:tcPr>
          <w:p>
            <w:pPr>
              <w:spacing w:before="0" w:after="0" w:line="264" w:lineRule="auto"/>
              <w:jc w:val="left"/>
            </w:pPr>
            <w:r/>
            <w:r>
              <w:rPr>
                <w:rFonts w:ascii="Calibri" w:hAnsi="Calibri"/>
                <w:b/>
                <w:color w:val="111111"/>
                <w:sz w:val="18"/>
              </w:rPr>
              <w:t>Kontrakt</w:t>
            </w:r>
          </w:p>
        </w:tc>
        <w:tc>
          <w:tcPr>
            <w:tcW w:type="dxa" w:w="2350"/>
            <w:shd w:fill="E8EEF5"/>
            <w:vAlign w:val="center"/>
            <w:tcMar>
              <w:top w:w="80" w:type="dxa"/>
              <w:bottom w:w="80" w:type="dxa"/>
              <w:start w:w="120" w:type="dxa"/>
              <w:end w:w="120" w:type="dxa"/>
            </w:tcMar>
          </w:tcPr>
          <w:p>
            <w:pPr>
              <w:spacing w:before="0" w:after="0" w:line="264" w:lineRule="auto"/>
              <w:jc w:val="left"/>
            </w:pPr>
            <w:r/>
            <w:r>
              <w:rPr>
                <w:rFonts w:ascii="Calibri" w:hAnsi="Calibri"/>
                <w:b/>
                <w:color w:val="111111"/>
                <w:sz w:val="18"/>
              </w:rPr>
              <w:t>Version</w:t>
            </w:r>
          </w:p>
        </w:tc>
        <w:tc>
          <w:tcPr>
            <w:tcW w:type="dxa" w:w="4810"/>
            <w:shd w:fill="E8EEF5"/>
            <w:vAlign w:val="center"/>
            <w:tcMar>
              <w:top w:w="80" w:type="dxa"/>
              <w:bottom w:w="80" w:type="dxa"/>
              <w:start w:w="120" w:type="dxa"/>
              <w:end w:w="120" w:type="dxa"/>
            </w:tcMar>
          </w:tcPr>
          <w:p>
            <w:pPr>
              <w:spacing w:before="0" w:after="0" w:line="264" w:lineRule="auto"/>
              <w:jc w:val="left"/>
            </w:pPr>
            <w:r/>
            <w:r>
              <w:rPr>
                <w:rFonts w:ascii="Calibri" w:hAnsi="Calibri"/>
                <w:b/>
                <w:color w:val="111111"/>
                <w:sz w:val="18"/>
              </w:rPr>
              <w:t>Innehåll</w:t>
            </w:r>
          </w:p>
        </w:tc>
      </w:tr>
      <w:tr>
        <w:trPr>
          <w:cantSplit/>
        </w:trPr>
        <w:tc>
          <w:tcPr>
            <w:tcW w:type="dxa" w:w="2200"/>
            <w:vAlign w:val="center"/>
            <w:tcMar>
              <w:top w:w="80" w:type="dxa"/>
              <w:bottom w:w="80" w:type="dxa"/>
              <w:start w:w="120" w:type="dxa"/>
              <w:end w:w="120" w:type="dxa"/>
            </w:tcMar>
          </w:tcPr>
          <w:p>
            <w:pPr>
              <w:spacing w:before="0" w:after="0" w:line="264" w:lineRule="auto"/>
              <w:jc w:val="left"/>
            </w:pPr>
            <w:r/>
            <w:r>
              <w:rPr>
                <w:rFonts w:ascii="Calibri" w:hAnsi="Calibri"/>
                <w:b w:val="0"/>
                <w:color w:val="111111"/>
                <w:sz w:val="18"/>
              </w:rPr>
              <w:t>Quality subject</w:t>
            </w:r>
          </w:p>
        </w:tc>
        <w:tc>
          <w:tcPr>
            <w:tcW w:type="dxa" w:w="2350"/>
            <w:vAlign w:val="center"/>
            <w:tcMar>
              <w:top w:w="80" w:type="dxa"/>
              <w:bottom w:w="80" w:type="dxa"/>
              <w:start w:w="120" w:type="dxa"/>
              <w:end w:w="120" w:type="dxa"/>
            </w:tcMar>
          </w:tcPr>
          <w:p>
            <w:pPr>
              <w:spacing w:before="0" w:after="0" w:line="264" w:lineRule="auto"/>
              <w:jc w:val="left"/>
            </w:pPr>
            <w:r/>
            <w:r>
              <w:rPr>
                <w:rFonts w:ascii="Calibri" w:hAnsi="Calibri"/>
                <w:b w:val="0"/>
                <w:color w:val="111111"/>
                <w:sz w:val="18"/>
              </w:rPr>
              <w:t>acme-quality-subject/1</w:t>
            </w:r>
          </w:p>
        </w:tc>
        <w:tc>
          <w:tcPr>
            <w:tcW w:type="dxa" w:w="4810"/>
            <w:vAlign w:val="center"/>
            <w:tcMar>
              <w:top w:w="80" w:type="dxa"/>
              <w:bottom w:w="80" w:type="dxa"/>
              <w:start w:w="120" w:type="dxa"/>
              <w:end w:w="120" w:type="dxa"/>
            </w:tcMar>
          </w:tcPr>
          <w:p>
            <w:pPr>
              <w:spacing w:before="0" w:after="0" w:line="264" w:lineRule="auto"/>
              <w:jc w:val="left"/>
            </w:pPr>
            <w:r/>
            <w:r>
              <w:rPr>
                <w:rFonts w:ascii="Calibri" w:hAnsi="Calibri"/>
                <w:b w:val="0"/>
                <w:color w:val="111111"/>
                <w:sz w:val="18"/>
              </w:rPr>
              <w:t>Run/execution/artifact/contract/result/evidence</w:t>
            </w:r>
          </w:p>
        </w:tc>
      </w:tr>
      <w:tr>
        <w:trPr>
          <w:cantSplit/>
        </w:trPr>
        <w:tc>
          <w:tcPr>
            <w:tcW w:type="dxa" w:w="2200"/>
            <w:vAlign w:val="center"/>
            <w:tcMar>
              <w:top w:w="80" w:type="dxa"/>
              <w:bottom w:w="80" w:type="dxa"/>
              <w:start w:w="120" w:type="dxa"/>
              <w:end w:w="120" w:type="dxa"/>
            </w:tcMar>
          </w:tcPr>
          <w:p>
            <w:pPr>
              <w:spacing w:before="0" w:after="0" w:line="264" w:lineRule="auto"/>
              <w:jc w:val="left"/>
            </w:pPr>
            <w:r/>
            <w:r>
              <w:rPr>
                <w:rFonts w:ascii="Calibri" w:hAnsi="Calibri"/>
                <w:b w:val="0"/>
                <w:color w:val="111111"/>
                <w:sz w:val="18"/>
              </w:rPr>
              <w:t>Quality record</w:t>
            </w:r>
          </w:p>
        </w:tc>
        <w:tc>
          <w:tcPr>
            <w:tcW w:type="dxa" w:w="2350"/>
            <w:vAlign w:val="center"/>
            <w:tcMar>
              <w:top w:w="80" w:type="dxa"/>
              <w:bottom w:w="80" w:type="dxa"/>
              <w:start w:w="120" w:type="dxa"/>
              <w:end w:w="120" w:type="dxa"/>
            </w:tcMar>
          </w:tcPr>
          <w:p>
            <w:pPr>
              <w:spacing w:before="0" w:after="0" w:line="264" w:lineRule="auto"/>
              <w:jc w:val="left"/>
            </w:pPr>
            <w:r/>
            <w:r>
              <w:rPr>
                <w:rFonts w:ascii="Calibri" w:hAnsi="Calibri"/>
                <w:b w:val="0"/>
                <w:color w:val="111111"/>
                <w:sz w:val="18"/>
              </w:rPr>
              <w:t>acme-quality-evaluation/1</w:t>
            </w:r>
          </w:p>
        </w:tc>
        <w:tc>
          <w:tcPr>
            <w:tcW w:type="dxa" w:w="4810"/>
            <w:vAlign w:val="center"/>
            <w:tcMar>
              <w:top w:w="80" w:type="dxa"/>
              <w:bottom w:w="80" w:type="dxa"/>
              <w:start w:w="120" w:type="dxa"/>
              <w:end w:w="120" w:type="dxa"/>
            </w:tcMar>
          </w:tcPr>
          <w:p>
            <w:pPr>
              <w:spacing w:before="0" w:after="0" w:line="264" w:lineRule="auto"/>
              <w:jc w:val="left"/>
            </w:pPr>
            <w:r/>
            <w:r>
              <w:rPr>
                <w:rFonts w:ascii="Calibri" w:hAnsi="Calibri"/>
                <w:b w:val="0"/>
                <w:color w:val="111111"/>
                <w:sz w:val="18"/>
              </w:rPr>
              <w:t>Evaluator ref, scores, findings, verdict, identities</w:t>
            </w:r>
          </w:p>
        </w:tc>
      </w:tr>
      <w:tr>
        <w:trPr>
          <w:cantSplit/>
        </w:trPr>
        <w:tc>
          <w:tcPr>
            <w:tcW w:type="dxa" w:w="2200"/>
            <w:vAlign w:val="center"/>
            <w:tcMar>
              <w:top w:w="80" w:type="dxa"/>
              <w:bottom w:w="80" w:type="dxa"/>
              <w:start w:w="120" w:type="dxa"/>
              <w:end w:w="120" w:type="dxa"/>
            </w:tcMar>
          </w:tcPr>
          <w:p>
            <w:pPr>
              <w:spacing w:before="0" w:after="0" w:line="264" w:lineRule="auto"/>
              <w:jc w:val="center"/>
            </w:pPr>
            <w:r/>
            <w:r>
              <w:rPr>
                <w:rFonts w:ascii="Calibri" w:hAnsi="Calibri"/>
                <w:b w:val="0"/>
                <w:color w:val="111111"/>
                <w:sz w:val="18"/>
              </w:rPr>
              <w:t>Recording</w:t>
            </w:r>
          </w:p>
        </w:tc>
        <w:tc>
          <w:tcPr>
            <w:tcW w:type="dxa" w:w="2350"/>
            <w:vAlign w:val="center"/>
            <w:tcMar>
              <w:top w:w="80" w:type="dxa"/>
              <w:bottom w:w="80" w:type="dxa"/>
              <w:start w:w="120" w:type="dxa"/>
              <w:end w:w="120" w:type="dxa"/>
            </w:tcMar>
          </w:tcPr>
          <w:p>
            <w:pPr>
              <w:spacing w:before="0" w:after="0" w:line="264" w:lineRule="auto"/>
              <w:jc w:val="left"/>
            </w:pPr>
            <w:r/>
            <w:r>
              <w:rPr>
                <w:rFonts w:ascii="Calibri" w:hAnsi="Calibri"/>
                <w:b w:val="0"/>
                <w:color w:val="111111"/>
                <w:sz w:val="18"/>
              </w:rPr>
              <w:t>acme-recorded-quality-evaluation/1</w:t>
            </w:r>
          </w:p>
        </w:tc>
        <w:tc>
          <w:tcPr>
            <w:tcW w:type="dxa" w:w="4810"/>
            <w:vAlign w:val="center"/>
            <w:tcMar>
              <w:top w:w="80" w:type="dxa"/>
              <w:bottom w:w="80" w:type="dxa"/>
              <w:start w:w="120" w:type="dxa"/>
              <w:end w:w="120" w:type="dxa"/>
            </w:tcMar>
          </w:tcPr>
          <w:p>
            <w:pPr>
              <w:spacing w:before="0" w:after="0" w:line="264" w:lineRule="auto"/>
              <w:jc w:val="left"/>
            </w:pPr>
            <w:r/>
            <w:r>
              <w:rPr>
                <w:rFonts w:ascii="Calibri" w:hAnsi="Calibri"/>
                <w:b w:val="0"/>
                <w:color w:val="111111"/>
                <w:sz w:val="18"/>
              </w:rPr>
              <w:t>Exact replay payload for recorded-external</w:t>
            </w:r>
          </w:p>
        </w:tc>
      </w:tr>
    </w:tbl>
    <w:p>
      <w:pPr>
        <w:pStyle w:val="Heading2"/>
      </w:pPr>
      <w:r>
        <w:t>12.1 Evaluator registry och harness</w:t>
      </w:r>
    </w:p>
    <w:p>
      <w:pPr>
        <w:keepLines w:val="0"/>
      </w:pPr>
      <w:r>
        <w:rPr>
          <w:rFonts w:ascii="Calibri" w:hAnsi="Calibri"/>
        </w:rPr>
        <w:t>QualityEvaluatorRegistry är statisk och löser exakt id/version/kind. Harness validerar input identity, vägrar tomma/duplicerade evaluatorlistor, kör synchronous pure evaluators, skapar content-derived record identity och append:ar via QualityEvaluationStore.</w:t>
      </w:r>
    </w:p>
    <w:p>
      <w:pPr>
        <w:pStyle w:val="Heading2"/>
      </w:pPr>
      <w:r>
        <w:t>12.2 Store semantics</w:t>
      </w:r>
    </w:p>
    <w:p>
      <w:pPr>
        <w:keepLines w:val="0"/>
      </w:pPr>
      <w:r>
        <w:rPr>
          <w:rFonts w:ascii="Calibri" w:hAnsi="Calibri"/>
        </w:rPr>
        <w:t>Byte-identisk append är idempotent. Samma evaluationId med annan content vägras som collision. Query returnerar stabil order och detached records. Endast in-memory adapter finns; SQLite/durable storage är deferred.</w:t>
      </w:r>
    </w:p>
    <w:p>
      <w:pPr>
        <w:pStyle w:val="Heading2"/>
      </w:pPr>
      <w:r>
        <w:t>12.3 Recorded external</w:t>
      </w:r>
    </w:p>
    <w:p>
      <w:pPr>
        <w:keepLines w:val="0"/>
      </w:pPr>
      <w:r>
        <w:rPr>
          <w:rFonts w:ascii="Calibri" w:hAnsi="Calibri"/>
        </w:rPr>
        <w:t>En recording binds till evaluator, subject och result identity. ScenarioRunner kan replaya den offline. Contractet innehåller inget transport- eller async-utrymme och kan därför inte råka bli en live AI judge.</w:t>
      </w:r>
    </w:p>
    <w:p>
      <w:pPr>
        <w:pStyle w:val="Heading1"/>
      </w:pPr>
      <w:r>
        <w:t>13. Domain Test UI S1–S10</w:t>
      </w:r>
    </w:p>
    <w:tbl>
      <w:tblPr>
        <w:tblStyle w:val="TableGrid"/>
        <w:tblW w:type="dxa" w:w="9360"/>
        <w:jc w:val="left"/>
        <w:tblLayout w:type="fixed"/>
        <w:tblLook w:firstColumn="1" w:firstRow="1" w:lastColumn="0" w:lastRow="0" w:noHBand="0" w:noVBand="1" w:val="04A0"/>
        <w:tblInd w:type="dxa" w:w="120"/>
      </w:tblPr>
      <w:tblGrid>
        <w:gridCol w:w="1100"/>
        <w:gridCol w:w="5000"/>
        <w:gridCol w:w="3260"/>
      </w:tblGrid>
      <w:tr>
        <w:trPr>
          <w:tblHeader w:val="true"/>
          <w:cantSplit/>
        </w:trPr>
        <w:tc>
          <w:tcPr>
            <w:tcW w:type="dxa" w:w="1100"/>
            <w:shd w:fill="F2F4F7"/>
            <w:vAlign w:val="center"/>
            <w:tcMar>
              <w:top w:w="80" w:type="dxa"/>
              <w:bottom w:w="80" w:type="dxa"/>
              <w:start w:w="120" w:type="dxa"/>
              <w:end w:w="120" w:type="dxa"/>
            </w:tcMar>
          </w:tcPr>
          <w:p>
            <w:pPr>
              <w:spacing w:before="0" w:after="0" w:line="264" w:lineRule="auto"/>
              <w:jc w:val="left"/>
            </w:pPr>
            <w:r/>
            <w:r>
              <w:rPr>
                <w:rFonts w:ascii="Calibri" w:hAnsi="Calibri"/>
                <w:b/>
                <w:color w:val="111111"/>
                <w:sz w:val="17"/>
              </w:rPr>
              <w:t>Surface</w:t>
            </w:r>
          </w:p>
        </w:tc>
        <w:tc>
          <w:tcPr>
            <w:tcW w:type="dxa" w:w="5000"/>
            <w:shd w:fill="F2F4F7"/>
            <w:vAlign w:val="center"/>
            <w:tcMar>
              <w:top w:w="80" w:type="dxa"/>
              <w:bottom w:w="80" w:type="dxa"/>
              <w:start w:w="120" w:type="dxa"/>
              <w:end w:w="120" w:type="dxa"/>
            </w:tcMar>
          </w:tcPr>
          <w:p>
            <w:pPr>
              <w:spacing w:before="0" w:after="0" w:line="264" w:lineRule="auto"/>
              <w:jc w:val="left"/>
            </w:pPr>
            <w:r/>
            <w:r>
              <w:rPr>
                <w:rFonts w:ascii="Calibri" w:hAnsi="Calibri"/>
                <w:b/>
                <w:color w:val="111111"/>
                <w:sz w:val="17"/>
              </w:rPr>
              <w:t>Primär funktion</w:t>
            </w:r>
          </w:p>
        </w:tc>
        <w:tc>
          <w:tcPr>
            <w:tcW w:type="dxa" w:w="3260"/>
            <w:shd w:fill="F2F4F7"/>
            <w:vAlign w:val="center"/>
            <w:tcMar>
              <w:top w:w="80" w:type="dxa"/>
              <w:bottom w:w="80" w:type="dxa"/>
              <w:start w:w="120" w:type="dxa"/>
              <w:end w:w="120" w:type="dxa"/>
            </w:tcMar>
          </w:tcPr>
          <w:p>
            <w:pPr>
              <w:spacing w:before="0" w:after="0" w:line="264" w:lineRule="auto"/>
              <w:jc w:val="left"/>
            </w:pPr>
            <w:r/>
            <w:r>
              <w:rPr>
                <w:rFonts w:ascii="Calibri" w:hAnsi="Calibri"/>
                <w:b/>
                <w:color w:val="111111"/>
                <w:sz w:val="17"/>
              </w:rPr>
              <w:t>Write/effect</w:t>
            </w:r>
          </w:p>
        </w:tc>
      </w:tr>
      <w:tr>
        <w:trPr>
          <w:cantSplit/>
        </w:trPr>
        <w:tc>
          <w:tcPr>
            <w:tcW w:type="dxa" w:w="1100"/>
            <w:vAlign w:val="center"/>
            <w:tcMar>
              <w:top w:w="80" w:type="dxa"/>
              <w:bottom w:w="80" w:type="dxa"/>
              <w:start w:w="120" w:type="dxa"/>
              <w:end w:w="120" w:type="dxa"/>
            </w:tcMar>
          </w:tcPr>
          <w:p>
            <w:pPr>
              <w:spacing w:before="0" w:after="0" w:line="264" w:lineRule="auto"/>
              <w:jc w:val="center"/>
            </w:pPr>
            <w:r/>
            <w:r>
              <w:rPr>
                <w:rFonts w:ascii="Calibri" w:hAnsi="Calibri"/>
                <w:b w:val="0"/>
                <w:color w:val="111111"/>
                <w:sz w:val="17"/>
              </w:rPr>
              <w:t>S1</w:t>
            </w:r>
          </w:p>
        </w:tc>
        <w:tc>
          <w:tcPr>
            <w:tcW w:type="dxa" w:w="5000"/>
            <w:vAlign w:val="center"/>
            <w:tcMar>
              <w:top w:w="80" w:type="dxa"/>
              <w:bottom w:w="80" w:type="dxa"/>
              <w:start w:w="120" w:type="dxa"/>
              <w:end w:w="120" w:type="dxa"/>
            </w:tcMar>
          </w:tcPr>
          <w:p>
            <w:pPr>
              <w:spacing w:before="0" w:after="0" w:line="264" w:lineRule="auto"/>
              <w:jc w:val="center"/>
            </w:pPr>
            <w:r/>
            <w:r>
              <w:rPr>
                <w:rFonts w:ascii="Calibri" w:hAnsi="Calibri"/>
                <w:b w:val="0"/>
                <w:color w:val="111111"/>
                <w:sz w:val="17"/>
              </w:rPr>
              <w:t>Catalog</w:t>
            </w:r>
          </w:p>
        </w:tc>
        <w:tc>
          <w:tcPr>
            <w:tcW w:type="dxa" w:w="3260"/>
            <w:vAlign w:val="center"/>
            <w:tcMar>
              <w:top w:w="80" w:type="dxa"/>
              <w:bottom w:w="80" w:type="dxa"/>
              <w:start w:w="120" w:type="dxa"/>
              <w:end w:w="120" w:type="dxa"/>
            </w:tcMar>
          </w:tcPr>
          <w:p>
            <w:pPr>
              <w:spacing w:before="0" w:after="0" w:line="264" w:lineRule="auto"/>
              <w:jc w:val="left"/>
            </w:pPr>
            <w:r/>
            <w:r>
              <w:rPr>
                <w:rFonts w:ascii="Calibri" w:hAnsi="Calibri"/>
                <w:b w:val="0"/>
                <w:color w:val="111111"/>
                <w:sz w:val="17"/>
              </w:rPr>
              <w:t>Read-only discovery</w:t>
            </w:r>
          </w:p>
        </w:tc>
      </w:tr>
      <w:tr>
        <w:trPr>
          <w:cantSplit/>
        </w:trPr>
        <w:tc>
          <w:tcPr>
            <w:tcW w:type="dxa" w:w="1100"/>
            <w:vAlign w:val="center"/>
            <w:tcMar>
              <w:top w:w="80" w:type="dxa"/>
              <w:bottom w:w="80" w:type="dxa"/>
              <w:start w:w="120" w:type="dxa"/>
              <w:end w:w="120" w:type="dxa"/>
            </w:tcMar>
          </w:tcPr>
          <w:p>
            <w:pPr>
              <w:spacing w:before="0" w:after="0" w:line="264" w:lineRule="auto"/>
              <w:jc w:val="center"/>
            </w:pPr>
            <w:r/>
            <w:r>
              <w:rPr>
                <w:rFonts w:ascii="Calibri" w:hAnsi="Calibri"/>
                <w:b w:val="0"/>
                <w:color w:val="111111"/>
                <w:sz w:val="17"/>
              </w:rPr>
              <w:t>S2</w:t>
            </w:r>
          </w:p>
        </w:tc>
        <w:tc>
          <w:tcPr>
            <w:tcW w:type="dxa" w:w="5000"/>
            <w:vAlign w:val="center"/>
            <w:tcMar>
              <w:top w:w="80" w:type="dxa"/>
              <w:bottom w:w="80" w:type="dxa"/>
              <w:start w:w="120" w:type="dxa"/>
              <w:end w:w="120" w:type="dxa"/>
            </w:tcMar>
          </w:tcPr>
          <w:p>
            <w:pPr>
              <w:spacing w:before="0" w:after="0" w:line="264" w:lineRule="auto"/>
              <w:jc w:val="left"/>
            </w:pPr>
            <w:r/>
            <w:r>
              <w:rPr>
                <w:rFonts w:ascii="Calibri" w:hAnsi="Calibri"/>
                <w:b w:val="0"/>
                <w:color w:val="111111"/>
                <w:sz w:val="17"/>
              </w:rPr>
              <w:t>Plan design/preview</w:t>
            </w:r>
          </w:p>
        </w:tc>
        <w:tc>
          <w:tcPr>
            <w:tcW w:type="dxa" w:w="3260"/>
            <w:vAlign w:val="center"/>
            <w:tcMar>
              <w:top w:w="80" w:type="dxa"/>
              <w:bottom w:w="80" w:type="dxa"/>
              <w:start w:w="120" w:type="dxa"/>
              <w:end w:w="120" w:type="dxa"/>
            </w:tcMar>
          </w:tcPr>
          <w:p>
            <w:pPr>
              <w:spacing w:before="0" w:after="0" w:line="264" w:lineRule="auto"/>
              <w:jc w:val="left"/>
            </w:pPr>
            <w:r/>
            <w:r>
              <w:rPr>
                <w:rFonts w:ascii="Calibri" w:hAnsi="Calibri"/>
                <w:b w:val="0"/>
                <w:color w:val="111111"/>
                <w:sz w:val="17"/>
              </w:rPr>
              <w:t>Pure compile</w:t>
            </w:r>
          </w:p>
        </w:tc>
      </w:tr>
      <w:tr>
        <w:trPr>
          <w:cantSplit/>
        </w:trPr>
        <w:tc>
          <w:tcPr>
            <w:tcW w:type="dxa" w:w="1100"/>
            <w:vAlign w:val="center"/>
            <w:tcMar>
              <w:top w:w="80" w:type="dxa"/>
              <w:bottom w:w="80" w:type="dxa"/>
              <w:start w:w="120" w:type="dxa"/>
              <w:end w:w="120" w:type="dxa"/>
            </w:tcMar>
          </w:tcPr>
          <w:p>
            <w:pPr>
              <w:spacing w:before="0" w:after="0" w:line="264" w:lineRule="auto"/>
              <w:jc w:val="center"/>
            </w:pPr>
            <w:r/>
            <w:r>
              <w:rPr>
                <w:rFonts w:ascii="Calibri" w:hAnsi="Calibri"/>
                <w:b w:val="0"/>
                <w:color w:val="111111"/>
                <w:sz w:val="17"/>
              </w:rPr>
              <w:t>S3</w:t>
            </w:r>
          </w:p>
        </w:tc>
        <w:tc>
          <w:tcPr>
            <w:tcW w:type="dxa" w:w="5000"/>
            <w:vAlign w:val="center"/>
            <w:tcMar>
              <w:top w:w="80" w:type="dxa"/>
              <w:bottom w:w="80" w:type="dxa"/>
              <w:start w:w="120" w:type="dxa"/>
              <w:end w:w="120" w:type="dxa"/>
            </w:tcMar>
          </w:tcPr>
          <w:p>
            <w:pPr>
              <w:spacing w:before="0" w:after="0" w:line="264" w:lineRule="auto"/>
              <w:jc w:val="left"/>
            </w:pPr>
            <w:r/>
            <w:r>
              <w:rPr>
                <w:rFonts w:ascii="Calibri" w:hAnsi="Calibri"/>
                <w:b w:val="0"/>
                <w:color w:val="111111"/>
                <w:sz w:val="17"/>
              </w:rPr>
              <w:t>Launch/history</w:t>
            </w:r>
          </w:p>
        </w:tc>
        <w:tc>
          <w:tcPr>
            <w:tcW w:type="dxa" w:w="3260"/>
            <w:vAlign w:val="center"/>
            <w:tcMar>
              <w:top w:w="80" w:type="dxa"/>
              <w:bottom w:w="80" w:type="dxa"/>
              <w:start w:w="120" w:type="dxa"/>
              <w:end w:w="120" w:type="dxa"/>
            </w:tcMar>
          </w:tcPr>
          <w:p>
            <w:pPr>
              <w:spacing w:before="0" w:after="0" w:line="264" w:lineRule="auto"/>
              <w:jc w:val="left"/>
            </w:pPr>
            <w:r/>
            <w:r>
              <w:rPr>
                <w:rFonts w:ascii="Calibri" w:hAnsi="Calibri"/>
                <w:b w:val="0"/>
                <w:color w:val="111111"/>
                <w:sz w:val="17"/>
              </w:rPr>
              <w:t>App-owned run record</w:t>
            </w:r>
          </w:p>
        </w:tc>
      </w:tr>
      <w:tr>
        <w:trPr>
          <w:cantSplit/>
        </w:trPr>
        <w:tc>
          <w:tcPr>
            <w:tcW w:type="dxa" w:w="1100"/>
            <w:vAlign w:val="center"/>
            <w:tcMar>
              <w:top w:w="80" w:type="dxa"/>
              <w:bottom w:w="80" w:type="dxa"/>
              <w:start w:w="120" w:type="dxa"/>
              <w:end w:w="120" w:type="dxa"/>
            </w:tcMar>
          </w:tcPr>
          <w:p>
            <w:pPr>
              <w:spacing w:before="0" w:after="0" w:line="264" w:lineRule="auto"/>
              <w:jc w:val="center"/>
            </w:pPr>
            <w:r/>
            <w:r>
              <w:rPr>
                <w:rFonts w:ascii="Calibri" w:hAnsi="Calibri"/>
                <w:b w:val="0"/>
                <w:color w:val="111111"/>
                <w:sz w:val="17"/>
              </w:rPr>
              <w:t>S4</w:t>
            </w:r>
          </w:p>
        </w:tc>
        <w:tc>
          <w:tcPr>
            <w:tcW w:type="dxa" w:w="5000"/>
            <w:vAlign w:val="center"/>
            <w:tcMar>
              <w:top w:w="80" w:type="dxa"/>
              <w:bottom w:w="80" w:type="dxa"/>
              <w:start w:w="120" w:type="dxa"/>
              <w:end w:w="120" w:type="dxa"/>
            </w:tcMar>
          </w:tcPr>
          <w:p>
            <w:pPr>
              <w:spacing w:before="0" w:after="0" w:line="264" w:lineRule="auto"/>
              <w:jc w:val="left"/>
            </w:pPr>
            <w:r/>
            <w:r>
              <w:rPr>
                <w:rFonts w:ascii="Calibri" w:hAnsi="Calibri"/>
                <w:b w:val="0"/>
                <w:color w:val="111111"/>
                <w:sz w:val="17"/>
              </w:rPr>
              <w:t>Execution inspect</w:t>
            </w:r>
          </w:p>
        </w:tc>
        <w:tc>
          <w:tcPr>
            <w:tcW w:type="dxa" w:w="3260"/>
            <w:vAlign w:val="center"/>
            <w:tcMar>
              <w:top w:w="80" w:type="dxa"/>
              <w:bottom w:w="80" w:type="dxa"/>
              <w:start w:w="120" w:type="dxa"/>
              <w:end w:w="120" w:type="dxa"/>
            </w:tcMar>
          </w:tcPr>
          <w:p>
            <w:pPr>
              <w:spacing w:before="0" w:after="0" w:line="264" w:lineRule="auto"/>
              <w:jc w:val="left"/>
            </w:pPr>
            <w:r/>
            <w:r>
              <w:rPr>
                <w:rFonts w:ascii="Calibri" w:hAnsi="Calibri"/>
                <w:b w:val="0"/>
                <w:color w:val="111111"/>
                <w:sz w:val="17"/>
              </w:rPr>
              <w:t>Read-only ledger projection</w:t>
            </w:r>
          </w:p>
        </w:tc>
      </w:tr>
      <w:tr>
        <w:trPr>
          <w:cantSplit/>
        </w:trPr>
        <w:tc>
          <w:tcPr>
            <w:tcW w:type="dxa" w:w="1100"/>
            <w:vAlign w:val="center"/>
            <w:tcMar>
              <w:top w:w="80" w:type="dxa"/>
              <w:bottom w:w="80" w:type="dxa"/>
              <w:start w:w="120" w:type="dxa"/>
              <w:end w:w="120" w:type="dxa"/>
            </w:tcMar>
          </w:tcPr>
          <w:p>
            <w:pPr>
              <w:spacing w:before="0" w:after="0" w:line="264" w:lineRule="auto"/>
              <w:jc w:val="center"/>
            </w:pPr>
            <w:r/>
            <w:r>
              <w:rPr>
                <w:rFonts w:ascii="Calibri" w:hAnsi="Calibri"/>
                <w:b w:val="0"/>
                <w:color w:val="111111"/>
                <w:sz w:val="17"/>
              </w:rPr>
              <w:t>S5</w:t>
            </w:r>
          </w:p>
        </w:tc>
        <w:tc>
          <w:tcPr>
            <w:tcW w:type="dxa" w:w="5000"/>
            <w:vAlign w:val="center"/>
            <w:tcMar>
              <w:top w:w="80" w:type="dxa"/>
              <w:bottom w:w="80" w:type="dxa"/>
              <w:start w:w="120" w:type="dxa"/>
              <w:end w:w="120" w:type="dxa"/>
            </w:tcMar>
          </w:tcPr>
          <w:p>
            <w:pPr>
              <w:spacing w:before="0" w:after="0" w:line="264" w:lineRule="auto"/>
              <w:jc w:val="left"/>
            </w:pPr>
            <w:r/>
            <w:r>
              <w:rPr>
                <w:rFonts w:ascii="Calibri" w:hAnsi="Calibri"/>
                <w:b w:val="0"/>
                <w:color w:val="111111"/>
                <w:sz w:val="17"/>
              </w:rPr>
              <w:t>Memory decisions</w:t>
            </w:r>
          </w:p>
        </w:tc>
        <w:tc>
          <w:tcPr>
            <w:tcW w:type="dxa" w:w="3260"/>
            <w:vAlign w:val="center"/>
            <w:tcMar>
              <w:top w:w="80" w:type="dxa"/>
              <w:bottom w:w="80" w:type="dxa"/>
              <w:start w:w="120" w:type="dxa"/>
              <w:end w:w="120" w:type="dxa"/>
            </w:tcMar>
          </w:tcPr>
          <w:p>
            <w:pPr>
              <w:spacing w:before="0" w:after="0" w:line="264" w:lineRule="auto"/>
              <w:jc w:val="center"/>
            </w:pPr>
            <w:r/>
            <w:r>
              <w:rPr>
                <w:rFonts w:ascii="Calibri" w:hAnsi="Calibri"/>
                <w:b w:val="0"/>
                <w:color w:val="111111"/>
                <w:sz w:val="17"/>
              </w:rPr>
              <w:t>Read-only</w:t>
            </w:r>
          </w:p>
        </w:tc>
      </w:tr>
      <w:tr>
        <w:trPr>
          <w:cantSplit/>
        </w:trPr>
        <w:tc>
          <w:tcPr>
            <w:tcW w:type="dxa" w:w="1100"/>
            <w:vAlign w:val="center"/>
            <w:tcMar>
              <w:top w:w="80" w:type="dxa"/>
              <w:bottom w:w="80" w:type="dxa"/>
              <w:start w:w="120" w:type="dxa"/>
              <w:end w:w="120" w:type="dxa"/>
            </w:tcMar>
          </w:tcPr>
          <w:p>
            <w:pPr>
              <w:spacing w:before="0" w:after="0" w:line="264" w:lineRule="auto"/>
              <w:jc w:val="center"/>
            </w:pPr>
            <w:r/>
            <w:r>
              <w:rPr>
                <w:rFonts w:ascii="Calibri" w:hAnsi="Calibri"/>
                <w:b w:val="0"/>
                <w:color w:val="111111"/>
                <w:sz w:val="17"/>
              </w:rPr>
              <w:t>S6</w:t>
            </w:r>
          </w:p>
        </w:tc>
        <w:tc>
          <w:tcPr>
            <w:tcW w:type="dxa" w:w="5000"/>
            <w:vAlign w:val="center"/>
            <w:tcMar>
              <w:top w:w="80" w:type="dxa"/>
              <w:bottom w:w="80" w:type="dxa"/>
              <w:start w:w="120" w:type="dxa"/>
              <w:end w:w="120" w:type="dxa"/>
            </w:tcMar>
          </w:tcPr>
          <w:p>
            <w:pPr>
              <w:spacing w:before="0" w:after="0" w:line="264" w:lineRule="auto"/>
              <w:jc w:val="left"/>
            </w:pPr>
            <w:r/>
            <w:r>
              <w:rPr>
                <w:rFonts w:ascii="Calibri" w:hAnsi="Calibri"/>
                <w:b w:val="0"/>
                <w:color w:val="111111"/>
                <w:sz w:val="17"/>
              </w:rPr>
              <w:t>State lineage</w:t>
            </w:r>
          </w:p>
        </w:tc>
        <w:tc>
          <w:tcPr>
            <w:tcW w:type="dxa" w:w="3260"/>
            <w:vAlign w:val="center"/>
            <w:tcMar>
              <w:top w:w="80" w:type="dxa"/>
              <w:bottom w:w="80" w:type="dxa"/>
              <w:start w:w="120" w:type="dxa"/>
              <w:end w:w="120" w:type="dxa"/>
            </w:tcMar>
          </w:tcPr>
          <w:p>
            <w:pPr>
              <w:spacing w:before="0" w:after="0" w:line="264" w:lineRule="auto"/>
              <w:jc w:val="center"/>
            </w:pPr>
            <w:r/>
            <w:r>
              <w:rPr>
                <w:rFonts w:ascii="Calibri" w:hAnsi="Calibri"/>
                <w:b w:val="0"/>
                <w:color w:val="111111"/>
                <w:sz w:val="17"/>
              </w:rPr>
              <w:t>Read-only</w:t>
            </w:r>
          </w:p>
        </w:tc>
      </w:tr>
      <w:tr>
        <w:trPr>
          <w:cantSplit/>
        </w:trPr>
        <w:tc>
          <w:tcPr>
            <w:tcW w:type="dxa" w:w="1100"/>
            <w:vAlign w:val="center"/>
            <w:tcMar>
              <w:top w:w="80" w:type="dxa"/>
              <w:bottom w:w="80" w:type="dxa"/>
              <w:start w:w="120" w:type="dxa"/>
              <w:end w:w="120" w:type="dxa"/>
            </w:tcMar>
          </w:tcPr>
          <w:p>
            <w:pPr>
              <w:spacing w:before="0" w:after="0" w:line="264" w:lineRule="auto"/>
              <w:jc w:val="center"/>
            </w:pPr>
            <w:r/>
            <w:r>
              <w:rPr>
                <w:rFonts w:ascii="Calibri" w:hAnsi="Calibri"/>
                <w:b w:val="0"/>
                <w:color w:val="111111"/>
                <w:sz w:val="17"/>
              </w:rPr>
              <w:t>S7</w:t>
            </w:r>
          </w:p>
        </w:tc>
        <w:tc>
          <w:tcPr>
            <w:tcW w:type="dxa" w:w="5000"/>
            <w:vAlign w:val="center"/>
            <w:tcMar>
              <w:top w:w="80" w:type="dxa"/>
              <w:bottom w:w="80" w:type="dxa"/>
              <w:start w:w="120" w:type="dxa"/>
              <w:end w:w="120" w:type="dxa"/>
            </w:tcMar>
          </w:tcPr>
          <w:p>
            <w:pPr>
              <w:spacing w:before="0" w:after="0" w:line="264" w:lineRule="auto"/>
              <w:jc w:val="left"/>
            </w:pPr>
            <w:r/>
            <w:r>
              <w:rPr>
                <w:rFonts w:ascii="Calibri" w:hAnsi="Calibri"/>
                <w:b w:val="0"/>
                <w:color w:val="111111"/>
                <w:sz w:val="17"/>
              </w:rPr>
              <w:t>Replay verify</w:t>
            </w:r>
          </w:p>
        </w:tc>
        <w:tc>
          <w:tcPr>
            <w:tcW w:type="dxa" w:w="3260"/>
            <w:vAlign w:val="center"/>
            <w:tcMar>
              <w:top w:w="80" w:type="dxa"/>
              <w:bottom w:w="80" w:type="dxa"/>
              <w:start w:w="120" w:type="dxa"/>
              <w:end w:w="120" w:type="dxa"/>
            </w:tcMar>
          </w:tcPr>
          <w:p>
            <w:pPr>
              <w:spacing w:before="0" w:after="0" w:line="264" w:lineRule="auto"/>
              <w:jc w:val="left"/>
            </w:pPr>
            <w:r/>
            <w:r>
              <w:rPr>
                <w:rFonts w:ascii="Calibri" w:hAnsi="Calibri"/>
                <w:b w:val="0"/>
                <w:color w:val="111111"/>
                <w:sz w:val="17"/>
              </w:rPr>
              <w:t>No provider / no canonical write</w:t>
            </w:r>
          </w:p>
        </w:tc>
      </w:tr>
      <w:tr>
        <w:trPr>
          <w:cantSplit/>
        </w:trPr>
        <w:tc>
          <w:tcPr>
            <w:tcW w:type="dxa" w:w="1100"/>
            <w:vAlign w:val="center"/>
            <w:tcMar>
              <w:top w:w="80" w:type="dxa"/>
              <w:bottom w:w="80" w:type="dxa"/>
              <w:start w:w="120" w:type="dxa"/>
              <w:end w:w="120" w:type="dxa"/>
            </w:tcMar>
          </w:tcPr>
          <w:p>
            <w:pPr>
              <w:spacing w:before="0" w:after="0" w:line="264" w:lineRule="auto"/>
              <w:jc w:val="center"/>
            </w:pPr>
            <w:r/>
            <w:r>
              <w:rPr>
                <w:rFonts w:ascii="Calibri" w:hAnsi="Calibri"/>
                <w:b w:val="0"/>
                <w:color w:val="111111"/>
                <w:sz w:val="17"/>
              </w:rPr>
              <w:t>S8</w:t>
            </w:r>
          </w:p>
        </w:tc>
        <w:tc>
          <w:tcPr>
            <w:tcW w:type="dxa" w:w="5000"/>
            <w:vAlign w:val="center"/>
            <w:tcMar>
              <w:top w:w="80" w:type="dxa"/>
              <w:bottom w:w="80" w:type="dxa"/>
              <w:start w:w="120" w:type="dxa"/>
              <w:end w:w="120" w:type="dxa"/>
            </w:tcMar>
          </w:tcPr>
          <w:p>
            <w:pPr>
              <w:spacing w:before="0" w:after="0" w:line="264" w:lineRule="auto"/>
              <w:jc w:val="center"/>
            </w:pPr>
            <w:r/>
            <w:r>
              <w:rPr>
                <w:rFonts w:ascii="Calibri" w:hAnsi="Calibri"/>
                <w:b w:val="0"/>
                <w:color w:val="111111"/>
                <w:sz w:val="17"/>
              </w:rPr>
              <w:t>Measurement</w:t>
            </w:r>
          </w:p>
        </w:tc>
        <w:tc>
          <w:tcPr>
            <w:tcW w:type="dxa" w:w="3260"/>
            <w:vAlign w:val="center"/>
            <w:tcMar>
              <w:top w:w="80" w:type="dxa"/>
              <w:bottom w:w="80" w:type="dxa"/>
              <w:start w:w="120" w:type="dxa"/>
              <w:end w:w="120" w:type="dxa"/>
            </w:tcMar>
          </w:tcPr>
          <w:p>
            <w:pPr>
              <w:spacing w:before="0" w:after="0" w:line="264" w:lineRule="auto"/>
              <w:jc w:val="left"/>
            </w:pPr>
            <w:r/>
            <w:r>
              <w:rPr>
                <w:rFonts w:ascii="Calibri" w:hAnsi="Calibri"/>
                <w:b w:val="0"/>
                <w:color w:val="111111"/>
                <w:sz w:val="17"/>
              </w:rPr>
              <w:t>Read-only rates/baselines</w:t>
            </w:r>
          </w:p>
        </w:tc>
      </w:tr>
      <w:tr>
        <w:trPr>
          <w:cantSplit/>
        </w:trPr>
        <w:tc>
          <w:tcPr>
            <w:tcW w:type="dxa" w:w="1100"/>
            <w:vAlign w:val="center"/>
            <w:tcMar>
              <w:top w:w="80" w:type="dxa"/>
              <w:bottom w:w="80" w:type="dxa"/>
              <w:start w:w="120" w:type="dxa"/>
              <w:end w:w="120" w:type="dxa"/>
            </w:tcMar>
          </w:tcPr>
          <w:p>
            <w:pPr>
              <w:spacing w:before="0" w:after="0" w:line="264" w:lineRule="auto"/>
              <w:jc w:val="center"/>
            </w:pPr>
            <w:r/>
            <w:r>
              <w:rPr>
                <w:rFonts w:ascii="Calibri" w:hAnsi="Calibri"/>
                <w:b w:val="0"/>
                <w:color w:val="111111"/>
                <w:sz w:val="17"/>
              </w:rPr>
              <w:t>S9</w:t>
            </w:r>
          </w:p>
        </w:tc>
        <w:tc>
          <w:tcPr>
            <w:tcW w:type="dxa" w:w="5000"/>
            <w:vAlign w:val="center"/>
            <w:tcMar>
              <w:top w:w="80" w:type="dxa"/>
              <w:bottom w:w="80" w:type="dxa"/>
              <w:start w:w="120" w:type="dxa"/>
              <w:end w:w="120" w:type="dxa"/>
            </w:tcMar>
          </w:tcPr>
          <w:p>
            <w:pPr>
              <w:spacing w:before="0" w:after="0" w:line="264" w:lineRule="auto"/>
              <w:jc w:val="left"/>
            </w:pPr>
            <w:r/>
            <w:r>
              <w:rPr>
                <w:rFonts w:ascii="Calibri" w:hAnsi="Calibri"/>
                <w:b w:val="0"/>
                <w:color w:val="111111"/>
                <w:sz w:val="17"/>
              </w:rPr>
              <w:t>Fixture review</w:t>
            </w:r>
          </w:p>
        </w:tc>
        <w:tc>
          <w:tcPr>
            <w:tcW w:type="dxa" w:w="3260"/>
            <w:vAlign w:val="center"/>
            <w:tcMar>
              <w:top w:w="80" w:type="dxa"/>
              <w:bottom w:w="80" w:type="dxa"/>
              <w:start w:w="120" w:type="dxa"/>
              <w:end w:w="120" w:type="dxa"/>
            </w:tcMar>
          </w:tcPr>
          <w:p>
            <w:pPr>
              <w:spacing w:before="0" w:after="0" w:line="264" w:lineRule="auto"/>
              <w:jc w:val="left"/>
            </w:pPr>
            <w:r/>
            <w:r>
              <w:rPr>
                <w:rFonts w:ascii="Calibri" w:hAnsi="Calibri"/>
                <w:b w:val="0"/>
                <w:color w:val="111111"/>
                <w:sz w:val="17"/>
              </w:rPr>
              <w:t>Approval record; no fixture write</w:t>
            </w:r>
          </w:p>
        </w:tc>
      </w:tr>
      <w:tr>
        <w:trPr>
          <w:cantSplit/>
        </w:trPr>
        <w:tc>
          <w:tcPr>
            <w:tcW w:type="dxa" w:w="1100"/>
            <w:vAlign w:val="center"/>
            <w:tcMar>
              <w:top w:w="80" w:type="dxa"/>
              <w:bottom w:w="80" w:type="dxa"/>
              <w:start w:w="120" w:type="dxa"/>
              <w:end w:w="120" w:type="dxa"/>
            </w:tcMar>
          </w:tcPr>
          <w:p>
            <w:pPr>
              <w:spacing w:before="0" w:after="0" w:line="264" w:lineRule="auto"/>
              <w:jc w:val="center"/>
            </w:pPr>
            <w:r/>
            <w:r>
              <w:rPr>
                <w:rFonts w:ascii="Calibri" w:hAnsi="Calibri"/>
                <w:b w:val="0"/>
                <w:color w:val="111111"/>
                <w:sz w:val="17"/>
              </w:rPr>
              <w:t>S10</w:t>
            </w:r>
          </w:p>
        </w:tc>
        <w:tc>
          <w:tcPr>
            <w:tcW w:type="dxa" w:w="5000"/>
            <w:vAlign w:val="center"/>
            <w:tcMar>
              <w:top w:w="80" w:type="dxa"/>
              <w:bottom w:w="80" w:type="dxa"/>
              <w:start w:w="120" w:type="dxa"/>
              <w:end w:w="120" w:type="dxa"/>
            </w:tcMar>
          </w:tcPr>
          <w:p>
            <w:pPr>
              <w:spacing w:before="0" w:after="0" w:line="264" w:lineRule="auto"/>
              <w:jc w:val="left"/>
            </w:pPr>
            <w:r/>
            <w:r>
              <w:rPr>
                <w:rFonts w:ascii="Calibri" w:hAnsi="Calibri"/>
                <w:b w:val="0"/>
                <w:color w:val="111111"/>
                <w:sz w:val="17"/>
              </w:rPr>
              <w:t>Live single execute</w:t>
            </w:r>
          </w:p>
        </w:tc>
        <w:tc>
          <w:tcPr>
            <w:tcW w:type="dxa" w:w="3260"/>
            <w:vAlign w:val="center"/>
            <w:tcMar>
              <w:top w:w="80" w:type="dxa"/>
              <w:bottom w:w="80" w:type="dxa"/>
              <w:start w:w="120" w:type="dxa"/>
              <w:end w:w="120" w:type="dxa"/>
            </w:tcMar>
          </w:tcPr>
          <w:p>
            <w:pPr>
              <w:spacing w:before="0" w:after="0" w:line="264" w:lineRule="auto"/>
              <w:jc w:val="left"/>
            </w:pPr>
            <w:r/>
            <w:r>
              <w:rPr>
                <w:rFonts w:ascii="Calibri" w:hAnsi="Calibri"/>
                <w:b w:val="0"/>
                <w:color w:val="111111"/>
                <w:sz w:val="17"/>
              </w:rPr>
              <w:t>Two-key gate + explicit launch</w:t>
            </w:r>
          </w:p>
        </w:tc>
      </w:tr>
    </w:tbl>
    <w:p>
      <w:pPr>
        <w:pStyle w:val="TableCitation"/>
      </w:pPr>
      <w:r>
        <w:t>Källa: ADR-0019–0024 och CURRENT_STATUS.md.</w:t>
      </w:r>
    </w:p>
    <w:p>
      <w:pPr>
        <w:keepLines w:val="0"/>
      </w:pPr>
      <w:r>
        <w:rPr>
          <w:rFonts w:ascii="Calibri" w:hAnsi="Calibri"/>
        </w:rPr>
        <w:t>Default package entry är pure. Bounded filesystem discovery ligger på ./node-source och local composition/workbench på ./local. Paketet är en leaf; ingenting får importera Test UI.</w:t>
      </w:r>
    </w:p>
    <w:p>
      <w:pPr>
        <w:pStyle w:val="Heading1"/>
      </w:pPr>
      <w:r>
        <w:t>14. CLI composition root</w:t>
      </w:r>
    </w:p>
    <w:p>
      <w:pPr>
        <w:pStyle w:val="ListBullet"/>
      </w:pPr>
      <w:r>
        <w:t>scenario run för mock-baserade acme-scenario/1-filer.</w:t>
      </w:r>
    </w:p>
    <w:p>
      <w:pPr>
        <w:pStyle w:val="ListBullet"/>
      </w:pPr>
      <w:r>
        <w:t>execute med --script eller --gateway openai.</w:t>
      </w:r>
    </w:p>
    <w:p>
      <w:pPr>
        <w:pStyle w:val="ListBullet"/>
      </w:pPr>
      <w:r>
        <w:t>execution replay/inspect samt state/memory inspect.</w:t>
      </w:r>
    </w:p>
    <w:p>
      <w:pPr>
        <w:pStyle w:val="ListBullet"/>
      </w:pPr>
      <w:r>
        <w:t>outbox inspect/drain med explicit limit och lease timeout.</w:t>
      </w:r>
    </w:p>
    <w:p>
      <w:pPr>
        <w:pStyle w:val="ListBullet"/>
      </w:pPr>
      <w:r>
        <w:t>--adapter memory|sqlite; SQLite kräver database path.</w:t>
      </w:r>
    </w:p>
    <w:p>
      <w:pPr>
        <w:pStyle w:val="ListBullet"/>
      </w:pPr>
      <w:r>
        <w:t>Versioned JSON på stdout, diagnostics på stderr och redacted payload default.</w:t>
      </w:r>
    </w:p>
    <w:p>
      <w:pPr>
        <w:keepLines w:val="0"/>
      </w:pPr>
      <w:r>
        <w:rPr>
          <w:rFonts w:ascii="Calibri" w:hAnsi="Calibri"/>
        </w:rPr>
        <w:t>ScenarioRunner multi-step live provider steps är inte implementerade. Live CLI och S10 kör en bounded single ExecutionRequest genom ExecutionEngine.</w:t>
      </w:r>
    </w:p>
    <w:p>
      <w:pPr>
        <w:pStyle w:val="Heading1"/>
      </w:pPr>
      <w:r>
        <w:t>15. Verifieringsarkitektur</w:t>
      </w:r>
    </w:p>
    <w:tbl>
      <w:tblPr>
        <w:tblStyle w:val="TableGrid"/>
        <w:tblW w:type="dxa" w:w="9360"/>
        <w:jc w:val="left"/>
        <w:tblLayout w:type="fixed"/>
        <w:tblLook w:firstColumn="1" w:firstRow="1" w:lastColumn="0" w:lastRow="0" w:noHBand="0" w:noVBand="1" w:val="04A0"/>
        <w:tblInd w:type="dxa" w:w="120"/>
      </w:tblPr>
      <w:tblGrid>
        <w:gridCol w:w="1700"/>
        <w:gridCol w:w="2900"/>
        <w:gridCol w:w="4760"/>
      </w:tblGrid>
      <w:tr>
        <w:trPr>
          <w:tblHeader w:val="true"/>
          <w:cantSplit/>
        </w:trPr>
        <w:tc>
          <w:tcPr>
            <w:tcW w:type="dxa" w:w="1700"/>
            <w:shd w:fill="E8EEF5"/>
            <w:vAlign w:val="center"/>
            <w:tcMar>
              <w:top w:w="80" w:type="dxa"/>
              <w:bottom w:w="80" w:type="dxa"/>
              <w:start w:w="120" w:type="dxa"/>
              <w:end w:w="120" w:type="dxa"/>
            </w:tcMar>
          </w:tcPr>
          <w:p>
            <w:pPr>
              <w:spacing w:before="0" w:after="0" w:line="264" w:lineRule="auto"/>
              <w:jc w:val="left"/>
            </w:pPr>
            <w:r/>
            <w:r>
              <w:rPr>
                <w:rFonts w:ascii="Calibri" w:hAnsi="Calibri"/>
                <w:b/>
                <w:color w:val="111111"/>
                <w:sz w:val="18"/>
              </w:rPr>
              <w:t>Gate</w:t>
            </w:r>
          </w:p>
        </w:tc>
        <w:tc>
          <w:tcPr>
            <w:tcW w:type="dxa" w:w="2900"/>
            <w:shd w:fill="E8EEF5"/>
            <w:vAlign w:val="center"/>
            <w:tcMar>
              <w:top w:w="80" w:type="dxa"/>
              <w:bottom w:w="80" w:type="dxa"/>
              <w:start w:w="120" w:type="dxa"/>
              <w:end w:w="120" w:type="dxa"/>
            </w:tcMar>
          </w:tcPr>
          <w:p>
            <w:pPr>
              <w:spacing w:before="0" w:after="0" w:line="264" w:lineRule="auto"/>
              <w:jc w:val="left"/>
            </w:pPr>
            <w:r/>
            <w:r>
              <w:rPr>
                <w:rFonts w:ascii="Calibri" w:hAnsi="Calibri"/>
                <w:b/>
                <w:color w:val="111111"/>
                <w:sz w:val="18"/>
              </w:rPr>
              <w:t>Verifierad ACME-0054-baslinje</w:t>
            </w:r>
          </w:p>
        </w:tc>
        <w:tc>
          <w:tcPr>
            <w:tcW w:type="dxa" w:w="4760"/>
            <w:shd w:fill="E8EEF5"/>
            <w:vAlign w:val="center"/>
            <w:tcMar>
              <w:top w:w="80" w:type="dxa"/>
              <w:bottom w:w="80" w:type="dxa"/>
              <w:start w:w="120" w:type="dxa"/>
              <w:end w:w="120" w:type="dxa"/>
            </w:tcMar>
          </w:tcPr>
          <w:p>
            <w:pPr>
              <w:spacing w:before="0" w:after="0" w:line="264" w:lineRule="auto"/>
              <w:jc w:val="left"/>
            </w:pPr>
            <w:r/>
            <w:r>
              <w:rPr>
                <w:rFonts w:ascii="Calibri" w:hAnsi="Calibri"/>
                <w:b/>
                <w:color w:val="111111"/>
                <w:sz w:val="18"/>
              </w:rPr>
              <w:t>Syfte</w:t>
            </w:r>
          </w:p>
        </w:tc>
      </w:tr>
      <w:tr>
        <w:trPr>
          <w:cantSplit/>
        </w:trPr>
        <w:tc>
          <w:tcPr>
            <w:tcW w:type="dxa" w:w="1700"/>
            <w:vAlign w:val="center"/>
            <w:tcMar>
              <w:top w:w="80" w:type="dxa"/>
              <w:bottom w:w="80" w:type="dxa"/>
              <w:start w:w="120" w:type="dxa"/>
              <w:end w:w="120" w:type="dxa"/>
            </w:tcMar>
          </w:tcPr>
          <w:p>
            <w:pPr>
              <w:spacing w:before="0" w:after="0" w:line="264" w:lineRule="auto"/>
              <w:jc w:val="center"/>
            </w:pPr>
            <w:r/>
            <w:r>
              <w:rPr>
                <w:rFonts w:ascii="Calibri" w:hAnsi="Calibri"/>
                <w:b w:val="0"/>
                <w:color w:val="111111"/>
                <w:sz w:val="18"/>
              </w:rPr>
              <w:t>Unit</w:t>
            </w:r>
          </w:p>
        </w:tc>
        <w:tc>
          <w:tcPr>
            <w:tcW w:type="dxa" w:w="2900"/>
            <w:vAlign w:val="center"/>
            <w:tcMar>
              <w:top w:w="80" w:type="dxa"/>
              <w:bottom w:w="80" w:type="dxa"/>
              <w:start w:w="120" w:type="dxa"/>
              <w:end w:w="120" w:type="dxa"/>
            </w:tcMar>
          </w:tcPr>
          <w:p>
            <w:pPr>
              <w:spacing w:before="0" w:after="0" w:line="264" w:lineRule="auto"/>
              <w:jc w:val="left"/>
            </w:pPr>
            <w:r/>
            <w:r>
              <w:rPr>
                <w:rFonts w:ascii="Calibri" w:hAnsi="Calibri"/>
                <w:b w:val="0"/>
                <w:color w:val="111111"/>
                <w:sz w:val="18"/>
              </w:rPr>
              <w:t>560 tests / 64 files</w:t>
            </w:r>
          </w:p>
        </w:tc>
        <w:tc>
          <w:tcPr>
            <w:tcW w:type="dxa" w:w="4760"/>
            <w:vAlign w:val="center"/>
            <w:tcMar>
              <w:top w:w="80" w:type="dxa"/>
              <w:bottom w:w="80" w:type="dxa"/>
              <w:start w:w="120" w:type="dxa"/>
              <w:end w:w="120" w:type="dxa"/>
            </w:tcMar>
          </w:tcPr>
          <w:p>
            <w:pPr>
              <w:spacing w:before="0" w:after="0" w:line="264" w:lineRule="auto"/>
              <w:jc w:val="left"/>
            </w:pPr>
            <w:r/>
            <w:r>
              <w:rPr>
                <w:rFonts w:ascii="Calibri" w:hAnsi="Calibri"/>
                <w:b w:val="0"/>
                <w:color w:val="111111"/>
                <w:sz w:val="18"/>
              </w:rPr>
              <w:t>Pure och package-level behavior</w:t>
            </w:r>
          </w:p>
        </w:tc>
      </w:tr>
      <w:tr>
        <w:trPr>
          <w:cantSplit/>
        </w:trPr>
        <w:tc>
          <w:tcPr>
            <w:tcW w:type="dxa" w:w="1700"/>
            <w:vAlign w:val="center"/>
            <w:tcMar>
              <w:top w:w="80" w:type="dxa"/>
              <w:bottom w:w="80" w:type="dxa"/>
              <w:start w:w="120" w:type="dxa"/>
              <w:end w:w="120" w:type="dxa"/>
            </w:tcMar>
          </w:tcPr>
          <w:p>
            <w:pPr>
              <w:spacing w:before="0" w:after="0" w:line="264" w:lineRule="auto"/>
              <w:jc w:val="center"/>
            </w:pPr>
            <w:r/>
            <w:r>
              <w:rPr>
                <w:rFonts w:ascii="Calibri" w:hAnsi="Calibri"/>
                <w:b w:val="0"/>
                <w:color w:val="111111"/>
                <w:sz w:val="18"/>
              </w:rPr>
              <w:t>Conformance</w:t>
            </w:r>
          </w:p>
        </w:tc>
        <w:tc>
          <w:tcPr>
            <w:tcW w:type="dxa" w:w="2900"/>
            <w:vAlign w:val="center"/>
            <w:tcMar>
              <w:top w:w="80" w:type="dxa"/>
              <w:bottom w:w="80" w:type="dxa"/>
              <w:start w:w="120" w:type="dxa"/>
              <w:end w:w="120" w:type="dxa"/>
            </w:tcMar>
          </w:tcPr>
          <w:p>
            <w:pPr>
              <w:spacing w:before="0" w:after="0" w:line="264" w:lineRule="auto"/>
              <w:jc w:val="center"/>
            </w:pPr>
            <w:r/>
            <w:r>
              <w:rPr>
                <w:rFonts w:ascii="Calibri" w:hAnsi="Calibri"/>
                <w:b w:val="0"/>
                <w:color w:val="111111"/>
                <w:sz w:val="18"/>
              </w:rPr>
              <w:t>61 / 8</w:t>
            </w:r>
          </w:p>
        </w:tc>
        <w:tc>
          <w:tcPr>
            <w:tcW w:type="dxa" w:w="4760"/>
            <w:vAlign w:val="center"/>
            <w:tcMar>
              <w:top w:w="80" w:type="dxa"/>
              <w:bottom w:w="80" w:type="dxa"/>
              <w:start w:w="120" w:type="dxa"/>
              <w:end w:w="120" w:type="dxa"/>
            </w:tcMar>
          </w:tcPr>
          <w:p>
            <w:pPr>
              <w:spacing w:before="0" w:after="0" w:line="264" w:lineRule="auto"/>
              <w:jc w:val="left"/>
            </w:pPr>
            <w:r/>
            <w:r>
              <w:rPr>
                <w:rFonts w:ascii="Calibri" w:hAnsi="Calibri"/>
                <w:b w:val="0"/>
                <w:color w:val="111111"/>
                <w:sz w:val="18"/>
              </w:rPr>
              <w:t>Ports/modules/store portability</w:t>
            </w:r>
          </w:p>
        </w:tc>
      </w:tr>
      <w:tr>
        <w:trPr>
          <w:cantSplit/>
        </w:trPr>
        <w:tc>
          <w:tcPr>
            <w:tcW w:type="dxa" w:w="1700"/>
            <w:vAlign w:val="center"/>
            <w:tcMar>
              <w:top w:w="80" w:type="dxa"/>
              <w:bottom w:w="80" w:type="dxa"/>
              <w:start w:w="120" w:type="dxa"/>
              <w:end w:w="120" w:type="dxa"/>
            </w:tcMar>
          </w:tcPr>
          <w:p>
            <w:pPr>
              <w:spacing w:before="0" w:after="0" w:line="264" w:lineRule="auto"/>
              <w:jc w:val="center"/>
            </w:pPr>
            <w:r/>
            <w:r>
              <w:rPr>
                <w:rFonts w:ascii="Calibri" w:hAnsi="Calibri"/>
                <w:b w:val="0"/>
                <w:color w:val="111111"/>
                <w:sz w:val="18"/>
              </w:rPr>
              <w:t>Integration</w:t>
            </w:r>
          </w:p>
        </w:tc>
        <w:tc>
          <w:tcPr>
            <w:tcW w:type="dxa" w:w="2900"/>
            <w:vAlign w:val="center"/>
            <w:tcMar>
              <w:top w:w="80" w:type="dxa"/>
              <w:bottom w:w="80" w:type="dxa"/>
              <w:start w:w="120" w:type="dxa"/>
              <w:end w:w="120" w:type="dxa"/>
            </w:tcMar>
          </w:tcPr>
          <w:p>
            <w:pPr>
              <w:spacing w:before="0" w:after="0" w:line="264" w:lineRule="auto"/>
              <w:jc w:val="center"/>
            </w:pPr>
            <w:r/>
            <w:r>
              <w:rPr>
                <w:rFonts w:ascii="Calibri" w:hAnsi="Calibri"/>
                <w:b w:val="0"/>
                <w:color w:val="111111"/>
                <w:sz w:val="18"/>
              </w:rPr>
              <w:t>55 / 9</w:t>
            </w:r>
          </w:p>
        </w:tc>
        <w:tc>
          <w:tcPr>
            <w:tcW w:type="dxa" w:w="4760"/>
            <w:vAlign w:val="center"/>
            <w:tcMar>
              <w:top w:w="80" w:type="dxa"/>
              <w:bottom w:w="80" w:type="dxa"/>
              <w:start w:w="120" w:type="dxa"/>
              <w:end w:w="120" w:type="dxa"/>
            </w:tcMar>
          </w:tcPr>
          <w:p>
            <w:pPr>
              <w:spacing w:before="0" w:after="0" w:line="264" w:lineRule="auto"/>
              <w:jc w:val="left"/>
            </w:pPr>
            <w:r/>
            <w:r>
              <w:rPr>
                <w:rFonts w:ascii="Calibri" w:hAnsi="Calibri"/>
                <w:b w:val="0"/>
                <w:color w:val="111111"/>
                <w:sz w:val="18"/>
              </w:rPr>
              <w:t>SQLite, CLI/Test UI composition</w:t>
            </w:r>
          </w:p>
        </w:tc>
      </w:tr>
      <w:tr>
        <w:trPr>
          <w:cantSplit/>
        </w:trPr>
        <w:tc>
          <w:tcPr>
            <w:tcW w:type="dxa" w:w="1700"/>
            <w:vAlign w:val="center"/>
            <w:tcMar>
              <w:top w:w="80" w:type="dxa"/>
              <w:bottom w:w="80" w:type="dxa"/>
              <w:start w:w="120" w:type="dxa"/>
              <w:end w:w="120" w:type="dxa"/>
            </w:tcMar>
          </w:tcPr>
          <w:p>
            <w:pPr>
              <w:spacing w:before="0" w:after="0" w:line="264" w:lineRule="auto"/>
              <w:jc w:val="center"/>
            </w:pPr>
            <w:r/>
            <w:r>
              <w:rPr>
                <w:rFonts w:ascii="Calibri" w:hAnsi="Calibri"/>
                <w:b w:val="0"/>
                <w:color w:val="111111"/>
                <w:sz w:val="18"/>
              </w:rPr>
              <w:t>Scenario</w:t>
            </w:r>
          </w:p>
        </w:tc>
        <w:tc>
          <w:tcPr>
            <w:tcW w:type="dxa" w:w="2900"/>
            <w:vAlign w:val="center"/>
            <w:tcMar>
              <w:top w:w="80" w:type="dxa"/>
              <w:bottom w:w="80" w:type="dxa"/>
              <w:start w:w="120" w:type="dxa"/>
              <w:end w:w="120" w:type="dxa"/>
            </w:tcMar>
          </w:tcPr>
          <w:p>
            <w:pPr>
              <w:spacing w:before="0" w:after="0" w:line="264" w:lineRule="auto"/>
              <w:jc w:val="center"/>
            </w:pPr>
            <w:r/>
            <w:r>
              <w:rPr>
                <w:rFonts w:ascii="Calibri" w:hAnsi="Calibri"/>
                <w:b w:val="0"/>
                <w:color w:val="111111"/>
                <w:sz w:val="18"/>
              </w:rPr>
              <w:t>24 / 5</w:t>
            </w:r>
          </w:p>
        </w:tc>
        <w:tc>
          <w:tcPr>
            <w:tcW w:type="dxa" w:w="4760"/>
            <w:vAlign w:val="center"/>
            <w:tcMar>
              <w:top w:w="80" w:type="dxa"/>
              <w:bottom w:w="80" w:type="dxa"/>
              <w:start w:w="120" w:type="dxa"/>
              <w:end w:w="120" w:type="dxa"/>
            </w:tcMar>
          </w:tcPr>
          <w:p>
            <w:pPr>
              <w:spacing w:before="0" w:after="0" w:line="264" w:lineRule="auto"/>
              <w:jc w:val="left"/>
            </w:pPr>
            <w:r/>
            <w:r>
              <w:rPr>
                <w:rFonts w:ascii="Calibri" w:hAnsi="Calibri"/>
                <w:b w:val="0"/>
                <w:color w:val="111111"/>
                <w:sz w:val="18"/>
              </w:rPr>
              <w:t>Complete offline acceptance flows</w:t>
            </w:r>
          </w:p>
        </w:tc>
      </w:tr>
      <w:tr>
        <w:trPr>
          <w:cantSplit/>
        </w:trPr>
        <w:tc>
          <w:tcPr>
            <w:tcW w:type="dxa" w:w="1700"/>
            <w:vAlign w:val="center"/>
            <w:tcMar>
              <w:top w:w="80" w:type="dxa"/>
              <w:bottom w:w="80" w:type="dxa"/>
              <w:start w:w="120" w:type="dxa"/>
              <w:end w:w="120" w:type="dxa"/>
            </w:tcMar>
          </w:tcPr>
          <w:p>
            <w:pPr>
              <w:spacing w:before="0" w:after="0" w:line="264" w:lineRule="auto"/>
              <w:jc w:val="center"/>
            </w:pPr>
            <w:r/>
            <w:r>
              <w:rPr>
                <w:rFonts w:ascii="Calibri" w:hAnsi="Calibri"/>
                <w:b w:val="0"/>
                <w:color w:val="111111"/>
                <w:sz w:val="18"/>
              </w:rPr>
              <w:t>Static</w:t>
            </w:r>
          </w:p>
        </w:tc>
        <w:tc>
          <w:tcPr>
            <w:tcW w:type="dxa" w:w="2900"/>
            <w:vAlign w:val="center"/>
            <w:tcMar>
              <w:top w:w="80" w:type="dxa"/>
              <w:bottom w:w="80" w:type="dxa"/>
              <w:start w:w="120" w:type="dxa"/>
              <w:end w:w="120" w:type="dxa"/>
            </w:tcMar>
          </w:tcPr>
          <w:p>
            <w:pPr>
              <w:spacing w:before="0" w:after="0" w:line="264" w:lineRule="auto"/>
              <w:jc w:val="left"/>
            </w:pPr>
            <w:r/>
            <w:r>
              <w:rPr>
                <w:rFonts w:ascii="Calibri" w:hAnsi="Calibri"/>
                <w:b w:val="0"/>
                <w:color w:val="111111"/>
                <w:sz w:val="18"/>
              </w:rPr>
              <w:t>format/lint/typecheck/boundaries</w:t>
            </w:r>
          </w:p>
        </w:tc>
        <w:tc>
          <w:tcPr>
            <w:tcW w:type="dxa" w:w="4760"/>
            <w:vAlign w:val="center"/>
            <w:tcMar>
              <w:top w:w="80" w:type="dxa"/>
              <w:bottom w:w="80" w:type="dxa"/>
              <w:start w:w="120" w:type="dxa"/>
              <w:end w:w="120" w:type="dxa"/>
            </w:tcMar>
          </w:tcPr>
          <w:p>
            <w:pPr>
              <w:spacing w:before="0" w:after="0" w:line="264" w:lineRule="auto"/>
              <w:jc w:val="left"/>
            </w:pPr>
            <w:r/>
            <w:r>
              <w:rPr>
                <w:rFonts w:ascii="Calibri" w:hAnsi="Calibri"/>
                <w:b w:val="0"/>
                <w:color w:val="111111"/>
                <w:sz w:val="18"/>
              </w:rPr>
              <w:t>Consistency and architecture</w:t>
            </w:r>
          </w:p>
        </w:tc>
      </w:tr>
      <w:tr>
        <w:trPr>
          <w:cantSplit/>
        </w:trPr>
        <w:tc>
          <w:tcPr>
            <w:tcW w:type="dxa" w:w="1700"/>
            <w:vAlign w:val="center"/>
            <w:tcMar>
              <w:top w:w="80" w:type="dxa"/>
              <w:bottom w:w="80" w:type="dxa"/>
              <w:start w:w="120" w:type="dxa"/>
              <w:end w:w="120" w:type="dxa"/>
            </w:tcMar>
          </w:tcPr>
          <w:p>
            <w:pPr>
              <w:spacing w:before="0" w:after="0" w:line="264" w:lineRule="auto"/>
              <w:jc w:val="center"/>
            </w:pPr>
            <w:r/>
            <w:r>
              <w:rPr>
                <w:rFonts w:ascii="Calibri" w:hAnsi="Calibri"/>
                <w:b w:val="0"/>
                <w:color w:val="111111"/>
                <w:sz w:val="18"/>
              </w:rPr>
              <w:t>Docs/build</w:t>
            </w:r>
          </w:p>
        </w:tc>
        <w:tc>
          <w:tcPr>
            <w:tcW w:type="dxa" w:w="2900"/>
            <w:vAlign w:val="center"/>
            <w:tcMar>
              <w:top w:w="80" w:type="dxa"/>
              <w:bottom w:w="80" w:type="dxa"/>
              <w:start w:w="120" w:type="dxa"/>
              <w:end w:w="120" w:type="dxa"/>
            </w:tcMar>
          </w:tcPr>
          <w:p>
            <w:pPr>
              <w:spacing w:before="0" w:after="0" w:line="264" w:lineRule="auto"/>
              <w:jc w:val="left"/>
            </w:pPr>
            <w:r/>
            <w:r>
              <w:rPr>
                <w:rFonts w:ascii="Calibri" w:hAnsi="Calibri"/>
                <w:b w:val="0"/>
                <w:color w:val="111111"/>
                <w:sz w:val="18"/>
              </w:rPr>
              <w:t>121 Markdown files + build</w:t>
            </w:r>
          </w:p>
        </w:tc>
        <w:tc>
          <w:tcPr>
            <w:tcW w:type="dxa" w:w="4760"/>
            <w:vAlign w:val="center"/>
            <w:tcMar>
              <w:top w:w="80" w:type="dxa"/>
              <w:bottom w:w="80" w:type="dxa"/>
              <w:start w:w="120" w:type="dxa"/>
              <w:end w:w="120" w:type="dxa"/>
            </w:tcMar>
          </w:tcPr>
          <w:p>
            <w:pPr>
              <w:spacing w:before="0" w:after="0" w:line="264" w:lineRule="auto"/>
              <w:jc w:val="left"/>
            </w:pPr>
            <w:r/>
            <w:r>
              <w:rPr>
                <w:rFonts w:ascii="Calibri" w:hAnsi="Calibri"/>
                <w:b w:val="0"/>
                <w:color w:val="111111"/>
                <w:sz w:val="18"/>
              </w:rPr>
              <w:t>Links/fences and compilation</w:t>
            </w:r>
          </w:p>
        </w:tc>
      </w:tr>
    </w:tbl>
    <w:p>
      <w:pPr>
        <w:pStyle w:val="TableCitation"/>
      </w:pPr>
      <w:r>
        <w:t>Källa: ACME-0054 archive and 2026-08-06 journal entry.</w:t>
      </w:r>
    </w:p>
    <w:p>
      <w:pPr>
        <w:pStyle w:val="Heading2"/>
      </w:pPr>
      <w:r>
        <w:t>15.1 Live evaluation</w:t>
      </w:r>
    </w:p>
    <w:p>
      <w:pPr>
        <w:keepLines w:val="0"/>
      </w:pPr>
      <w:r>
        <w:rPr>
          <w:rFonts w:ascii="Calibri" w:hAnsi="Calibri"/>
        </w:rPr>
        <w:t>Live evaluation är inte correctness testing. Den är explicit opt-in, budgeterad och secret-bearing; därför ligger den utanför default CI. Golden deterministic fixtures uppdateras aldrig automatiskt.</w:t>
      </w:r>
    </w:p>
    <w:p>
      <w:pPr>
        <w:pStyle w:val="Heading1"/>
      </w:pPr>
      <w:r>
        <w:t>16. Operativa gaps och utvecklarflöde</w:t>
      </w:r>
    </w:p>
    <w:tbl>
      <w:tblPr>
        <w:tblStyle w:val="TableGrid"/>
        <w:tblW w:type="dxa" w:w="9360"/>
        <w:jc w:val="left"/>
        <w:tblLayout w:type="fixed"/>
        <w:tblLook w:firstColumn="1" w:firstRow="1" w:lastColumn="0" w:lastRow="0" w:noHBand="0" w:noVBand="1" w:val="04A0"/>
        <w:tblInd w:type="dxa" w:w="120"/>
      </w:tblPr>
      <w:tblGrid>
        <w:gridCol w:w="1900"/>
        <w:gridCol w:w="3750"/>
        <w:gridCol w:w="3710"/>
      </w:tblGrid>
      <w:tr>
        <w:trPr>
          <w:tblHeader w:val="true"/>
          <w:cantSplit/>
        </w:trPr>
        <w:tc>
          <w:tcPr>
            <w:tcW w:type="dxa" w:w="1900"/>
            <w:shd w:fill="F2F4F7"/>
            <w:vAlign w:val="center"/>
            <w:tcMar>
              <w:top w:w="80" w:type="dxa"/>
              <w:bottom w:w="80" w:type="dxa"/>
              <w:start w:w="120" w:type="dxa"/>
              <w:end w:w="120" w:type="dxa"/>
            </w:tcMar>
          </w:tcPr>
          <w:p>
            <w:pPr>
              <w:spacing w:before="0" w:after="0" w:line="264" w:lineRule="auto"/>
              <w:jc w:val="left"/>
            </w:pPr>
            <w:r/>
            <w:r>
              <w:rPr>
                <w:rFonts w:ascii="Calibri" w:hAnsi="Calibri"/>
                <w:b/>
                <w:color w:val="111111"/>
                <w:sz w:val="17"/>
              </w:rPr>
              <w:t>Gap</w:t>
            </w:r>
          </w:p>
        </w:tc>
        <w:tc>
          <w:tcPr>
            <w:tcW w:type="dxa" w:w="3750"/>
            <w:shd w:fill="F2F4F7"/>
            <w:vAlign w:val="center"/>
            <w:tcMar>
              <w:top w:w="80" w:type="dxa"/>
              <w:bottom w:w="80" w:type="dxa"/>
              <w:start w:w="120" w:type="dxa"/>
              <w:end w:w="120" w:type="dxa"/>
            </w:tcMar>
          </w:tcPr>
          <w:p>
            <w:pPr>
              <w:spacing w:before="0" w:after="0" w:line="264" w:lineRule="auto"/>
              <w:jc w:val="left"/>
            </w:pPr>
            <w:r/>
            <w:r>
              <w:rPr>
                <w:rFonts w:ascii="Calibri" w:hAnsi="Calibri"/>
                <w:b/>
                <w:color w:val="111111"/>
                <w:sz w:val="17"/>
              </w:rPr>
              <w:t>Nuvarande konsekvens</w:t>
            </w:r>
          </w:p>
        </w:tc>
        <w:tc>
          <w:tcPr>
            <w:tcW w:type="dxa" w:w="3710"/>
            <w:shd w:fill="F2F4F7"/>
            <w:vAlign w:val="center"/>
            <w:tcMar>
              <w:top w:w="80" w:type="dxa"/>
              <w:bottom w:w="80" w:type="dxa"/>
              <w:start w:w="120" w:type="dxa"/>
              <w:end w:w="120" w:type="dxa"/>
            </w:tcMar>
          </w:tcPr>
          <w:p>
            <w:pPr>
              <w:spacing w:before="0" w:after="0" w:line="264" w:lineRule="auto"/>
              <w:jc w:val="left"/>
            </w:pPr>
            <w:r/>
            <w:r>
              <w:rPr>
                <w:rFonts w:ascii="Calibri" w:hAnsi="Calibri"/>
                <w:b/>
                <w:color w:val="111111"/>
                <w:sz w:val="17"/>
              </w:rPr>
              <w:t>Ägare för framtida lösning</w:t>
            </w:r>
          </w:p>
        </w:tc>
      </w:tr>
      <w:tr>
        <w:trPr>
          <w:cantSplit/>
        </w:trPr>
        <w:tc>
          <w:tcPr>
            <w:tcW w:type="dxa" w:w="1900"/>
            <w:vAlign w:val="center"/>
            <w:tcMar>
              <w:top w:w="80" w:type="dxa"/>
              <w:bottom w:w="80" w:type="dxa"/>
              <w:start w:w="120" w:type="dxa"/>
              <w:end w:w="120" w:type="dxa"/>
            </w:tcMar>
          </w:tcPr>
          <w:p>
            <w:pPr>
              <w:spacing w:before="0" w:after="0" w:line="264" w:lineRule="auto"/>
              <w:jc w:val="left"/>
            </w:pPr>
            <w:r/>
            <w:r>
              <w:rPr>
                <w:rFonts w:ascii="Calibri" w:hAnsi="Calibri"/>
                <w:b w:val="0"/>
                <w:color w:val="111111"/>
                <w:sz w:val="17"/>
              </w:rPr>
              <w:t>Durable quality store</w:t>
            </w:r>
          </w:p>
        </w:tc>
        <w:tc>
          <w:tcPr>
            <w:tcW w:type="dxa" w:w="3750"/>
            <w:vAlign w:val="center"/>
            <w:tcMar>
              <w:top w:w="80" w:type="dxa"/>
              <w:bottom w:w="80" w:type="dxa"/>
              <w:start w:w="120" w:type="dxa"/>
              <w:end w:w="120" w:type="dxa"/>
            </w:tcMar>
          </w:tcPr>
          <w:p>
            <w:pPr>
              <w:spacing w:before="0" w:after="0" w:line="264" w:lineRule="auto"/>
              <w:jc w:val="left"/>
            </w:pPr>
            <w:r/>
            <w:r>
              <w:rPr>
                <w:rFonts w:ascii="Calibri" w:hAnsi="Calibri"/>
                <w:b w:val="0"/>
                <w:color w:val="111111"/>
                <w:sz w:val="17"/>
              </w:rPr>
              <w:t>Quality records överlever inte process</w:t>
            </w:r>
          </w:p>
        </w:tc>
        <w:tc>
          <w:tcPr>
            <w:tcW w:type="dxa" w:w="3710"/>
            <w:vAlign w:val="center"/>
            <w:tcMar>
              <w:top w:w="80" w:type="dxa"/>
              <w:bottom w:w="80" w:type="dxa"/>
              <w:start w:w="120" w:type="dxa"/>
              <w:end w:w="120" w:type="dxa"/>
            </w:tcMar>
          </w:tcPr>
          <w:p>
            <w:pPr>
              <w:spacing w:before="0" w:after="0" w:line="264" w:lineRule="auto"/>
              <w:jc w:val="left"/>
            </w:pPr>
            <w:r/>
            <w:r>
              <w:rPr>
                <w:rFonts w:ascii="Calibri" w:hAnsi="Calibri"/>
                <w:b w:val="0"/>
                <w:color w:val="111111"/>
                <w:sz w:val="17"/>
              </w:rPr>
              <w:t>Evaluation adapter + migration charter</w:t>
            </w:r>
          </w:p>
        </w:tc>
      </w:tr>
      <w:tr>
        <w:trPr>
          <w:cantSplit/>
        </w:trPr>
        <w:tc>
          <w:tcPr>
            <w:tcW w:type="dxa" w:w="1900"/>
            <w:vAlign w:val="center"/>
            <w:tcMar>
              <w:top w:w="80" w:type="dxa"/>
              <w:bottom w:w="80" w:type="dxa"/>
              <w:start w:w="120" w:type="dxa"/>
              <w:end w:w="120" w:type="dxa"/>
            </w:tcMar>
          </w:tcPr>
          <w:p>
            <w:pPr>
              <w:spacing w:before="0" w:after="0" w:line="264" w:lineRule="auto"/>
              <w:jc w:val="left"/>
            </w:pPr>
            <w:r/>
            <w:r>
              <w:rPr>
                <w:rFonts w:ascii="Calibri" w:hAnsi="Calibri"/>
                <w:b w:val="0"/>
                <w:color w:val="111111"/>
                <w:sz w:val="17"/>
              </w:rPr>
              <w:t>Driver error mapping</w:t>
            </w:r>
          </w:p>
        </w:tc>
        <w:tc>
          <w:tcPr>
            <w:tcW w:type="dxa" w:w="3750"/>
            <w:vAlign w:val="center"/>
            <w:tcMar>
              <w:top w:w="80" w:type="dxa"/>
              <w:bottom w:w="80" w:type="dxa"/>
              <w:start w:w="120" w:type="dxa"/>
              <w:end w:w="120" w:type="dxa"/>
            </w:tcMar>
          </w:tcPr>
          <w:p>
            <w:pPr>
              <w:spacing w:before="0" w:after="0" w:line="264" w:lineRule="auto"/>
              <w:jc w:val="left"/>
            </w:pPr>
            <w:r/>
            <w:r>
              <w:rPr>
                <w:rFonts w:ascii="Calibri" w:hAnsi="Calibri"/>
                <w:b w:val="0"/>
                <w:color w:val="111111"/>
                <w:sz w:val="17"/>
              </w:rPr>
              <w:t>SQLite faults kan bli INTERNAL</w:t>
            </w:r>
          </w:p>
        </w:tc>
        <w:tc>
          <w:tcPr>
            <w:tcW w:type="dxa" w:w="3710"/>
            <w:vAlign w:val="center"/>
            <w:tcMar>
              <w:top w:w="80" w:type="dxa"/>
              <w:bottom w:w="80" w:type="dxa"/>
              <w:start w:w="120" w:type="dxa"/>
              <w:end w:w="120" w:type="dxa"/>
            </w:tcMar>
          </w:tcPr>
          <w:p>
            <w:pPr>
              <w:spacing w:before="0" w:after="0" w:line="264" w:lineRule="auto"/>
              <w:jc w:val="left"/>
            </w:pPr>
            <w:r/>
            <w:r>
              <w:rPr>
                <w:rFonts w:ascii="Calibri" w:hAnsi="Calibri"/>
                <w:b w:val="0"/>
                <w:color w:val="111111"/>
                <w:sz w:val="17"/>
              </w:rPr>
              <w:t>SQLite adapter; generic core codes</w:t>
            </w:r>
          </w:p>
        </w:tc>
      </w:tr>
      <w:tr>
        <w:trPr>
          <w:cantSplit/>
        </w:trPr>
        <w:tc>
          <w:tcPr>
            <w:tcW w:type="dxa" w:w="1900"/>
            <w:vAlign w:val="center"/>
            <w:tcMar>
              <w:top w:w="80" w:type="dxa"/>
              <w:bottom w:w="80" w:type="dxa"/>
              <w:start w:w="120" w:type="dxa"/>
              <w:end w:w="120" w:type="dxa"/>
            </w:tcMar>
          </w:tcPr>
          <w:p>
            <w:pPr>
              <w:spacing w:before="0" w:after="0" w:line="264" w:lineRule="auto"/>
              <w:jc w:val="left"/>
            </w:pPr>
            <w:r/>
            <w:r>
              <w:rPr>
                <w:rFonts w:ascii="Calibri" w:hAnsi="Calibri"/>
                <w:b w:val="0"/>
                <w:color w:val="111111"/>
                <w:sz w:val="17"/>
              </w:rPr>
              <w:t>Outbox redrive</w:t>
            </w:r>
          </w:p>
        </w:tc>
        <w:tc>
          <w:tcPr>
            <w:tcW w:type="dxa" w:w="3750"/>
            <w:vAlign w:val="center"/>
            <w:tcMar>
              <w:top w:w="80" w:type="dxa"/>
              <w:bottom w:w="80" w:type="dxa"/>
              <w:start w:w="120" w:type="dxa"/>
              <w:end w:w="120" w:type="dxa"/>
            </w:tcMar>
          </w:tcPr>
          <w:p>
            <w:pPr>
              <w:spacing w:before="0" w:after="0" w:line="264" w:lineRule="auto"/>
              <w:jc w:val="left"/>
            </w:pPr>
            <w:r/>
            <w:r>
              <w:rPr>
                <w:rFonts w:ascii="Calibri" w:hAnsi="Calibri"/>
                <w:b w:val="0"/>
                <w:color w:val="111111"/>
                <w:sz w:val="17"/>
              </w:rPr>
              <w:t>failed saknar recovery</w:t>
            </w:r>
          </w:p>
        </w:tc>
        <w:tc>
          <w:tcPr>
            <w:tcW w:type="dxa" w:w="3710"/>
            <w:vAlign w:val="center"/>
            <w:tcMar>
              <w:top w:w="80" w:type="dxa"/>
              <w:bottom w:w="80" w:type="dxa"/>
              <w:start w:w="120" w:type="dxa"/>
              <w:end w:w="120" w:type="dxa"/>
            </w:tcMar>
          </w:tcPr>
          <w:p>
            <w:pPr>
              <w:spacing w:before="0" w:after="0" w:line="264" w:lineRule="auto"/>
              <w:jc w:val="left"/>
            </w:pPr>
            <w:r/>
            <w:r>
              <w:rPr>
                <w:rFonts w:ascii="Calibri" w:hAnsi="Calibri"/>
                <w:b w:val="0"/>
                <w:color w:val="111111"/>
                <w:sz w:val="17"/>
              </w:rPr>
              <w:t>Transport/operations layer</w:t>
            </w:r>
          </w:p>
        </w:tc>
      </w:tr>
      <w:tr>
        <w:trPr>
          <w:cantSplit/>
        </w:trPr>
        <w:tc>
          <w:tcPr>
            <w:tcW w:type="dxa" w:w="1900"/>
            <w:vAlign w:val="center"/>
            <w:tcMar>
              <w:top w:w="80" w:type="dxa"/>
              <w:bottom w:w="80" w:type="dxa"/>
              <w:start w:w="120" w:type="dxa"/>
              <w:end w:w="120" w:type="dxa"/>
            </w:tcMar>
          </w:tcPr>
          <w:p>
            <w:pPr>
              <w:spacing w:before="0" w:after="0" w:line="264" w:lineRule="auto"/>
              <w:jc w:val="left"/>
            </w:pPr>
            <w:r/>
            <w:r>
              <w:rPr>
                <w:rFonts w:ascii="Calibri" w:hAnsi="Calibri"/>
                <w:b w:val="0"/>
                <w:color w:val="111111"/>
                <w:sz w:val="17"/>
              </w:rPr>
              <w:t>Stranded executions</w:t>
            </w:r>
          </w:p>
        </w:tc>
        <w:tc>
          <w:tcPr>
            <w:tcW w:type="dxa" w:w="3750"/>
            <w:vAlign w:val="center"/>
            <w:tcMar>
              <w:top w:w="80" w:type="dxa"/>
              <w:bottom w:w="80" w:type="dxa"/>
              <w:start w:w="120" w:type="dxa"/>
              <w:end w:w="120" w:type="dxa"/>
            </w:tcMar>
          </w:tcPr>
          <w:p>
            <w:pPr>
              <w:spacing w:before="0" w:after="0" w:line="264" w:lineRule="auto"/>
              <w:jc w:val="left"/>
            </w:pPr>
            <w:r/>
            <w:r>
              <w:rPr>
                <w:rFonts w:ascii="Calibri" w:hAnsi="Calibri"/>
                <w:b w:val="0"/>
                <w:color w:val="111111"/>
                <w:sz w:val="17"/>
              </w:rPr>
              <w:t>Human decision saknar command</w:t>
            </w:r>
          </w:p>
        </w:tc>
        <w:tc>
          <w:tcPr>
            <w:tcW w:type="dxa" w:w="3710"/>
            <w:vAlign w:val="center"/>
            <w:tcMar>
              <w:top w:w="80" w:type="dxa"/>
              <w:bottom w:w="80" w:type="dxa"/>
              <w:start w:w="120" w:type="dxa"/>
              <w:end w:w="120" w:type="dxa"/>
            </w:tcMar>
          </w:tcPr>
          <w:p>
            <w:pPr>
              <w:spacing w:before="0" w:after="0" w:line="264" w:lineRule="auto"/>
              <w:jc w:val="left"/>
            </w:pPr>
            <w:r/>
            <w:r>
              <w:rPr>
                <w:rFonts w:ascii="Calibri" w:hAnsi="Calibri"/>
                <w:b w:val="0"/>
                <w:color w:val="111111"/>
                <w:sz w:val="17"/>
              </w:rPr>
              <w:t>Operator surface</w:t>
            </w:r>
          </w:p>
        </w:tc>
      </w:tr>
      <w:tr>
        <w:trPr>
          <w:cantSplit/>
        </w:trPr>
        <w:tc>
          <w:tcPr>
            <w:tcW w:type="dxa" w:w="1900"/>
            <w:vAlign w:val="center"/>
            <w:tcMar>
              <w:top w:w="80" w:type="dxa"/>
              <w:bottom w:w="80" w:type="dxa"/>
              <w:start w:w="120" w:type="dxa"/>
              <w:end w:w="120" w:type="dxa"/>
            </w:tcMar>
          </w:tcPr>
          <w:p>
            <w:pPr>
              <w:spacing w:before="0" w:after="0" w:line="264" w:lineRule="auto"/>
              <w:jc w:val="left"/>
            </w:pPr>
            <w:r/>
            <w:r>
              <w:rPr>
                <w:rFonts w:ascii="Calibri" w:hAnsi="Calibri"/>
                <w:b w:val="0"/>
                <w:color w:val="111111"/>
                <w:sz w:val="17"/>
              </w:rPr>
              <w:t>Multi-step live scenario</w:t>
            </w:r>
          </w:p>
        </w:tc>
        <w:tc>
          <w:tcPr>
            <w:tcW w:type="dxa" w:w="3750"/>
            <w:vAlign w:val="center"/>
            <w:tcMar>
              <w:top w:w="80" w:type="dxa"/>
              <w:bottom w:w="80" w:type="dxa"/>
              <w:start w:w="120" w:type="dxa"/>
              <w:end w:w="120" w:type="dxa"/>
            </w:tcMar>
          </w:tcPr>
          <w:p>
            <w:pPr>
              <w:spacing w:before="0" w:after="0" w:line="264" w:lineRule="auto"/>
              <w:jc w:val="left"/>
            </w:pPr>
            <w:r/>
            <w:r>
              <w:rPr>
                <w:rFonts w:ascii="Calibri" w:hAnsi="Calibri"/>
                <w:b w:val="0"/>
                <w:color w:val="111111"/>
                <w:sz w:val="17"/>
              </w:rPr>
              <w:t>Runner är mock-only</w:t>
            </w:r>
          </w:p>
        </w:tc>
        <w:tc>
          <w:tcPr>
            <w:tcW w:type="dxa" w:w="3710"/>
            <w:vAlign w:val="center"/>
            <w:tcMar>
              <w:top w:w="80" w:type="dxa"/>
              <w:bottom w:w="80" w:type="dxa"/>
              <w:start w:w="120" w:type="dxa"/>
              <w:end w:w="120" w:type="dxa"/>
            </w:tcMar>
          </w:tcPr>
          <w:p>
            <w:pPr>
              <w:spacing w:before="0" w:after="0" w:line="264" w:lineRule="auto"/>
              <w:jc w:val="left"/>
            </w:pPr>
            <w:r/>
            <w:r>
              <w:rPr>
                <w:rFonts w:ascii="Calibri" w:hAnsi="Calibri"/>
                <w:b w:val="0"/>
                <w:color w:val="111111"/>
                <w:sz w:val="17"/>
              </w:rPr>
              <w:t>Separate approved live workflow</w:t>
            </w:r>
          </w:p>
        </w:tc>
      </w:tr>
      <w:tr>
        <w:trPr>
          <w:cantSplit/>
        </w:trPr>
        <w:tc>
          <w:tcPr>
            <w:tcW w:type="dxa" w:w="1900"/>
            <w:vAlign w:val="center"/>
            <w:tcMar>
              <w:top w:w="80" w:type="dxa"/>
              <w:bottom w:w="80" w:type="dxa"/>
              <w:start w:w="120" w:type="dxa"/>
              <w:end w:w="120" w:type="dxa"/>
            </w:tcMar>
          </w:tcPr>
          <w:p>
            <w:pPr>
              <w:spacing w:before="0" w:after="0" w:line="264" w:lineRule="auto"/>
              <w:jc w:val="left"/>
            </w:pPr>
            <w:r/>
            <w:r>
              <w:rPr>
                <w:rFonts w:ascii="Calibri" w:hAnsi="Calibri"/>
                <w:b w:val="0"/>
                <w:color w:val="111111"/>
                <w:sz w:val="17"/>
              </w:rPr>
              <w:t>Key lifecycle</w:t>
            </w:r>
          </w:p>
        </w:tc>
        <w:tc>
          <w:tcPr>
            <w:tcW w:type="dxa" w:w="3750"/>
            <w:vAlign w:val="center"/>
            <w:tcMar>
              <w:top w:w="80" w:type="dxa"/>
              <w:bottom w:w="80" w:type="dxa"/>
              <w:start w:w="120" w:type="dxa"/>
              <w:end w:w="120" w:type="dxa"/>
            </w:tcMar>
          </w:tcPr>
          <w:p>
            <w:pPr>
              <w:spacing w:before="0" w:after="0" w:line="264" w:lineRule="auto"/>
              <w:jc w:val="left"/>
            </w:pPr>
            <w:r/>
            <w:r>
              <w:rPr>
                <w:rFonts w:ascii="Calibri" w:hAnsi="Calibri"/>
                <w:b w:val="0"/>
                <w:color w:val="111111"/>
                <w:sz w:val="17"/>
              </w:rPr>
              <w:t>Injected key only</w:t>
            </w:r>
          </w:p>
        </w:tc>
        <w:tc>
          <w:tcPr>
            <w:tcW w:type="dxa" w:w="3710"/>
            <w:vAlign w:val="center"/>
            <w:tcMar>
              <w:top w:w="80" w:type="dxa"/>
              <w:bottom w:w="80" w:type="dxa"/>
              <w:start w:w="120" w:type="dxa"/>
              <w:end w:w="120" w:type="dxa"/>
            </w:tcMar>
          </w:tcPr>
          <w:p>
            <w:pPr>
              <w:spacing w:before="0" w:after="0" w:line="264" w:lineRule="auto"/>
              <w:jc w:val="left"/>
            </w:pPr>
            <w:r/>
            <w:r>
              <w:rPr>
                <w:rFonts w:ascii="Calibri" w:hAnsi="Calibri"/>
                <w:b w:val="0"/>
                <w:color w:val="111111"/>
                <w:sz w:val="17"/>
              </w:rPr>
              <w:t>External KMS/rotation integration</w:t>
            </w:r>
          </w:p>
        </w:tc>
      </w:tr>
    </w:tbl>
    <w:p>
      <w:pPr>
        <w:pStyle w:val="Heading2"/>
      </w:pPr>
      <w:r>
        <w:t>16.1 Lokal utvecklarloop</w:t>
      </w:r>
    </w:p>
    <w:p>
      <w:pPr>
        <w:pStyle w:val="ListNumber"/>
        <w:numPr>
          <w:ilvl w:val="0"/>
          <w:numId w:val="12"/>
        </w:numPr>
      </w:pPr>
      <w:r>
        <w:t>Läs CURRENT_TASK.md och governing docs; frys ett bounded charter.</w:t>
      </w:r>
    </w:p>
    <w:p>
      <w:pPr>
        <w:pStyle w:val="ListNumber"/>
        <w:numPr>
          <w:ilvl w:val="0"/>
          <w:numId w:val="12"/>
        </w:numPr>
      </w:pPr>
      <w:r>
        <w:t>Ändra core contract och pure test först när arkitekturen kräver det.</w:t>
      </w:r>
    </w:p>
    <w:p>
      <w:pPr>
        <w:pStyle w:val="ListNumber"/>
        <w:numPr>
          <w:ilvl w:val="0"/>
          <w:numId w:val="12"/>
        </w:numPr>
      </w:pPr>
      <w:r>
        <w:t>Kör adapter/module/store conformance på public ports.</w:t>
      </w:r>
    </w:p>
    <w:p>
      <w:pPr>
        <w:pStyle w:val="ListNumber"/>
        <w:numPr>
          <w:ilvl w:val="0"/>
          <w:numId w:val="12"/>
        </w:numPr>
      </w:pPr>
      <w:r>
        <w:t>Kör deterministic scenario med memory och, där charter kräver, SQLite.</w:t>
      </w:r>
    </w:p>
    <w:p>
      <w:pPr>
        <w:pStyle w:val="ListNumber"/>
        <w:numPr>
          <w:ilvl w:val="0"/>
          <w:numId w:val="12"/>
        </w:numPr>
      </w:pPr>
      <w:r>
        <w:t>Kör docs, format, lint, typecheck, boundaries, test suites och build.</w:t>
      </w:r>
    </w:p>
    <w:p>
      <w:pPr>
        <w:pStyle w:val="ListNumber"/>
        <w:numPr>
          <w:ilvl w:val="0"/>
          <w:numId w:val="12"/>
        </w:numPr>
      </w:pPr>
      <w:r>
        <w:t>Använd live gate endast med explicit opt-in, budget och data handling.</w:t>
      </w:r>
    </w:p>
    <w:p>
      <w:pPr>
        <w:pStyle w:val="ListNumber"/>
        <w:numPr>
          <w:ilvl w:val="0"/>
          <w:numId w:val="12"/>
        </w:numPr>
      </w:pPr>
      <w:r>
        <w:t>Synka docs, skriv journal, arkivera task och återställ CURRENT_TASK template.</w:t>
      </w:r>
    </w:p>
    <w:p>
      <w:pPr>
        <w:pStyle w:val="Heading1"/>
      </w:pPr>
      <w:r>
        <w:t>17. Kontraktsindex och ordlista</w:t>
      </w:r>
    </w:p>
    <w:tbl>
      <w:tblPr>
        <w:tblStyle w:val="TableGrid"/>
        <w:tblW w:type="dxa" w:w="9360"/>
        <w:jc w:val="left"/>
        <w:tblLayout w:type="fixed"/>
        <w:tblLook w:firstColumn="1" w:firstRow="1" w:lastColumn="0" w:lastRow="0" w:noHBand="0" w:noVBand="1" w:val="04A0"/>
        <w:tblInd w:type="dxa" w:w="120"/>
      </w:tblPr>
      <w:tblGrid>
        <w:gridCol w:w="2300"/>
        <w:gridCol w:w="7060"/>
      </w:tblGrid>
      <w:tr>
        <w:trPr>
          <w:tblHeader w:val="true"/>
          <w:cantSplit/>
        </w:trPr>
        <w:tc>
          <w:tcPr>
            <w:tcW w:type="dxa" w:w="2300"/>
            <w:shd w:fill="F2F4F7"/>
            <w:vAlign w:val="center"/>
            <w:tcMar>
              <w:top w:w="80" w:type="dxa"/>
              <w:bottom w:w="80" w:type="dxa"/>
              <w:start w:w="120" w:type="dxa"/>
              <w:end w:w="120" w:type="dxa"/>
            </w:tcMar>
          </w:tcPr>
          <w:p>
            <w:pPr>
              <w:spacing w:before="0" w:after="0" w:line="264" w:lineRule="auto"/>
              <w:jc w:val="left"/>
            </w:pPr>
            <w:r/>
            <w:r>
              <w:rPr>
                <w:rFonts w:ascii="Calibri" w:hAnsi="Calibri"/>
                <w:b/>
                <w:color w:val="111111"/>
                <w:sz w:val="17"/>
              </w:rPr>
              <w:t>Term</w:t>
            </w:r>
          </w:p>
        </w:tc>
        <w:tc>
          <w:tcPr>
            <w:tcW w:type="dxa" w:w="7060"/>
            <w:shd w:fill="F2F4F7"/>
            <w:vAlign w:val="center"/>
            <w:tcMar>
              <w:top w:w="80" w:type="dxa"/>
              <w:bottom w:w="80" w:type="dxa"/>
              <w:start w:w="120" w:type="dxa"/>
              <w:end w:w="120" w:type="dxa"/>
            </w:tcMar>
          </w:tcPr>
          <w:p>
            <w:pPr>
              <w:spacing w:before="0" w:after="0" w:line="264" w:lineRule="auto"/>
              <w:jc w:val="left"/>
            </w:pPr>
            <w:r/>
            <w:r>
              <w:rPr>
                <w:rFonts w:ascii="Calibri" w:hAnsi="Calibri"/>
                <w:b/>
                <w:color w:val="111111"/>
                <w:sz w:val="17"/>
              </w:rPr>
              <w:t>Betydelse</w:t>
            </w:r>
          </w:p>
        </w:tc>
      </w:tr>
      <w:tr>
        <w:trPr>
          <w:cantSplit/>
        </w:trPr>
        <w:tc>
          <w:tcPr>
            <w:tcW w:type="dxa" w:w="2300"/>
            <w:vAlign w:val="center"/>
            <w:tcMar>
              <w:top w:w="80" w:type="dxa"/>
              <w:bottom w:w="80" w:type="dxa"/>
              <w:start w:w="120" w:type="dxa"/>
              <w:end w:w="120" w:type="dxa"/>
            </w:tcMar>
          </w:tcPr>
          <w:p>
            <w:pPr>
              <w:spacing w:before="0" w:after="0" w:line="264" w:lineRule="auto"/>
              <w:jc w:val="left"/>
            </w:pPr>
            <w:r/>
            <w:r>
              <w:rPr>
                <w:rFonts w:ascii="Calibri" w:hAnsi="Calibri"/>
                <w:b w:val="0"/>
                <w:color w:val="111111"/>
                <w:sz w:val="17"/>
              </w:rPr>
              <w:t>ExecutionRequest</w:t>
            </w:r>
          </w:p>
        </w:tc>
        <w:tc>
          <w:tcPr>
            <w:tcW w:type="dxa" w:w="7060"/>
            <w:vAlign w:val="center"/>
            <w:tcMar>
              <w:top w:w="80" w:type="dxa"/>
              <w:bottom w:w="80" w:type="dxa"/>
              <w:start w:w="120" w:type="dxa"/>
              <w:end w:w="120" w:type="dxa"/>
            </w:tcMar>
          </w:tcPr>
          <w:p>
            <w:pPr>
              <w:spacing w:before="0" w:after="0" w:line="264" w:lineRule="auto"/>
              <w:jc w:val="left"/>
            </w:pPr>
            <w:r/>
            <w:r>
              <w:rPr>
                <w:rFonts w:ascii="Calibri" w:hAnsi="Calibri"/>
                <w:b w:val="0"/>
                <w:color w:val="111111"/>
                <w:sz w:val="17"/>
              </w:rPr>
              <w:t>Versioned request med key, namespace, task, entity, revision, input, model och policy.</w:t>
            </w:r>
          </w:p>
        </w:tc>
      </w:tr>
      <w:tr>
        <w:trPr>
          <w:cantSplit/>
        </w:trPr>
        <w:tc>
          <w:tcPr>
            <w:tcW w:type="dxa" w:w="2300"/>
            <w:vAlign w:val="center"/>
            <w:tcMar>
              <w:top w:w="80" w:type="dxa"/>
              <w:bottom w:w="80" w:type="dxa"/>
              <w:start w:w="120" w:type="dxa"/>
              <w:end w:w="120" w:type="dxa"/>
            </w:tcMar>
          </w:tcPr>
          <w:p>
            <w:pPr>
              <w:spacing w:before="0" w:after="0" w:line="264" w:lineRule="auto"/>
              <w:jc w:val="left"/>
            </w:pPr>
            <w:r/>
            <w:r>
              <w:rPr>
                <w:rFonts w:ascii="Calibri" w:hAnsi="Calibri"/>
                <w:b w:val="0"/>
                <w:color w:val="111111"/>
                <w:sz w:val="17"/>
              </w:rPr>
              <w:t>PromptContract</w:t>
            </w:r>
          </w:p>
        </w:tc>
        <w:tc>
          <w:tcPr>
            <w:tcW w:type="dxa" w:w="7060"/>
            <w:vAlign w:val="center"/>
            <w:tcMar>
              <w:top w:w="80" w:type="dxa"/>
              <w:bottom w:w="80" w:type="dxa"/>
              <w:start w:w="120" w:type="dxa"/>
              <w:end w:w="120" w:type="dxa"/>
            </w:tcMar>
          </w:tcPr>
          <w:p>
            <w:pPr>
              <w:spacing w:before="0" w:after="0" w:line="264" w:lineRule="auto"/>
              <w:jc w:val="left"/>
            </w:pPr>
            <w:r/>
            <w:r>
              <w:rPr>
                <w:rFonts w:ascii="Calibri" w:hAnsi="Calibri"/>
                <w:b w:val="0"/>
                <w:color w:val="111111"/>
                <w:sz w:val="17"/>
              </w:rPr>
              <w:t>Runtime schema + semantic validation + fingerprint.</w:t>
            </w:r>
          </w:p>
        </w:tc>
      </w:tr>
      <w:tr>
        <w:trPr>
          <w:cantSplit/>
        </w:trPr>
        <w:tc>
          <w:tcPr>
            <w:tcW w:type="dxa" w:w="2300"/>
            <w:vAlign w:val="center"/>
            <w:tcMar>
              <w:top w:w="80" w:type="dxa"/>
              <w:bottom w:w="80" w:type="dxa"/>
              <w:start w:w="120" w:type="dxa"/>
              <w:end w:w="120" w:type="dxa"/>
            </w:tcMar>
          </w:tcPr>
          <w:p>
            <w:pPr>
              <w:spacing w:before="0" w:after="0" w:line="264" w:lineRule="auto"/>
              <w:jc w:val="left"/>
            </w:pPr>
            <w:r/>
            <w:r>
              <w:rPr>
                <w:rFonts w:ascii="Calibri" w:hAnsi="Calibri"/>
                <w:b w:val="0"/>
                <w:color w:val="111111"/>
                <w:sz w:val="17"/>
              </w:rPr>
              <w:t>DomainModule</w:t>
            </w:r>
          </w:p>
        </w:tc>
        <w:tc>
          <w:tcPr>
            <w:tcW w:type="dxa" w:w="7060"/>
            <w:vAlign w:val="center"/>
            <w:tcMar>
              <w:top w:w="80" w:type="dxa"/>
              <w:bottom w:w="80" w:type="dxa"/>
              <w:start w:w="120" w:type="dxa"/>
              <w:end w:w="120" w:type="dxa"/>
            </w:tcMar>
          </w:tcPr>
          <w:p>
            <w:pPr>
              <w:spacing w:before="0" w:after="0" w:line="264" w:lineRule="auto"/>
              <w:jc w:val="left"/>
            </w:pPr>
            <w:r/>
            <w:r>
              <w:rPr>
                <w:rFonts w:ascii="Calibri" w:hAnsi="Calibri"/>
                <w:b w:val="0"/>
                <w:color w:val="111111"/>
                <w:sz w:val="17"/>
              </w:rPr>
              <w:t>Task projection/interpretation, memory policy, state reducer/invariants.</w:t>
            </w:r>
          </w:p>
        </w:tc>
      </w:tr>
      <w:tr>
        <w:trPr>
          <w:cantSplit/>
        </w:trPr>
        <w:tc>
          <w:tcPr>
            <w:tcW w:type="dxa" w:w="2300"/>
            <w:vAlign w:val="center"/>
            <w:tcMar>
              <w:top w:w="80" w:type="dxa"/>
              <w:bottom w:w="80" w:type="dxa"/>
              <w:start w:w="120" w:type="dxa"/>
              <w:end w:w="120" w:type="dxa"/>
            </w:tcMar>
          </w:tcPr>
          <w:p>
            <w:pPr>
              <w:spacing w:before="0" w:after="0" w:line="264" w:lineRule="auto"/>
              <w:jc w:val="left"/>
            </w:pPr>
            <w:r/>
            <w:r>
              <w:rPr>
                <w:rFonts w:ascii="Calibri" w:hAnsi="Calibri"/>
                <w:b w:val="0"/>
                <w:color w:val="111111"/>
                <w:sz w:val="17"/>
              </w:rPr>
              <w:t>PreparedCommit</w:t>
            </w:r>
          </w:p>
        </w:tc>
        <w:tc>
          <w:tcPr>
            <w:tcW w:type="dxa" w:w="7060"/>
            <w:vAlign w:val="center"/>
            <w:tcMar>
              <w:top w:w="80" w:type="dxa"/>
              <w:bottom w:w="80" w:type="dxa"/>
              <w:start w:w="120" w:type="dxa"/>
              <w:end w:w="120" w:type="dxa"/>
            </w:tcMar>
          </w:tcPr>
          <w:p>
            <w:pPr>
              <w:spacing w:before="0" w:after="0" w:line="264" w:lineRule="auto"/>
              <w:jc w:val="left"/>
            </w:pPr>
            <w:r/>
            <w:r>
              <w:rPr>
                <w:rFonts w:ascii="Calibri" w:hAnsi="Calibri"/>
                <w:b w:val="0"/>
                <w:color w:val="111111"/>
                <w:sz w:val="17"/>
              </w:rPr>
              <w:t>Validerad kandidat till atomisk canonical commit.</w:t>
            </w:r>
          </w:p>
        </w:tc>
      </w:tr>
      <w:tr>
        <w:trPr>
          <w:cantSplit/>
        </w:trPr>
        <w:tc>
          <w:tcPr>
            <w:tcW w:type="dxa" w:w="2300"/>
            <w:vAlign w:val="center"/>
            <w:tcMar>
              <w:top w:w="80" w:type="dxa"/>
              <w:bottom w:w="80" w:type="dxa"/>
              <w:start w:w="120" w:type="dxa"/>
              <w:end w:w="120" w:type="dxa"/>
            </w:tcMar>
          </w:tcPr>
          <w:p>
            <w:pPr>
              <w:spacing w:before="0" w:after="0" w:line="264" w:lineRule="auto"/>
              <w:jc w:val="left"/>
            </w:pPr>
            <w:r/>
            <w:r>
              <w:rPr>
                <w:rFonts w:ascii="Calibri" w:hAnsi="Calibri"/>
                <w:b w:val="0"/>
                <w:color w:val="111111"/>
                <w:sz w:val="17"/>
              </w:rPr>
              <w:t>Operation digest</w:t>
            </w:r>
          </w:p>
        </w:tc>
        <w:tc>
          <w:tcPr>
            <w:tcW w:type="dxa" w:w="7060"/>
            <w:vAlign w:val="center"/>
            <w:tcMar>
              <w:top w:w="80" w:type="dxa"/>
              <w:bottom w:w="80" w:type="dxa"/>
              <w:start w:w="120" w:type="dxa"/>
              <w:end w:w="120" w:type="dxa"/>
            </w:tcMar>
          </w:tcPr>
          <w:p>
            <w:pPr>
              <w:spacing w:before="0" w:after="0" w:line="264" w:lineRule="auto"/>
              <w:jc w:val="left"/>
            </w:pPr>
            <w:r/>
            <w:r>
              <w:rPr>
                <w:rFonts w:ascii="Calibri" w:hAnsi="Calibri"/>
                <w:b w:val="0"/>
                <w:color w:val="111111"/>
                <w:sz w:val="17"/>
              </w:rPr>
              <w:t>Content hash över prepared operation evidence.</w:t>
            </w:r>
          </w:p>
        </w:tc>
      </w:tr>
      <w:tr>
        <w:trPr>
          <w:cantSplit/>
        </w:trPr>
        <w:tc>
          <w:tcPr>
            <w:tcW w:type="dxa" w:w="2300"/>
            <w:vAlign w:val="center"/>
            <w:tcMar>
              <w:top w:w="80" w:type="dxa"/>
              <w:bottom w:w="80" w:type="dxa"/>
              <w:start w:w="120" w:type="dxa"/>
              <w:end w:w="120" w:type="dxa"/>
            </w:tcMar>
          </w:tcPr>
          <w:p>
            <w:pPr>
              <w:spacing w:before="0" w:after="0" w:line="264" w:lineRule="auto"/>
              <w:jc w:val="left"/>
            </w:pPr>
            <w:r/>
            <w:r>
              <w:rPr>
                <w:rFonts w:ascii="Calibri" w:hAnsi="Calibri"/>
                <w:b w:val="0"/>
                <w:color w:val="111111"/>
                <w:sz w:val="17"/>
              </w:rPr>
              <w:t>Replay evidence</w:t>
            </w:r>
          </w:p>
        </w:tc>
        <w:tc>
          <w:tcPr>
            <w:tcW w:type="dxa" w:w="7060"/>
            <w:vAlign w:val="center"/>
            <w:tcMar>
              <w:top w:w="80" w:type="dxa"/>
              <w:bottom w:w="80" w:type="dxa"/>
              <w:start w:w="120" w:type="dxa"/>
              <w:end w:w="120" w:type="dxa"/>
            </w:tcMar>
          </w:tcPr>
          <w:p>
            <w:pPr>
              <w:spacing w:before="0" w:after="0" w:line="264" w:lineRule="auto"/>
              <w:jc w:val="left"/>
            </w:pPr>
            <w:r/>
            <w:r>
              <w:rPr>
                <w:rFonts w:ascii="Calibri" w:hAnsi="Calibri"/>
                <w:b w:val="0"/>
                <w:color w:val="111111"/>
                <w:sz w:val="17"/>
              </w:rPr>
              <w:t>Immutable read-set för offline verification.</w:t>
            </w:r>
          </w:p>
        </w:tc>
      </w:tr>
      <w:tr>
        <w:trPr>
          <w:cantSplit/>
        </w:trPr>
        <w:tc>
          <w:tcPr>
            <w:tcW w:type="dxa" w:w="2300"/>
            <w:vAlign w:val="center"/>
            <w:tcMar>
              <w:top w:w="80" w:type="dxa"/>
              <w:bottom w:w="80" w:type="dxa"/>
              <w:start w:w="120" w:type="dxa"/>
              <w:end w:w="120" w:type="dxa"/>
            </w:tcMar>
          </w:tcPr>
          <w:p>
            <w:pPr>
              <w:spacing w:before="0" w:after="0" w:line="264" w:lineRule="auto"/>
              <w:jc w:val="left"/>
            </w:pPr>
            <w:r/>
            <w:r>
              <w:rPr>
                <w:rFonts w:ascii="Calibri" w:hAnsi="Calibri"/>
                <w:b w:val="0"/>
                <w:color w:val="111111"/>
                <w:sz w:val="17"/>
              </w:rPr>
              <w:t>Quality subject</w:t>
            </w:r>
          </w:p>
        </w:tc>
        <w:tc>
          <w:tcPr>
            <w:tcW w:type="dxa" w:w="7060"/>
            <w:vAlign w:val="center"/>
            <w:tcMar>
              <w:top w:w="80" w:type="dxa"/>
              <w:bottom w:w="80" w:type="dxa"/>
              <w:start w:w="120" w:type="dxa"/>
              <w:end w:w="120" w:type="dxa"/>
            </w:tcMar>
          </w:tcPr>
          <w:p>
            <w:pPr>
              <w:spacing w:before="0" w:after="0" w:line="264" w:lineRule="auto"/>
              <w:jc w:val="left"/>
            </w:pPr>
            <w:r/>
            <w:r>
              <w:rPr>
                <w:rFonts w:ascii="Calibri" w:hAnsi="Calibri"/>
                <w:b w:val="0"/>
                <w:color w:val="111111"/>
                <w:sz w:val="17"/>
              </w:rPr>
              <w:t>Exact run/execution/artifact/contract-bound post-execution input.</w:t>
            </w:r>
          </w:p>
        </w:tc>
      </w:tr>
      <w:tr>
        <w:trPr>
          <w:cantSplit/>
        </w:trPr>
        <w:tc>
          <w:tcPr>
            <w:tcW w:type="dxa" w:w="2300"/>
            <w:vAlign w:val="center"/>
            <w:tcMar>
              <w:top w:w="80" w:type="dxa"/>
              <w:bottom w:w="80" w:type="dxa"/>
              <w:start w:w="120" w:type="dxa"/>
              <w:end w:w="120" w:type="dxa"/>
            </w:tcMar>
          </w:tcPr>
          <w:p>
            <w:pPr>
              <w:spacing w:before="0" w:after="0" w:line="264" w:lineRule="auto"/>
              <w:jc w:val="center"/>
            </w:pPr>
            <w:r/>
            <w:r>
              <w:rPr>
                <w:rFonts w:ascii="Calibri" w:hAnsi="Calibri"/>
                <w:b w:val="0"/>
                <w:color w:val="111111"/>
                <w:sz w:val="17"/>
              </w:rPr>
              <w:t>Finding</w:t>
            </w:r>
          </w:p>
        </w:tc>
        <w:tc>
          <w:tcPr>
            <w:tcW w:type="dxa" w:w="7060"/>
            <w:vAlign w:val="center"/>
            <w:tcMar>
              <w:top w:w="80" w:type="dxa"/>
              <w:bottom w:w="80" w:type="dxa"/>
              <w:start w:w="120" w:type="dxa"/>
              <w:end w:w="120" w:type="dxa"/>
            </w:tcMar>
          </w:tcPr>
          <w:p>
            <w:pPr>
              <w:spacing w:before="0" w:after="0" w:line="264" w:lineRule="auto"/>
              <w:jc w:val="left"/>
            </w:pPr>
            <w:r/>
            <w:r>
              <w:rPr>
                <w:rFonts w:ascii="Calibri" w:hAnsi="Calibri"/>
                <w:b w:val="0"/>
                <w:color w:val="111111"/>
                <w:sz w:val="17"/>
              </w:rPr>
              <w:t>Structured quality observation med code, severity och evidence refs.</w:t>
            </w:r>
          </w:p>
        </w:tc>
      </w:tr>
      <w:tr>
        <w:trPr>
          <w:cantSplit/>
        </w:trPr>
        <w:tc>
          <w:tcPr>
            <w:tcW w:type="dxa" w:w="2300"/>
            <w:vAlign w:val="center"/>
            <w:tcMar>
              <w:top w:w="80" w:type="dxa"/>
              <w:bottom w:w="80" w:type="dxa"/>
              <w:start w:w="120" w:type="dxa"/>
              <w:end w:w="120" w:type="dxa"/>
            </w:tcMar>
          </w:tcPr>
          <w:p>
            <w:pPr>
              <w:spacing w:before="0" w:after="0" w:line="264" w:lineRule="auto"/>
              <w:jc w:val="center"/>
            </w:pPr>
            <w:r/>
            <w:r>
              <w:rPr>
                <w:rFonts w:ascii="Calibri" w:hAnsi="Calibri"/>
                <w:b w:val="0"/>
                <w:color w:val="111111"/>
                <w:sz w:val="17"/>
              </w:rPr>
              <w:t>Metric</w:t>
            </w:r>
          </w:p>
        </w:tc>
        <w:tc>
          <w:tcPr>
            <w:tcW w:type="dxa" w:w="7060"/>
            <w:vAlign w:val="center"/>
            <w:tcMar>
              <w:top w:w="80" w:type="dxa"/>
              <w:bottom w:w="80" w:type="dxa"/>
              <w:start w:w="120" w:type="dxa"/>
              <w:end w:w="120" w:type="dxa"/>
            </w:tcMar>
          </w:tcPr>
          <w:p>
            <w:pPr>
              <w:spacing w:before="0" w:after="0" w:line="264" w:lineRule="auto"/>
              <w:jc w:val="left"/>
            </w:pPr>
            <w:r/>
            <w:r>
              <w:rPr>
                <w:rFonts w:ascii="Calibri" w:hAnsi="Calibri"/>
                <w:b w:val="0"/>
                <w:color w:val="111111"/>
                <w:sz w:val="17"/>
              </w:rPr>
              <w:t>Population observation; inte ett quality verdict.</w:t>
            </w:r>
          </w:p>
        </w:tc>
      </w:tr>
      <w:tr>
        <w:trPr>
          <w:cantSplit/>
        </w:trPr>
        <w:tc>
          <w:tcPr>
            <w:tcW w:type="dxa" w:w="2300"/>
            <w:vAlign w:val="center"/>
            <w:tcMar>
              <w:top w:w="80" w:type="dxa"/>
              <w:bottom w:w="80" w:type="dxa"/>
              <w:start w:w="120" w:type="dxa"/>
              <w:end w:w="120" w:type="dxa"/>
            </w:tcMar>
          </w:tcPr>
          <w:p>
            <w:pPr>
              <w:spacing w:before="0" w:after="0" w:line="264" w:lineRule="auto"/>
              <w:jc w:val="center"/>
            </w:pPr>
            <w:r/>
            <w:r>
              <w:rPr>
                <w:rFonts w:ascii="Calibri" w:hAnsi="Calibri"/>
                <w:b w:val="0"/>
                <w:color w:val="111111"/>
                <w:sz w:val="17"/>
              </w:rPr>
              <w:t>Assertion</w:t>
            </w:r>
          </w:p>
        </w:tc>
        <w:tc>
          <w:tcPr>
            <w:tcW w:type="dxa" w:w="7060"/>
            <w:vAlign w:val="center"/>
            <w:tcMar>
              <w:top w:w="80" w:type="dxa"/>
              <w:bottom w:w="80" w:type="dxa"/>
              <w:start w:w="120" w:type="dxa"/>
              <w:end w:w="120" w:type="dxa"/>
            </w:tcMar>
          </w:tcPr>
          <w:p>
            <w:pPr>
              <w:spacing w:before="0" w:after="0" w:line="264" w:lineRule="auto"/>
              <w:jc w:val="left"/>
            </w:pPr>
            <w:r/>
            <w:r>
              <w:rPr>
                <w:rFonts w:ascii="Calibri" w:hAnsi="Calibri"/>
                <w:b w:val="0"/>
                <w:color w:val="111111"/>
                <w:sz w:val="17"/>
              </w:rPr>
              <w:t>Explicit expected fact i scenario.</w:t>
            </w:r>
          </w:p>
        </w:tc>
      </w:tr>
    </w:tbl>
    <w:p>
      <w:pPr>
        <w:pStyle w:val="Heading2"/>
      </w:pPr>
      <w:r>
        <w:t>17.1 Primära versionssträngar</w:t>
      </w:r>
    </w:p>
    <w:p>
      <w:pPr>
        <w:pStyle w:val="ListBullet"/>
      </w:pPr>
      <w:r>
        <w:t>acme-scenario/1 och acme-scenario/2</w:t>
      </w:r>
    </w:p>
    <w:p>
      <w:pPr>
        <w:pStyle w:val="ListBullet"/>
      </w:pPr>
      <w:r>
        <w:t>acme-scenario-report/1</w:t>
      </w:r>
    </w:p>
    <w:p>
      <w:pPr>
        <w:pStyle w:val="ListBullet"/>
      </w:pPr>
      <w:r>
        <w:t>acme-quality-subject/1</w:t>
      </w:r>
    </w:p>
    <w:p>
      <w:pPr>
        <w:pStyle w:val="ListBullet"/>
      </w:pPr>
      <w:r>
        <w:t>acme-quality-evaluation/1</w:t>
      </w:r>
    </w:p>
    <w:p>
      <w:pPr>
        <w:pStyle w:val="ListBullet"/>
      </w:pPr>
      <w:r>
        <w:t>acme-recorded-quality-evaluation/1</w:t>
      </w:r>
    </w:p>
    <w:p>
      <w:pPr>
        <w:pStyle w:val="ListBullet"/>
      </w:pPr>
      <w:r>
        <w:t>acme-test-plan/1</w:t>
      </w:r>
    </w:p>
    <w:p>
      <w:pPr>
        <w:pStyle w:val="ListBullet"/>
      </w:pPr>
      <w:r>
        <w:t>acme-run-record/1</w:t>
      </w:r>
    </w:p>
    <w:p>
      <w:pPr>
        <w:pStyle w:val="ListBullet"/>
      </w:pPr>
      <w:r>
        <w:t>acme-view-* /1 för Test UI surfaces</w:t>
      </w:r>
    </w:p>
    <w:p>
      <w:r>
        <w:br w:type="page"/>
      </w:r>
    </w:p>
    <w:p>
      <w:pPr>
        <w:pStyle w:val="Heading1"/>
      </w:pPr>
      <w:r>
        <w:t>18. Källor och auktoritet</w:t>
      </w:r>
    </w:p>
    <w:p>
      <w:pPr>
        <w:keepLines w:val="0"/>
      </w:pPr>
      <w:r>
        <w:rPr>
          <w:rFonts w:ascii="Calibri" w:hAnsi="Calibri"/>
        </w:rPr>
        <w:t>Denna DOCX-fil är en härledd leverans. Vid konflikt gäller följande repositorykällor i ordning enligt docs-first workflow:</w:t>
      </w:r>
    </w:p>
    <w:p>
      <w:pPr>
        <w:pStyle w:val="ListBullet"/>
        <w:keepLines w:val="0"/>
      </w:pPr>
      <w:r>
        <w:rPr>
          <w:rFonts w:ascii="Calibri" w:hAnsi="Calibri"/>
        </w:rPr>
        <w:t>docs/CURRENT_TASK.md — aktivt bounded charter.</w:t>
      </w:r>
    </w:p>
    <w:p>
      <w:pPr>
        <w:pStyle w:val="ListBullet"/>
        <w:keepLines w:val="0"/>
      </w:pPr>
      <w:r>
        <w:rPr>
          <w:rFonts w:ascii="Calibri" w:hAnsi="Calibri"/>
        </w:rPr>
        <w:t>docs/PROJECT_BRIEF.md — approved direction och fixed scope.</w:t>
      </w:r>
    </w:p>
    <w:p>
      <w:pPr>
        <w:pStyle w:val="ListBullet"/>
        <w:keepLines w:val="0"/>
      </w:pPr>
      <w:r>
        <w:rPr>
          <w:rFonts w:ascii="Calibri" w:hAnsi="Calibri"/>
        </w:rPr>
        <w:t>docs/CURRENT_STATUS.md — current implementation reality och persistent gaps.</w:t>
      </w:r>
    </w:p>
    <w:p>
      <w:pPr>
        <w:pStyle w:val="ListBullet"/>
        <w:keepLines w:val="0"/>
      </w:pPr>
      <w:r>
        <w:rPr>
          <w:rFonts w:ascii="Calibri" w:hAnsi="Calibri"/>
        </w:rPr>
        <w:t>docs/SYSTEMDOC.md — long-lived architecture and behavior.</w:t>
      </w:r>
    </w:p>
    <w:p>
      <w:pPr>
        <w:pStyle w:val="ListBullet"/>
        <w:keepLines w:val="0"/>
      </w:pPr>
      <w:r>
        <w:rPr>
          <w:rFonts w:ascii="Calibri" w:hAnsi="Calibri"/>
        </w:rPr>
        <w:t>docs/design/acme-design-and-development-spec.md — contracts and protocols.</w:t>
      </w:r>
    </w:p>
    <w:p>
      <w:pPr>
        <w:pStyle w:val="ListBullet"/>
        <w:keepLines w:val="0"/>
      </w:pPr>
      <w:r>
        <w:rPr>
          <w:rFonts w:ascii="Calibri" w:hAnsi="Calibri"/>
        </w:rPr>
        <w:t>docs/adr/0001–0025 — accepted decisions and consequences.</w:t>
      </w:r>
    </w:p>
    <w:p>
      <w:pPr>
        <w:pStyle w:val="ListBullet"/>
        <w:keepLines w:val="0"/>
      </w:pPr>
      <w:r>
        <w:rPr>
          <w:rFonts w:ascii="Calibri" w:hAnsi="Calibri"/>
        </w:rPr>
        <w:t>docs/JOURNAL.md och docs/finished/ — verification history and archived charters.</w:t>
      </w:r>
    </w:p>
    <w:sectPr w:rsidR="00FC693F" w:rsidRPr="0006063C" w:rsidSect="00034616">
      <w:headerReference w:type="default" r:id="rId9"/>
      <w:footerReference w:type="default" r:id="rId10"/>
      <w:pgSz w:w="12240" w:h="15840"/>
      <w:pgMar w:top="1440" w:right="1440" w:bottom="1440" w:left="1440" w:header="708" w:footer="36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after="0"/>
      <w:jc w:val="right"/>
    </w:pPr>
    <w:r>
      <w:rPr>
        <w:rFonts w:ascii="Calibri" w:hAnsi="Calibri"/>
        <w:color w:val="5B6472"/>
        <w:sz w:val="18"/>
      </w:rPr>
      <w:t xml:space="preserve">Sida </w:t>
    </w:r>
    <w:r>
      <w:rPr>
        <w:rFonts w:ascii="Calibri" w:hAnsi="Calibri"/>
        <w:color w:val="5B6472"/>
        <w:sz w:val="18"/>
      </w:rP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tbl>
    <w:tblPr>
      <w:tblW w:type="dxa" w:w="9360"/>
      <w:jc w:val="left"/>
      <w:tblLayout w:type="fixed"/>
      <w:tblLook w:firstColumn="1" w:firstRow="1" w:lastColumn="0" w:lastRow="0" w:noHBand="0" w:noVBand="1" w:val="04A0"/>
      <w:tblInd w:type="dxa" w:w="0"/>
    </w:tblPr>
    <w:tblGrid>
      <w:gridCol w:w="6000"/>
      <w:gridCol w:w="3360"/>
    </w:tblGrid>
    <w:tr>
      <w:trPr>
        <w:tblHeader w:val="true"/>
      </w:trPr>
      <w:tc>
        <w:tcPr>
          <w:tcW w:type="dxa" w:w="6000"/>
          <w:tcMar>
            <w:top w:w="80" w:type="dxa"/>
            <w:bottom w:w="80" w:type="dxa"/>
            <w:start w:w="120" w:type="dxa"/>
            <w:end w:w="120" w:type="dxa"/>
          </w:tcMar>
          <w:vAlign w:val="center"/>
        </w:tcPr>
        <w:p>
          <w:pPr>
            <w:spacing w:before="0" w:after="0" w:line="264" w:lineRule="auto"/>
            <w:jc w:val="left"/>
          </w:pPr>
          <w:r/>
          <w:r>
            <w:rPr>
              <w:rFonts w:ascii="Calibri" w:hAnsi="Calibri"/>
              <w:b/>
              <w:color w:val="5B6472"/>
              <w:sz w:val="17"/>
            </w:rPr>
            <w:t>ACME · Teknisk systemdokumentation</w:t>
          </w:r>
        </w:p>
      </w:tc>
      <w:tc>
        <w:tcPr>
          <w:tcW w:type="dxa" w:w="3360"/>
          <w:tcMar>
            <w:top w:w="80" w:type="dxa"/>
            <w:bottom w:w="80" w:type="dxa"/>
            <w:start w:w="120" w:type="dxa"/>
            <w:end w:w="120" w:type="dxa"/>
          </w:tcMar>
          <w:vAlign w:val="center"/>
        </w:tcPr>
        <w:p>
          <w:pPr>
            <w:spacing w:before="0" w:after="0" w:line="264" w:lineRule="auto"/>
            <w:jc w:val="right"/>
          </w:pPr>
          <w:r/>
          <w:r>
            <w:rPr>
              <w:rFonts w:ascii="Calibri" w:hAnsi="Calibri"/>
              <w:b w:val="0"/>
              <w:color w:val="5B6472"/>
              <w:sz w:val="17"/>
            </w:rPr>
            <w:t>ACME · 2026-08-06</w:t>
          </w:r>
        </w:p>
      </w:tc>
    </w:tr>
  </w:tbl>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7"/>
    <w:lvlOverride w:ilvl="0">
      <w:startOverride w:val="1"/>
    </w:lvlOverride>
  </w:num>
  <w:num w:numId="11">
    <w:abstractNumId w:val="7"/>
    <w:lvlOverride w:ilvl="0">
      <w:startOverride w:val="1"/>
    </w:lvlOverride>
  </w:num>
  <w:num w:numId="12">
    <w:abstractNumId w:val="7"/>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before="0" w:after="120" w:line="300" w:lineRule="auto"/>
      <w:jc w:val="left"/>
    </w:pPr>
    <w:rPr>
      <w:rFonts w:ascii="Calibri" w:hAnsi="Calibri"/>
      <w:color w:val="111111"/>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80" w:after="140"/>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Calibri" w:hAnsi="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before="0" w:after="80" w:line="300" w:lineRule="auto"/>
      <w:ind w:left="540" w:hanging="271"/>
      <w:contextualSpacing/>
    </w:pPr>
    <w:rPr>
      <w:rFonts w:ascii="Calibri" w:hAnsi="Calibri"/>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before="0" w:after="80" w:line="300" w:lineRule="auto"/>
      <w:ind w:left="540" w:hanging="271"/>
      <w:contextualSpacing/>
    </w:pPr>
    <w:rPr>
      <w:rFonts w:ascii="Calibri" w:hAnsi="Calibri"/>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Lead">
    <w:name w:val="Lead"/>
    <w:pPr>
      <w:spacing w:before="80" w:after="240" w:line="300" w:lineRule="auto"/>
    </w:pPr>
    <w:rPr>
      <w:rFonts w:ascii="Calibri" w:hAnsi="Calibri"/>
      <w:b/>
      <w:color w:val="1F3A5F"/>
      <w:sz w:val="26"/>
    </w:rPr>
  </w:style>
  <w:style w:type="paragraph" w:customStyle="1" w:styleId="TableCitation">
    <w:name w:val="Table Citation"/>
    <w:pPr>
      <w:spacing w:before="80" w:after="80"/>
    </w:pPr>
    <w:rPr>
      <w:rFonts w:ascii="Calibri" w:hAnsi="Calibri"/>
      <w:i/>
      <w:color w:val="5B6472"/>
      <w:sz w:val="17"/>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ACME — Teknisk systemdokumentation</dc:title>
  <dc:subject>As-built architecture and contracts</dc:subject>
  <dc:creator>ACME project</dc:creator>
  <cp:keywords>ACME, system documentation, architecture, replay, persistence</cp:keywords>
  <dc:description>generated by python-docx</dc:description>
  <cp:lastModifiedBy/>
  <cp:revision>1</cp:revision>
  <dcterms:created xsi:type="dcterms:W3CDTF">2013-12-23T23:15:00Z</dcterms:created>
  <dcterms:modified xsi:type="dcterms:W3CDTF">2013-12-23T23:15:00Z</dcterms:modified>
  <cp:category/>
</cp:coreProperties>
</file>