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b/>
          <w:color w:val="2E74B5"/>
          <w:sz w:val="20"/>
        </w:rPr>
        <w:t>WHITEPAPER</w:t>
      </w:r>
    </w:p>
    <w:p>
      <w:pPr>
        <w:spacing w:after="200"/>
        <w:jc w:val="center"/>
      </w:pPr>
      <w:r>
        <w:rPr>
          <w:rFonts w:ascii="Calibri" w:hAnsi="Calibri"/>
          <w:b/>
          <w:color w:val="1F3A5F"/>
          <w:sz w:val="60"/>
        </w:rPr>
        <w:t>ACME</w:t>
      </w:r>
    </w:p>
    <w:p>
      <w:pPr>
        <w:spacing w:after="560"/>
        <w:jc w:val="center"/>
      </w:pPr>
      <w:r>
        <w:rPr>
          <w:rFonts w:ascii="Calibri" w:hAnsi="Calibri"/>
          <w:color w:val="1F4D78"/>
          <w:sz w:val="30"/>
        </w:rPr>
        <w:t>En replaybar grund för domänneutral AI-exekvering</w:t>
      </w:r>
    </w:p>
    <w:p/>
    <w:p/>
    <w:p/>
    <w:p/>
    <w:p>
      <w:pPr>
        <w:spacing w:after="60"/>
        <w:jc w:val="center"/>
      </w:pPr>
      <w:r>
        <w:rPr>
          <w:rFonts w:ascii="Calibri" w:hAnsi="Calibri"/>
          <w:i/>
          <w:color w:val="5B6472"/>
          <w:sz w:val="20"/>
        </w:rPr>
        <w:t>Adaptive Context Memory Engine</w:t>
      </w:r>
    </w:p>
    <w:p>
      <w:pPr>
        <w:spacing w:after="60"/>
        <w:jc w:val="center"/>
      </w:pPr>
      <w:r>
        <w:rPr>
          <w:rFonts w:ascii="Calibri" w:hAnsi="Calibri"/>
          <w:i/>
          <w:color w:val="5B6472"/>
          <w:sz w:val="20"/>
        </w:rPr>
        <w:t>Repository-verifierad utgåva · 6 augusti 2026</w:t>
      </w:r>
    </w:p>
    <w:p>
      <w:pPr>
        <w:spacing w:after="60"/>
        <w:jc w:val="center"/>
      </w:pPr>
      <w:r>
        <w:rPr>
          <w:rFonts w:ascii="Calibri" w:hAnsi="Calibri"/>
          <w:i/>
          <w:color w:val="5B6472"/>
          <w:sz w:val="20"/>
        </w:rPr>
        <w:t>Språk: svenska</w:t>
      </w:r>
    </w:p>
    <w:p>
      <w:r>
        <w:br w:type="page"/>
      </w:r>
    </w:p>
    <w:p>
      <w:pPr>
        <w:pStyle w:val="Heading1"/>
      </w:pPr>
      <w:r>
        <w:t>Innehåll</w:t>
      </w:r>
    </w:p>
    <w:p>
      <w:pPr>
        <w:pStyle w:val="Lead"/>
        <w:keepLines w:val="0"/>
      </w:pPr>
      <w:r>
        <w:rPr>
          <w:rFonts w:ascii="Calibri" w:hAnsi="Calibri"/>
        </w:rPr>
        <w:t>Dokumentet är strukturerat för läsning från beslut och principer till kontrakt, implementation och kvarvarande operativa val.</w:t>
      </w:r>
    </w:p>
    <w:p>
      <w:pPr>
        <w:pStyle w:val="ListNumber"/>
        <w:numPr>
          <w:ilvl w:val="0"/>
          <w:numId w:val="10"/>
        </w:numPr>
      </w:pPr>
      <w:r>
        <w:t>Sammanfattning</w:t>
      </w:r>
    </w:p>
    <w:p>
      <w:pPr>
        <w:pStyle w:val="ListNumber"/>
        <w:numPr>
          <w:ilvl w:val="0"/>
          <w:numId w:val="10"/>
        </w:numPr>
      </w:pPr>
      <w:r>
        <w:t>Problemet ACME löser</w:t>
      </w:r>
    </w:p>
    <w:p>
      <w:pPr>
        <w:pStyle w:val="ListNumber"/>
        <w:numPr>
          <w:ilvl w:val="0"/>
          <w:numId w:val="10"/>
        </w:numPr>
      </w:pPr>
      <w:r>
        <w:t>Den arkitektoniska tesen</w:t>
      </w:r>
    </w:p>
    <w:p>
      <w:pPr>
        <w:pStyle w:val="ListNumber"/>
        <w:numPr>
          <w:ilvl w:val="0"/>
          <w:numId w:val="10"/>
        </w:numPr>
      </w:pPr>
      <w:r>
        <w:t>Från modellkandidat till kanoniskt tillstånd</w:t>
      </w:r>
    </w:p>
    <w:p>
      <w:pPr>
        <w:pStyle w:val="ListNumber"/>
        <w:numPr>
          <w:ilvl w:val="0"/>
          <w:numId w:val="10"/>
        </w:numPr>
      </w:pPr>
      <w:r>
        <w:t>Minne och tillstånd som skilda ansvar</w:t>
      </w:r>
    </w:p>
    <w:p>
      <w:pPr>
        <w:pStyle w:val="ListNumber"/>
        <w:numPr>
          <w:ilvl w:val="0"/>
          <w:numId w:val="10"/>
        </w:numPr>
      </w:pPr>
      <w:r>
        <w:t>Evidens, replay och hållbarhet</w:t>
      </w:r>
    </w:p>
    <w:p>
      <w:pPr>
        <w:pStyle w:val="ListNumber"/>
        <w:numPr>
          <w:ilvl w:val="0"/>
          <w:numId w:val="10"/>
        </w:numPr>
      </w:pPr>
      <w:r>
        <w:t>Kvalitetsbedömning utan begreppsglidning</w:t>
      </w:r>
    </w:p>
    <w:p>
      <w:pPr>
        <w:pStyle w:val="ListNumber"/>
        <w:numPr>
          <w:ilvl w:val="0"/>
          <w:numId w:val="10"/>
        </w:numPr>
      </w:pPr>
      <w:r>
        <w:t>Två referensdomäner som neutralitetsbevis</w:t>
      </w:r>
    </w:p>
    <w:p>
      <w:pPr>
        <w:pStyle w:val="ListNumber"/>
        <w:numPr>
          <w:ilvl w:val="0"/>
          <w:numId w:val="10"/>
        </w:numPr>
      </w:pPr>
      <w:r>
        <w:t>Test UI som lokal evidensarbetsbänk</w:t>
      </w:r>
    </w:p>
    <w:p>
      <w:pPr>
        <w:pStyle w:val="ListNumber"/>
        <w:numPr>
          <w:ilvl w:val="0"/>
          <w:numId w:val="10"/>
        </w:numPr>
      </w:pPr>
      <w:r>
        <w:t>Verifierad grund och återstående val</w:t>
      </w:r>
    </w:p>
    <w:p>
      <w:r>
        <w:br w:type="page"/>
      </w:r>
    </w:p>
    <w:p>
      <w:pPr>
        <w:pStyle w:val="Heading1"/>
      </w:pPr>
      <w:r>
        <w:t>Sammanfattning</w:t>
      </w:r>
    </w:p>
    <w:p>
      <w:pPr>
        <w:pStyle w:val="Lead"/>
        <w:keepLines w:val="0"/>
      </w:pPr>
      <w:r>
        <w:rPr>
          <w:rFonts w:ascii="Calibri" w:hAnsi="Calibri"/>
        </w:rPr>
        <w:t>ACME (Adaptive Context Memory Engine) är en domänneutral exekveringsmotor för AI-system där modelloutput aldrig får bli kanoniskt tillstånd direkt. Motorn omger modellen med versionerade kontrakt, deterministisk validering, domänägda minnes- och tillståndsregler, transaktionell persistence och replaybar evidens.</w:t>
      </w:r>
    </w:p>
    <w:p>
      <w:pPr>
        <w:keepLines w:val="0"/>
      </w:pPr>
      <w:r>
        <w:rPr>
          <w:rFonts w:ascii="Calibri" w:hAnsi="Calibri"/>
        </w:rPr>
        <w:t>Projektets centrala påstående är enkelt men långtgående: en språkmodell producerar en kandidat. Systemet — inte modellen — avgör om kandidaten är begriplig, tillåten och förenlig med tidigare kanoniskt tillstånd. Det gör ACME användbart som grund för flera domäner utan att flytta domänens betydelse in i kärnan.</w:t>
      </w:r>
    </w:p>
    <w:p>
      <w:pPr>
        <w:spacing w:before="160" w:after="200" w:line="288" w:lineRule="auto"/>
        <w:ind w:left="259" w:right="259"/>
        <w:shd w:fill="E8EEF5"/>
      </w:pPr>
      <w:r>
        <w:rPr>
          <w:rFonts w:ascii="Calibri" w:hAnsi="Calibri"/>
          <w:b/>
          <w:color w:val="1F3A5F"/>
        </w:rPr>
        <w:t xml:space="preserve">Resultat: </w:t>
      </w:r>
      <w:r>
        <w:rPr>
          <w:rFonts w:ascii="Calibri" w:hAnsi="Calibri"/>
          <w:color w:val="111111"/>
        </w:rPr>
        <w:t>Milestone 1 och 2 är levererade. Två referensdomäner kör samma kärna offline, SQLite-hållbarhet och crash-resume är bevisade, S1–S10 finns i en lokal Test UI och ADR-0025 lägger till separat post-execution quality evaluation.</w:t>
      </w:r>
    </w:p>
    <w:p>
      <w:pPr>
        <w:pStyle w:val="Heading1"/>
      </w:pPr>
      <w:r>
        <w:t>1. Problemet ACME löser</w:t>
      </w:r>
    </w:p>
    <w:p>
      <w:pPr>
        <w:keepLines w:val="0"/>
      </w:pPr>
      <w:r>
        <w:rPr>
          <w:rFonts w:ascii="Calibri" w:hAnsi="Calibri"/>
        </w:rPr>
        <w:t>Många AI-applikationer kopplar ett modellresultat direkt till en databasrad, en agentmemory eller ett användarsynligt beslut. Då blandas sannolik textgenerering med systemets sanning. Tre risker uppstår samtidigt: ogiltig output kan mutera tillstånd, samma begäran kan ge olika effekter, och det blir svårt att förklara exakt vad som hände efteråt.</w:t>
      </w:r>
    </w:p>
    <w:p>
      <w:pPr>
        <w:keepLines w:val="0"/>
      </w:pPr>
      <w:r>
        <w:rPr>
          <w:rFonts w:ascii="Calibri" w:hAnsi="Calibri"/>
        </w:rPr>
        <w:t>ACME adresserar detta genom att göra exekvering till ett explicit protokoll. Varje körning binds till request, kontrakt, modellprofil, revision och retention-policy. Modellsvaret passerar parse-, schema- och semantikvalidering innan en domänmodul får tolka det. Därefter beräknas minnesbeslut, state projection, invariants och operation digest innan en Unit of Work får commit.</w:t>
      </w:r>
    </w:p>
    <w:p>
      <w:pPr>
        <w:pStyle w:val="ListBullet"/>
      </w:pPr>
      <w:r>
        <w:t>Ingen modelloutput skrivs direkt till canonical state.</w:t>
      </w:r>
    </w:p>
    <w:p>
      <w:pPr>
        <w:pStyle w:val="ListBullet"/>
      </w:pPr>
      <w:r>
        <w:t>Stale revision vägras innan modellcall och write.</w:t>
      </w:r>
    </w:p>
    <w:p>
      <w:pPr>
        <w:pStyle w:val="ListBullet"/>
      </w:pPr>
      <w:r>
        <w:t>Execution events är kandidater tills samma transaktion har committat.</w:t>
      </w:r>
    </w:p>
    <w:p>
      <w:pPr>
        <w:pStyle w:val="ListBullet"/>
      </w:pPr>
      <w:r>
        <w:t>Replay verifierar inspelad evidens utan nytt provider-anrop.</w:t>
      </w:r>
    </w:p>
    <w:p>
      <w:pPr>
        <w:pStyle w:val="Heading1"/>
      </w:pPr>
      <w:r>
        <w:t>2. Den arkitektoniska tesen</w:t>
      </w:r>
    </w:p>
    <w:p>
      <w:pPr>
        <w:keepLines w:val="0"/>
      </w:pPr>
      <w:r>
        <w:rPr>
          <w:rFonts w:ascii="Calibri" w:hAnsi="Calibri"/>
        </w:rPr>
        <w:t>Kärnan ska vara mekanisk men inte meningslös. Den äger kontrakt, identitet, valideringsordning, commit-protokoll och generiska engine-regler. Domänmoduler äger däremot vad information betyder: identitet, jämförelse, promotion, contradiction, reducer och invariants. Adapters äger transport och persistence, aldrig domänpolicy.</w:t>
      </w:r>
    </w:p>
    <w:tbl>
      <w:tblPr>
        <w:tblStyle w:val="TableGrid"/>
        <w:tblW w:type="dxa" w:w="9360"/>
        <w:jc w:val="left"/>
        <w:tblLayout w:type="fixed"/>
        <w:tblLook w:firstColumn="1" w:firstRow="1" w:lastColumn="0" w:lastRow="0" w:noHBand="0" w:noVBand="1" w:val="04A0"/>
        <w:tblInd w:type="dxa" w:w="120"/>
      </w:tblPr>
      <w:tblGrid>
        <w:gridCol w:w="1250"/>
        <w:gridCol w:w="4100"/>
        <w:gridCol w:w="4010"/>
      </w:tblGrid>
      <w:tr>
        <w:trPr>
          <w:tblHeader w:val="true"/>
          <w:cantSplit/>
        </w:trPr>
        <w:tc>
          <w:tcPr>
            <w:tcW w:type="dxa" w:w="125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Lager</w:t>
            </w:r>
          </w:p>
        </w:tc>
        <w:tc>
          <w:tcPr>
            <w:tcW w:type="dxa" w:w="41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Ansvar</w:t>
            </w:r>
          </w:p>
        </w:tc>
        <w:tc>
          <w:tcPr>
            <w:tcW w:type="dxa" w:w="401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Får inte göra</w:t>
            </w:r>
          </w:p>
        </w:tc>
      </w:tr>
      <w:tr>
        <w:trPr>
          <w:cantSplit/>
        </w:trPr>
        <w:tc>
          <w:tcPr>
            <w:tcW w:type="dxa" w:w="125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Apps</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Composition root, CLI och lokal Test UI</w:t>
            </w:r>
          </w:p>
        </w:tc>
        <w:tc>
          <w:tcPr>
            <w:tcW w:type="dxa" w:w="40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Lägga domänpolicy i UI</w:t>
            </w:r>
          </w:p>
        </w:tc>
      </w:tr>
      <w:tr>
        <w:trPr>
          <w:cantSplit/>
        </w:trPr>
        <w:tc>
          <w:tcPr>
            <w:tcW w:type="dxa" w:w="125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Adapters</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SQLite, memory, mock, OpenAI transport</w:t>
            </w:r>
          </w:p>
        </w:tc>
        <w:tc>
          <w:tcPr>
            <w:tcW w:type="dxa" w:w="40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Avgöra domänens sanning</w:t>
            </w:r>
          </w:p>
        </w:tc>
      </w:tr>
      <w:tr>
        <w:trPr>
          <w:cantSplit/>
        </w:trPr>
        <w:tc>
          <w:tcPr>
            <w:tcW w:type="dxa" w:w="125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Modules</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Narrative/Research policy, reducer, invariants</w:t>
            </w:r>
          </w:p>
        </w:tc>
        <w:tc>
          <w:tcPr>
            <w:tcW w:type="dxa" w:w="40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Importera konkret adapter</w:t>
            </w:r>
          </w:p>
        </w:tc>
      </w:tr>
      <w:tr>
        <w:trPr>
          <w:cantSplit/>
        </w:trPr>
        <w:tc>
          <w:tcPr>
            <w:tcW w:type="dxa" w:w="125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Core</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Kontrakt, engines, identitet, replay</w:t>
            </w:r>
          </w:p>
        </w:tc>
        <w:tc>
          <w:tcPr>
            <w:tcW w:type="dxa" w:w="40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Importera modul, SDK eller SQL</w:t>
            </w:r>
          </w:p>
        </w:tc>
      </w:tr>
      <w:tr>
        <w:trPr>
          <w:cantSplit/>
        </w:trPr>
        <w:tc>
          <w:tcPr>
            <w:tcW w:type="dxa" w:w="125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Evaluation</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Post-execution scores/findings/verdict</w:t>
            </w:r>
          </w:p>
        </w:tc>
        <w:tc>
          <w:tcPr>
            <w:tcW w:type="dxa" w:w="401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Mutera execution evidence</w:t>
            </w:r>
          </w:p>
        </w:tc>
      </w:tr>
    </w:tbl>
    <w:p>
      <w:pPr>
        <w:pStyle w:val="TableCitation"/>
      </w:pPr>
      <w:r>
        <w:t>Källa: AGENTS.md, SYSTEMDOC.md och ADR-0025.</w:t>
      </w:r>
    </w:p>
    <w:p>
      <w:pPr>
        <w:pStyle w:val="Heading1"/>
      </w:pPr>
      <w:r>
        <w:t>3. Från modellkandidat till kanoniskt tillstånd</w:t>
      </w:r>
    </w:p>
    <w:p>
      <w:pPr>
        <w:pStyle w:val="ListNumber"/>
        <w:numPr>
          <w:ilvl w:val="0"/>
          <w:numId w:val="11"/>
        </w:numPr>
      </w:pPr>
      <w:r>
        <w:t>Validera execution request, kontrakt, capability-krav och expected revision.</w:t>
      </w:r>
    </w:p>
    <w:p>
      <w:pPr>
        <w:pStyle w:val="ListNumber"/>
        <w:numPr>
          <w:ilvl w:val="0"/>
          <w:numId w:val="11"/>
        </w:numPr>
      </w:pPr>
      <w:r>
        <w:t>Reservera och utför ett versionerat model call genom ModelGateway-porten.</w:t>
      </w:r>
    </w:p>
    <w:p>
      <w:pPr>
        <w:pStyle w:val="ListNumber"/>
        <w:numPr>
          <w:ilvl w:val="0"/>
          <w:numId w:val="11"/>
        </w:numPr>
      </w:pPr>
      <w:r>
        <w:t>Normalisera provider-resultatet och kör response pipeline: empty, parse, schema och semantic.</w:t>
      </w:r>
    </w:p>
    <w:p>
      <w:pPr>
        <w:pStyle w:val="ListNumber"/>
        <w:numPr>
          <w:ilvl w:val="0"/>
          <w:numId w:val="11"/>
        </w:numPr>
      </w:pPr>
      <w:r>
        <w:t>Låt den valda DomainModule tolka ett detached och immutable resultat.</w:t>
      </w:r>
    </w:p>
    <w:p>
      <w:pPr>
        <w:pStyle w:val="ListNumber"/>
        <w:numPr>
          <w:ilvl w:val="0"/>
          <w:numId w:val="11"/>
        </w:numPr>
      </w:pPr>
      <w:r>
        <w:t>Förbered memory decisions och state projection; kontrollera invariants och expected revision.</w:t>
      </w:r>
    </w:p>
    <w:p>
      <w:pPr>
        <w:pStyle w:val="ListNumber"/>
        <w:numPr>
          <w:ilvl w:val="0"/>
          <w:numId w:val="11"/>
        </w:numPr>
      </w:pPr>
      <w:r>
        <w:t>Beräkna operation digest och commit hela aggregatet atomiskt.</w:t>
      </w:r>
    </w:p>
    <w:p>
      <w:pPr>
        <w:pStyle w:val="ListNumber"/>
        <w:numPr>
          <w:ilvl w:val="0"/>
          <w:numId w:val="11"/>
        </w:numPr>
      </w:pPr>
      <w:r>
        <w:t>Läs den portabla replay-evidensen och verifiera match, different eller unavailable offline.</w:t>
      </w:r>
    </w:p>
    <w:p>
      <w:pPr>
        <w:keepLines w:val="0"/>
      </w:pPr>
      <w:r>
        <w:rPr>
          <w:rFonts w:ascii="Calibri" w:hAnsi="Calibri"/>
        </w:rPr>
        <w:t>ExecutionEngine kör exakt en task. Flöden med flera tasks ligger i ScenarioRunner. Den gränsen hindrar en enda exekveringsklass från att växa till ett dolt workflow-system och gör det möjligt att resonera om idempotens, fel och commit per operation.</w:t>
      </w:r>
    </w:p>
    <w:p>
      <w:pPr>
        <w:pStyle w:val="Heading1"/>
      </w:pPr>
      <w:r>
        <w:t>4. Minne och tillstånd som skilda ansvar</w:t>
      </w:r>
    </w:p>
    <w:p>
      <w:pPr>
        <w:keepLines w:val="0"/>
      </w:pPr>
      <w:r>
        <w:rPr>
          <w:rFonts w:ascii="Calibri" w:hAnsi="Calibri"/>
        </w:rPr>
        <w:t>MemoryEngine är generisk mekanik för candidate, decision och mutation. Den vet inte om två kapitel hör ihop eller om två källor är oberoende. Sådan betydelse ägs av modulen. StateEngine är samtidigt en pure revisioned reducer med invariants och expected revision. Ett state delta är därför inte samma sak som en modelloutput; det är ett explicit domänbeslut som reduceras under kontroll.</w:t>
      </w:r>
    </w:p>
    <w:tbl>
      <w:tblPr>
        <w:tblStyle w:val="TableGrid"/>
        <w:tblW w:type="dxa" w:w="9360"/>
        <w:jc w:val="left"/>
        <w:tblLayout w:type="fixed"/>
        <w:tblLook w:firstColumn="1" w:firstRow="1" w:lastColumn="0" w:lastRow="0" w:noHBand="0" w:noVBand="1" w:val="04A0"/>
        <w:tblInd w:type="dxa" w:w="120"/>
      </w:tblPr>
      <w:tblGrid>
        <w:gridCol w:w="1700"/>
        <w:gridCol w:w="2400"/>
        <w:gridCol w:w="5260"/>
      </w:tblGrid>
      <w:tr>
        <w:trPr>
          <w:tblHeader w:val="true"/>
          <w:cantSplit/>
        </w:trPr>
        <w:tc>
          <w:tcPr>
            <w:tcW w:type="dxa" w:w="17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Begrepp</w:t>
            </w:r>
          </w:p>
        </w:tc>
        <w:tc>
          <w:tcPr>
            <w:tcW w:type="dxa" w:w="24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Ägare</w:t>
            </w:r>
          </w:p>
        </w:tc>
        <w:tc>
          <w:tcPr>
            <w:tcW w:type="dxa" w:w="526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Exempel på ansvar</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Memory mechanics</w:t>
            </w:r>
          </w:p>
        </w:tc>
        <w:tc>
          <w:tcPr>
            <w:tcW w:type="dxa" w:w="24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Core</w:t>
            </w:r>
          </w:p>
        </w:tc>
        <w:tc>
          <w:tcPr>
            <w:tcW w:type="dxa" w:w="5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Correlation, ordering, versioned mutation</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Memory meaning</w:t>
            </w:r>
          </w:p>
        </w:tc>
        <w:tc>
          <w:tcPr>
            <w:tcW w:type="dxa" w:w="24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Module</w:t>
            </w:r>
          </w:p>
        </w:tc>
        <w:tc>
          <w:tcPr>
            <w:tcW w:type="dxa" w:w="5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Equivalence, promotion, contradiction</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State transition</w:t>
            </w:r>
          </w:p>
        </w:tc>
        <w:tc>
          <w:tcPr>
            <w:tcW w:type="dxa" w:w="2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Module + StateEngine</w:t>
            </w:r>
          </w:p>
        </w:tc>
        <w:tc>
          <w:tcPr>
            <w:tcW w:type="dxa" w:w="5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Explicit delta, reducer, invariants</w:t>
            </w:r>
          </w:p>
        </w:tc>
      </w:tr>
      <w:tr>
        <w:trPr>
          <w:cantSplit/>
        </w:trPr>
        <w:tc>
          <w:tcPr>
            <w:tcW w:type="dxa" w:w="17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Canonical write</w:t>
            </w:r>
          </w:p>
        </w:tc>
        <w:tc>
          <w:tcPr>
            <w:tcW w:type="dxa" w:w="24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Repository Unit of Work</w:t>
            </w:r>
          </w:p>
        </w:tc>
        <w:tc>
          <w:tcPr>
            <w:tcW w:type="dxa" w:w="52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CAS och atomisk aggregate commit</w:t>
            </w:r>
          </w:p>
        </w:tc>
      </w:tr>
    </w:tbl>
    <w:p>
      <w:pPr>
        <w:pStyle w:val="TableCitation"/>
      </w:pPr>
      <w:r>
        <w:t>Källa: design specification sections 11–14 och fixed guardrails i AGENTS.md.</w:t>
      </w:r>
    </w:p>
    <w:p>
      <w:pPr>
        <w:pStyle w:val="Heading1"/>
      </w:pPr>
      <w:r>
        <w:t>5. Evidens, replay och hållbarhet</w:t>
      </w:r>
    </w:p>
    <w:p>
      <w:pPr>
        <w:keepLines w:val="0"/>
      </w:pPr>
      <w:r>
        <w:rPr>
          <w:rFonts w:ascii="Calibri" w:hAnsi="Calibri"/>
        </w:rPr>
        <w:t>ACME behandlar evidens som en del av systemets produkt, inte som felsökningslogg. Körningen behåller identitet, model call-reservation/outcome, valideringsresultat, memory candidates/decisions, prepared commit och canonical resultat i ett versionerat aggregate. Replay använder ett immutable read-set och kan därför verifiera vad som finns utan att kontakta providern.</w:t>
      </w:r>
    </w:p>
    <w:p>
      <w:pPr>
        <w:pStyle w:val="ListBullet"/>
      </w:pPr>
      <w:r>
        <w:t>In-memory repository ger deterministic copy-on-commit semantics för tester.</w:t>
      </w:r>
    </w:p>
    <w:p>
      <w:pPr>
        <w:pStyle w:val="ListBullet"/>
      </w:pPr>
      <w:r>
        <w:t>SQLite använder WAL, checksum-verifierade migrationer och BEGIN IMMEDIATE Unit of Work.</w:t>
      </w:r>
    </w:p>
    <w:p>
      <w:pPr>
        <w:pStyle w:val="ListBullet"/>
      </w:pPr>
      <w:r>
        <w:t>Crash efter ett framgångsrikt model call kan resume från det inspelade utfallet utan ett andra call.</w:t>
      </w:r>
    </w:p>
    <w:p>
      <w:pPr>
        <w:pStyle w:val="ListBullet"/>
      </w:pPr>
      <w:r>
        <w:t>Två writers mot samma revision ger exakt en commit genom compare-and-swap.</w:t>
      </w:r>
    </w:p>
    <w:p>
      <w:pPr>
        <w:pStyle w:val="ListBullet"/>
      </w:pPr>
      <w:r>
        <w:t>Outbox lämnar systemet endast genom en explicit bounded drain med at-least-once semantics.</w:t>
      </w:r>
    </w:p>
    <w:p>
      <w:pPr>
        <w:spacing w:before="160" w:after="200" w:line="288" w:lineRule="auto"/>
        <w:ind w:left="259" w:right="259"/>
        <w:shd w:fill="F4F6F9"/>
      </w:pPr>
      <w:r>
        <w:rPr>
          <w:rFonts w:ascii="Calibri" w:hAnsi="Calibri"/>
          <w:b/>
          <w:color w:val="1F3A5F"/>
        </w:rPr>
        <w:t xml:space="preserve">Retention: </w:t>
      </w:r>
      <w:r>
        <w:rPr>
          <w:rFonts w:ascii="Calibri" w:hAnsi="Calibri"/>
          <w:color w:val="111111"/>
        </w:rPr>
        <w:t>Payload kan vara none, hash-only eller encrypted-payload. Saknad payload presenteras som otillgänglig; den får inte se ut som en tom men giltig payload.</w:t>
      </w:r>
    </w:p>
    <w:p>
      <w:pPr>
        <w:pStyle w:val="Heading1"/>
      </w:pPr>
      <w:r>
        <w:t>6. Kvalitetsbedömning utan begreppsglidning</w:t>
      </w:r>
    </w:p>
    <w:p>
      <w:pPr>
        <w:keepLines w:val="0"/>
      </w:pPr>
      <w:r>
        <w:rPr>
          <w:rFonts w:ascii="Calibri" w:hAnsi="Calibri"/>
        </w:rPr>
        <w:t>ADR-0025 inför ett syskonlager efter exekvering. Ett QualityEvaluationSubject binds till exakt run, execution, artifact digest, contract och evaluator-version. Resultatet lagras separat som scores, findings och pass/fail/inconclusive. Originalevidensen muteras inte.</w:t>
      </w:r>
    </w:p>
    <w:tbl>
      <w:tblPr>
        <w:tblStyle w:val="TableGrid"/>
        <w:tblW w:type="dxa" w:w="9360"/>
        <w:jc w:val="left"/>
        <w:tblLayout w:type="fixed"/>
        <w:tblLook w:firstColumn="1" w:firstRow="1" w:lastColumn="0" w:lastRow="0" w:noHBand="0" w:noVBand="1" w:val="04A0"/>
        <w:tblInd w:type="dxa" w:w="120"/>
      </w:tblPr>
      <w:tblGrid>
        <w:gridCol w:w="2100"/>
        <w:gridCol w:w="4200"/>
        <w:gridCol w:w="3060"/>
      </w:tblGrid>
      <w:tr>
        <w:trPr>
          <w:tblHeader w:val="true"/>
          <w:cantSplit/>
        </w:trPr>
        <w:tc>
          <w:tcPr>
            <w:tcW w:type="dxa" w:w="21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Mekanism</w:t>
            </w:r>
          </w:p>
        </w:tc>
        <w:tc>
          <w:tcPr>
            <w:tcW w:type="dxa" w:w="420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Fråga</w:t>
            </w:r>
          </w:p>
        </w:tc>
        <w:tc>
          <w:tcPr>
            <w:tcW w:type="dxa" w:w="3060"/>
            <w:shd w:fill="E8EEF5"/>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Resultat</w:t>
            </w:r>
          </w:p>
        </w:tc>
      </w:tr>
      <w:tr>
        <w:trPr>
          <w:cantSplit/>
        </w:trP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Assertion</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Blev ett exakt förväntat faktum sant?</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Pass/fail i scenario</w:t>
            </w:r>
          </w:p>
        </w:tc>
      </w:tr>
      <w:tr>
        <w:trPr>
          <w:cantSplit/>
        </w:trP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Metric</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Hur ser en population av runs ut?</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Rate/baseline/threshold</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Pre-commit evaluator</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Får kandidaten påverka canonical state?</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allow/block/revise</w:t>
            </w:r>
          </w:p>
        </w:tc>
      </w:tr>
      <w:tr>
        <w:trPr>
          <w:cantSplit/>
        </w:trPr>
        <w:tc>
          <w:tcPr>
            <w:tcW w:type="dxa" w:w="21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Post-execution quality</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Hur bedöms ett exakt bundet resultat?</w:t>
            </w:r>
          </w:p>
        </w:tc>
        <w:tc>
          <w:tcPr>
            <w:tcW w:type="dxa" w:w="30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scores/findings/verdict</w:t>
            </w:r>
          </w:p>
        </w:tc>
      </w:tr>
    </w:tbl>
    <w:p>
      <w:pPr>
        <w:pStyle w:val="TableCitation"/>
      </w:pPr>
      <w:r>
        <w:t>Källa: ADR-0025 och SYSTEMDOC.md, Implemented Post-execution Quality Evaluation.</w:t>
      </w:r>
    </w:p>
    <w:p>
      <w:pPr>
        <w:keepLines w:val="0"/>
      </w:pPr>
      <w:r>
        <w:rPr>
          <w:rFonts w:ascii="Calibri" w:hAnsi="Calibri"/>
        </w:rPr>
        <w:t>Två typer är implementerade. Deterministic evaluators kör rena regler, thresholds, schemaegenskaper och consistency checks. Recorded external evaluators återspelar en tidigare inspelad bedömning och vägrar mismatch i evaluator, subject eller result identity. En generell live AI judge är uttryckligen utanför kontraktet.</w:t>
      </w:r>
    </w:p>
    <w:p>
      <w:pPr>
        <w:pStyle w:val="Heading1"/>
      </w:pPr>
      <w:r>
        <w:t>7. Två referensdomäner som neutralitetsbevis</w:t>
      </w:r>
    </w:p>
    <w:p>
      <w:pPr>
        <w:keepLines w:val="0"/>
      </w:pPr>
      <w:r>
        <w:rPr>
          <w:rFonts w:ascii="Calibri" w:hAnsi="Calibri"/>
        </w:rPr>
        <w:t>NarrativeModule observerar dokument och äger kontinuitet, kunskapsidentitet och domänens minnespolicy. ResearchModule observerar evidens och äger propositioner, källor, oberoende, corroboration och contradiction. De använder samma ExecutionEngine, MemoryEngine, StateEngine, repository-port och replayprotokoll.</w:t>
      </w:r>
    </w:p>
    <w:p>
      <w:pPr>
        <w:keepLines w:val="0"/>
      </w:pPr>
      <w:r>
        <w:rPr>
          <w:rFonts w:ascii="Calibri" w:hAnsi="Calibri"/>
        </w:rPr>
        <w:t>Kontrasten är avsiktlig. Om kärnan behövde känna till kapitel, karaktärer, claims eller sources skulle neutralitetsmålet ha misslyckats. Ett separat vocabulary guard och dependency-cruiser-fixtures gör denna arkitektur exekverbar i CI, inte bara beskriven i en bild.</w:t>
      </w:r>
    </w:p>
    <w:p>
      <w:pPr>
        <w:pStyle w:val="Heading1"/>
      </w:pPr>
      <w:r>
        <w:t>8. Test UI som lokal evidensarbetsbänk</w:t>
      </w:r>
    </w:p>
    <w:p>
      <w:pPr>
        <w:keepLines w:val="0"/>
      </w:pPr>
      <w:r>
        <w:rPr>
          <w:rFonts w:ascii="Calibri" w:hAnsi="Calibri"/>
        </w:rPr>
        <w:t>Domain Test UI är en leaf-applikation, inte en ny sanningskälla. S1–S10 täcker catalog, plan design/preview, launch/history, execution inspection, memory/state, replay, measurement, fixture review och gated single-execute live evaluation. Default entry är pure och I/O ligger på separata local/node-source-entrypoints.</w:t>
      </w:r>
    </w:p>
    <w:p>
      <w:pPr>
        <w:pStyle w:val="ListBullet"/>
      </w:pPr>
      <w:r>
        <w:t>Offline browser launch återanvänder ScenarioRunner och skriver endast app-owned run records utanför ledgern.</w:t>
      </w:r>
    </w:p>
    <w:p>
      <w:pPr>
        <w:pStyle w:val="ListBullet"/>
      </w:pPr>
      <w:r>
        <w:t>Replay-, memory- och state-vyer återger engine/repository-vokabulär utan att gissa kvalitet eller frånvaro.</w:t>
      </w:r>
    </w:p>
    <w:p>
      <w:pPr>
        <w:pStyle w:val="ListBullet"/>
      </w:pPr>
      <w:r>
        <w:t>S10 kräver process-opt-in och per-run confirmation; credentials ligger aldrig i browserform eller workspace-record.</w:t>
      </w:r>
    </w:p>
    <w:p>
      <w:pPr>
        <w:pStyle w:val="ListBullet"/>
      </w:pPr>
      <w:r>
        <w:t>Fixture review beskriver och godkänner ett förslag men skriver aldrig själva golden-filen.</w:t>
      </w:r>
    </w:p>
    <w:p>
      <w:pPr>
        <w:pStyle w:val="Heading1"/>
      </w:pPr>
      <w:r>
        <w:t>9. Verifierad grund och återstående val</w:t>
      </w:r>
    </w:p>
    <w:p>
      <w:pPr>
        <w:keepLines w:val="0"/>
      </w:pPr>
      <w:r>
        <w:rPr>
          <w:rFonts w:ascii="Calibri" w:hAnsi="Calibri"/>
        </w:rPr>
        <w:t>Den synkroniserade ACME-0054-baslinjen passerar 560 unit tests i 64 filer, 61 conformance tests i 8 filer, 55 integration tests i 9 filer och 24 scenario tests i 5 filer. Formatting, lint, typecheck, package boundaries, documentation checks och build passerar. Siffrorna är verifieringsresultat, inte throughput- eller kvalitetsbenchmarks.</w:t>
      </w:r>
    </w:p>
    <w:tbl>
      <w:tblPr>
        <w:tblStyle w:val="TableGrid"/>
        <w:tblW w:type="dxa" w:w="9360"/>
        <w:jc w:val="left"/>
        <w:tblLayout w:type="fixed"/>
        <w:tblLook w:firstColumn="1" w:firstRow="1" w:lastColumn="0" w:lastRow="0" w:noHBand="0" w:noVBand="1" w:val="04A0"/>
        <w:tblInd w:type="dxa" w:w="120"/>
      </w:tblPr>
      <w:tblGrid>
        <w:gridCol w:w="1800"/>
        <w:gridCol w:w="3800"/>
        <w:gridCol w:w="3760"/>
      </w:tblGrid>
      <w:tr>
        <w:trPr>
          <w:tblHeader w:val="true"/>
          <w:cantSplit/>
        </w:trPr>
        <w:tc>
          <w:tcPr>
            <w:tcW w:type="dxa" w:w="18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Område</w:t>
            </w:r>
          </w:p>
        </w:tc>
        <w:tc>
          <w:tcPr>
            <w:tcW w:type="dxa" w:w="380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Nuvarande status</w:t>
            </w:r>
          </w:p>
        </w:tc>
        <w:tc>
          <w:tcPr>
            <w:tcW w:type="dxa" w:w="3760"/>
            <w:shd w:fill="F2F4F7"/>
            <w:vAlign w:val="center"/>
            <w:tcMar>
              <w:top w:w="80" w:type="dxa"/>
              <w:bottom w:w="80" w:type="dxa"/>
              <w:start w:w="120" w:type="dxa"/>
              <w:end w:w="120" w:type="dxa"/>
            </w:tcMar>
          </w:tcPr>
          <w:p>
            <w:pPr>
              <w:spacing w:before="0" w:after="0" w:line="264" w:lineRule="auto"/>
              <w:jc w:val="left"/>
            </w:pPr>
            <w:r/>
            <w:r>
              <w:rPr>
                <w:rFonts w:ascii="Calibri" w:hAnsi="Calibri"/>
                <w:b/>
                <w:color w:val="111111"/>
                <w:sz w:val="18"/>
              </w:rPr>
              <w:t>Kvarvarande val</w:t>
            </w:r>
          </w:p>
        </w:tc>
      </w:tr>
      <w:tr>
        <w:trPr>
          <w:cantSplit/>
        </w:trPr>
        <w:tc>
          <w:tcPr>
            <w:tcW w:type="dxa" w:w="1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Quality evaluation</w:t>
            </w:r>
          </w:p>
        </w:tc>
        <w:tc>
          <w:tcPr>
            <w:tcW w:type="dxa" w:w="3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Kontrakt + memory store + ScenarioRunner v2</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Durable store, CLI/UI, live judge</w:t>
            </w:r>
          </w:p>
        </w:tc>
      </w:tr>
      <w:tr>
        <w:trPr>
          <w:cantSplit/>
        </w:trP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Outbox</w:t>
            </w:r>
          </w:p>
        </w:tc>
        <w:tc>
          <w:tcPr>
            <w:tcW w:type="dxa" w:w="3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Bounded drain, at-least-once</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Transport, alarm och redrive</w:t>
            </w:r>
          </w:p>
        </w:tc>
      </w:tr>
      <w:tr>
        <w:trPr>
          <w:cantSplit/>
        </w:trPr>
        <w:tc>
          <w:tcPr>
            <w:tcW w:type="dxa" w:w="1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Driver errors</w:t>
            </w:r>
          </w:p>
        </w:tc>
        <w:tc>
          <w:tcPr>
            <w:tcW w:type="dxa" w:w="3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Generic taxonomy finns</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Adapter mapping från SQLite-koder</w:t>
            </w:r>
          </w:p>
        </w:tc>
      </w:tr>
      <w:tr>
        <w:trPr>
          <w:cantSplit/>
        </w:trPr>
        <w:tc>
          <w:tcPr>
            <w:tcW w:type="dxa" w:w="1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Live scenarios</w:t>
            </w:r>
          </w:p>
        </w:tc>
        <w:tc>
          <w:tcPr>
            <w:tcW w:type="dxa" w:w="3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Single-execute CLI/Test UI</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Multi-step live ScenarioRunner</w:t>
            </w:r>
          </w:p>
        </w:tc>
      </w:tr>
      <w:tr>
        <w:trPr>
          <w:cantSplit/>
        </w:trP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b w:val="0"/>
                <w:color w:val="111111"/>
                <w:sz w:val="18"/>
              </w:rPr>
              <w:t>Operations</w:t>
            </w:r>
          </w:p>
        </w:tc>
        <w:tc>
          <w:tcPr>
            <w:tcW w:type="dxa" w:w="380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Replay/inspect finns</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b w:val="0"/>
                <w:color w:val="111111"/>
                <w:sz w:val="18"/>
              </w:rPr>
              <w:t>Stranded-run operator workflow</w:t>
            </w:r>
          </w:p>
        </w:tc>
      </w:tr>
    </w:tbl>
    <w:p>
      <w:pPr>
        <w:pStyle w:val="TableCitation"/>
      </w:pPr>
      <w:r>
        <w:t>Källa: CURRENT_STATUS.md och backlog/driver-error-classification.md.</w:t>
      </w:r>
    </w:p>
    <w:p>
      <w:pPr>
        <w:spacing w:before="160" w:after="200" w:line="288" w:lineRule="auto"/>
        <w:ind w:left="259" w:right="259"/>
        <w:shd w:fill="E8EEF5"/>
      </w:pPr>
      <w:r>
        <w:rPr>
          <w:rFonts w:ascii="Calibri" w:hAnsi="Calibri"/>
          <w:b/>
          <w:color w:val="1F3A5F"/>
        </w:rPr>
        <w:t xml:space="preserve">Slutsats: </w:t>
      </w:r>
      <w:r>
        <w:rPr>
          <w:rFonts w:ascii="Calibri" w:hAnsi="Calibri"/>
          <w:color w:val="111111"/>
        </w:rPr>
        <w:t>ACME-grunden är skapad, testad och fastställd för det godkända briefet. Nästa stora steg är inte fler kärnmekanismer utan ett uttryckligt val av vilken operativ yta som ska produktiseras först.</w:t>
      </w:r>
    </w:p>
    <w:p>
      <w:pPr>
        <w:pStyle w:val="Heading1"/>
      </w:pPr>
      <w:r>
        <w:t>Referenser</w:t>
      </w:r>
    </w:p>
    <w:p>
      <w:pPr>
        <w:pStyle w:val="ListBullet"/>
        <w:keepLines w:val="0"/>
      </w:pPr>
      <w:r>
        <w:rPr>
          <w:rFonts w:ascii="Calibri" w:hAnsi="Calibri"/>
        </w:rPr>
        <w:t>AGENTS.md — guardrails, dependency direction och workflow.</w:t>
      </w:r>
    </w:p>
    <w:p>
      <w:pPr>
        <w:pStyle w:val="ListBullet"/>
        <w:keepLines w:val="0"/>
      </w:pPr>
      <w:r>
        <w:rPr>
          <w:rFonts w:ascii="Calibri" w:hAnsi="Calibri"/>
        </w:rPr>
        <w:t>docs/PROJECT_BRIEF.md — approved direction och success test.</w:t>
      </w:r>
    </w:p>
    <w:p>
      <w:pPr>
        <w:pStyle w:val="ListBullet"/>
        <w:keepLines w:val="0"/>
      </w:pPr>
      <w:r>
        <w:rPr>
          <w:rFonts w:ascii="Calibri" w:hAnsi="Calibri"/>
        </w:rPr>
        <w:t>docs/CURRENT_STATUS.md — implemented reality och persistent gaps.</w:t>
      </w:r>
    </w:p>
    <w:p>
      <w:pPr>
        <w:pStyle w:val="ListBullet"/>
        <w:keepLines w:val="0"/>
      </w:pPr>
      <w:r>
        <w:rPr>
          <w:rFonts w:ascii="Calibri" w:hAnsi="Calibri"/>
        </w:rPr>
        <w:t>docs/SYSTEMDOC.md — long-lived system behavior.</w:t>
      </w:r>
    </w:p>
    <w:p>
      <w:pPr>
        <w:pStyle w:val="ListBullet"/>
        <w:keepLines w:val="0"/>
      </w:pPr>
      <w:r>
        <w:rPr>
          <w:rFonts w:ascii="Calibri" w:hAnsi="Calibri"/>
        </w:rPr>
        <w:t>docs/design/acme-design-and-development-spec.md — normative contracts and protocols.</w:t>
      </w:r>
    </w:p>
    <w:p>
      <w:pPr>
        <w:pStyle w:val="ListBullet"/>
        <w:keepLines w:val="0"/>
      </w:pPr>
      <w:r>
        <w:rPr>
          <w:rFonts w:ascii="Calibri" w:hAnsi="Calibri"/>
        </w:rPr>
        <w:t>docs/adr/0001–0025 — accepted architecture decisions.</w:t>
      </w:r>
    </w:p>
    <w:p>
      <w:pPr>
        <w:pStyle w:val="ListBullet"/>
        <w:keepLines w:val="0"/>
      </w:pPr>
      <w:r>
        <w:rPr>
          <w:rFonts w:ascii="Calibri" w:hAnsi="Calibri"/>
        </w:rPr>
        <w:t>docs/finished/ACME-0054_quality-evaluation-harness.md — final verification record.</w:t>
      </w:r>
    </w:p>
    <w:sectPr w:rsidR="00FC693F" w:rsidRPr="0006063C" w:rsidSect="00034616">
      <w:headerReference w:type="default" r:id="rId9"/>
      <w:footerReference w:type="default" r:id="rId10"/>
      <w:pgSz w:w="12240" w:h="15840"/>
      <w:pgMar w:top="1440" w:right="1440" w:bottom="1440" w:left="1440" w:header="708"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472"/>
        <w:sz w:val="18"/>
      </w:rPr>
      <w:t xml:space="preserve">Sida </w:t>
    </w:r>
    <w:r>
      <w:rPr>
        <w:rFonts w:ascii="Calibri" w:hAnsi="Calibri"/>
        <w:color w:val="5B647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type="dxa" w:w="0"/>
    </w:tblPr>
    <w:tblGrid>
      <w:gridCol w:w="6000"/>
      <w:gridCol w:w="3360"/>
    </w:tblGrid>
    <w:tr>
      <w:trPr>
        <w:tblHeader w:val="true"/>
      </w:trPr>
      <w:tc>
        <w:tcPr>
          <w:tcW w:type="dxa" w:w="6000"/>
          <w:tcMar>
            <w:top w:w="80" w:type="dxa"/>
            <w:bottom w:w="80" w:type="dxa"/>
            <w:start w:w="120" w:type="dxa"/>
            <w:end w:w="120" w:type="dxa"/>
          </w:tcMar>
          <w:vAlign w:val="center"/>
        </w:tcPr>
        <w:p>
          <w:pPr>
            <w:spacing w:before="0" w:after="0" w:line="264" w:lineRule="auto"/>
            <w:jc w:val="left"/>
          </w:pPr>
          <w:r/>
          <w:r>
            <w:rPr>
              <w:rFonts w:ascii="Calibri" w:hAnsi="Calibri"/>
              <w:b/>
              <w:color w:val="5B6472"/>
              <w:sz w:val="17"/>
            </w:rPr>
            <w:t>ACME · Whitepaper</w:t>
          </w:r>
        </w:p>
      </w:tc>
      <w:tc>
        <w:tcPr>
          <w:tcW w:type="dxa" w:w="3360"/>
          <w:tcMar>
            <w:top w:w="80" w:type="dxa"/>
            <w:bottom w:w="80" w:type="dxa"/>
            <w:start w:w="120" w:type="dxa"/>
            <w:end w:w="120" w:type="dxa"/>
          </w:tcMar>
          <w:vAlign w:val="center"/>
        </w:tcPr>
        <w:p>
          <w:pPr>
            <w:spacing w:before="0" w:after="0" w:line="264" w:lineRule="auto"/>
            <w:jc w:val="right"/>
          </w:pPr>
          <w:r/>
          <w:r>
            <w:rPr>
              <w:rFonts w:ascii="Calibri" w:hAnsi="Calibri"/>
              <w:b w:val="0"/>
              <w:color w:val="5B6472"/>
              <w:sz w:val="17"/>
            </w:rPr>
            <w:t>ACME · 2026-08-06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80" w:after="240" w:line="300" w:lineRule="auto"/>
    </w:pPr>
    <w:rPr>
      <w:rFonts w:ascii="Calibri" w:hAnsi="Calibri"/>
      <w:b/>
      <w:color w:val="1F3A5F"/>
      <w:sz w:val="26"/>
    </w:rPr>
  </w:style>
  <w:style w:type="paragraph" w:customStyle="1" w:styleId="TableCitation">
    <w:name w:val="Table Citation"/>
    <w:pPr>
      <w:spacing w:before="80" w:after="80"/>
    </w:pPr>
    <w:rPr>
      <w:rFonts w:ascii="Calibri" w:hAnsi="Calibri"/>
      <w:i/>
      <w:color w:val="5B64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 En replaybar grund för domänneutral AI-exekvering</dc:title>
  <dc:subject>ACME whitepaper</dc:subject>
  <dc:creator>ACME project</dc:creator>
  <cp:keywords>ACME, AI execution, replay, evidence, quality evaluation</cp:keywords>
  <dc:description>generated by python-docx</dc:description>
  <cp:lastModifiedBy/>
  <cp:revision>1</cp:revision>
  <dcterms:created xsi:type="dcterms:W3CDTF">2013-12-23T23:15:00Z</dcterms:created>
  <dcterms:modified xsi:type="dcterms:W3CDTF">2013-12-23T23:15:00Z</dcterms:modified>
  <cp:category/>
</cp:coreProperties>
</file>