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2E74B5"/>
          <w:sz w:val="19"/>
        </w:rPr>
        <w:t>ACME REFERENCE MODULE IMPLEMENTATION GUIDE</w:t>
      </w:r>
    </w:p>
    <w:p>
      <w:pPr>
        <w:spacing w:before="0" w:after="100"/>
      </w:pPr>
      <w:r>
        <w:rPr>
          <w:rFonts w:ascii="Calibri" w:hAnsi="Calibri"/>
          <w:b/>
          <w:color w:val="0B2545"/>
          <w:sz w:val="48"/>
        </w:rPr>
        <w:t>NarrativeModule</w:t>
        <w:br/>
        <w:t>Build and Test Plan</w:t>
      </w:r>
    </w:p>
    <w:p>
      <w:pPr>
        <w:spacing w:before="0" w:after="200"/>
      </w:pPr>
      <w:r>
        <w:rPr>
          <w:rFonts w:ascii="Calibri" w:hAnsi="Calibri"/>
          <w:i/>
          <w:color w:val="606A78"/>
          <w:sz w:val="23"/>
        </w:rPr>
        <w:t>Component architecture, build sequence and verification strategy for NarrativeModule.</w:t>
      </w:r>
    </w:p>
    <w:p>
      <w:pPr>
        <w:spacing w:after="20"/>
      </w:pPr>
      <w:r>
        <w:rPr>
          <w:rFonts w:ascii="Calibri" w:hAnsi="Calibri"/>
          <w:b/>
          <w:color w:val="1F4D78"/>
          <w:sz w:val="19"/>
        </w:rPr>
        <w:t>Status:</w:t>
      </w:r>
      <w:r>
        <w:rPr>
          <w:rFonts w:ascii="Calibri" w:hAnsi="Calibri"/>
          <w:color w:val="606A78"/>
          <w:sz w:val="19"/>
        </w:rPr>
        <w:t xml:space="preserve"> Team implementation guide</w:t>
      </w:r>
    </w:p>
    <w:p>
      <w:pPr>
        <w:spacing w:after="20"/>
      </w:pPr>
      <w:r>
        <w:rPr>
          <w:rFonts w:ascii="Calibri" w:hAnsi="Calibri"/>
          <w:b/>
          <w:color w:val="1F4D78"/>
          <w:sz w:val="19"/>
        </w:rPr>
        <w:t>Audience:</w:t>
      </w:r>
      <w:r>
        <w:rPr>
          <w:rFonts w:ascii="Calibri" w:hAnsi="Calibri"/>
          <w:color w:val="606A78"/>
          <w:sz w:val="19"/>
        </w:rPr>
        <w:t xml:space="preserve"> ACME maintainers, domain engineers and test engineers</w:t>
      </w:r>
    </w:p>
    <w:p>
      <w:pPr>
        <w:spacing w:after="20"/>
      </w:pPr>
      <w:r>
        <w:rPr>
          <w:rFonts w:ascii="Calibri" w:hAnsi="Calibri"/>
          <w:b/>
          <w:color w:val="1F4D78"/>
          <w:sz w:val="19"/>
        </w:rPr>
        <w:t>Prepared:</w:t>
      </w:r>
      <w:r>
        <w:rPr>
          <w:rFonts w:ascii="Calibri" w:hAnsi="Calibri"/>
          <w:color w:val="606A78"/>
          <w:sz w:val="19"/>
        </w:rPr>
        <w:t xml:space="preserve"> 2026-07-30</w:t>
      </w:r>
    </w:p>
    <w:p>
      <w:pPr>
        <w:pStyle w:val="Heading1"/>
      </w:pPr>
      <w:r>
        <w:t>Executive summary</w:t>
      </w:r>
    </w:p>
    <w:p>
      <w:r>
        <w:rPr>
          <w:rFonts w:ascii="Calibri" w:hAnsi="Calibri"/>
        </w:rPr>
        <w:t>NarrativeModule is ACME's first reference domain. Its job is to analyze a source document, extract narrative observations and prepare domain-owned documents, memories and state changes without owning model transport, persistence or orchestration.</w:t>
      </w:r>
    </w:p>
    <w:p>
      <w:r>
        <w:rPr>
          <w:rFonts w:ascii="Calibri" w:hAnsi="Calibri"/>
        </w:rPr>
        <w:t>The first implementation target is:</w:t>
      </w:r>
    </w:p>
    <w:p>
      <w:pPr>
        <w:numPr>
          <w:ilvl w:val="0"/>
          <w:numId w:val="10"/>
        </w:numPr>
      </w:pPr>
      <w:r>
        <w:rPr>
          <w:rFonts w:ascii="Calibri" w:hAnsi="Calibri"/>
        </w:rPr>
        <w:t xml:space="preserve">namespace: </w:t>
      </w:r>
      <w:r>
        <w:rPr>
          <w:rFonts w:ascii="Consolas" w:hAnsi="Consolas"/>
          <w:color w:val="0B2545"/>
          <w:sz w:val="20"/>
        </w:rPr>
        <w:t>narrative</w:t>
      </w:r>
    </w:p>
    <w:p>
      <w:pPr>
        <w:numPr>
          <w:ilvl w:val="0"/>
          <w:numId w:val="10"/>
        </w:numPr>
      </w:pPr>
      <w:r>
        <w:rPr>
          <w:rFonts w:ascii="Calibri" w:hAnsi="Calibri"/>
        </w:rPr>
        <w:t xml:space="preserve">task: </w:t>
      </w:r>
      <w:r>
        <w:rPr>
          <w:rFonts w:ascii="Consolas" w:hAnsi="Consolas"/>
          <w:color w:val="0B2545"/>
          <w:sz w:val="20"/>
        </w:rPr>
        <w:t>observe-document</w:t>
      </w:r>
    </w:p>
    <w:p>
      <w:pPr>
        <w:numPr>
          <w:ilvl w:val="0"/>
          <w:numId w:val="10"/>
        </w:numPr>
      </w:pPr>
      <w:r>
        <w:rPr>
          <w:rFonts w:ascii="Calibri" w:hAnsi="Calibri"/>
        </w:rPr>
        <w:t xml:space="preserve">role: </w:t>
      </w:r>
      <w:r>
        <w:rPr>
          <w:rFonts w:ascii="Consolas" w:hAnsi="Consolas"/>
          <w:color w:val="0B2545"/>
          <w:sz w:val="20"/>
        </w:rPr>
        <w:t>analyzer</w:t>
      </w:r>
    </w:p>
    <w:p>
      <w:pPr>
        <w:numPr>
          <w:ilvl w:val="0"/>
          <w:numId w:val="10"/>
        </w:numPr>
      </w:pPr>
      <w:r>
        <w:rPr>
          <w:rFonts w:ascii="Calibri" w:hAnsi="Calibri"/>
        </w:rPr>
        <w:t xml:space="preserve">contract: </w:t>
      </w:r>
      <w:r>
        <w:rPr>
          <w:rFonts w:ascii="Consolas" w:hAnsi="Consolas"/>
          <w:color w:val="0B2545"/>
          <w:sz w:val="20"/>
        </w:rPr>
        <w:t>narrative.observe-document@1.0.0</w:t>
      </w:r>
    </w:p>
    <w:p>
      <w:pPr>
        <w:numPr>
          <w:ilvl w:val="0"/>
          <w:numId w:val="10"/>
        </w:numPr>
      </w:pPr>
      <w:r>
        <w:rPr>
          <w:rFonts w:ascii="Calibri" w:hAnsi="Calibri"/>
        </w:rPr>
        <w:t xml:space="preserve">package: </w:t>
      </w:r>
      <w:r>
        <w:rPr>
          <w:rFonts w:ascii="Consolas" w:hAnsi="Consolas"/>
          <w:color w:val="0B2545"/>
          <w:sz w:val="20"/>
        </w:rPr>
        <w:t>@acme/module-narrative</w:t>
      </w:r>
    </w:p>
    <w:p>
      <w:r>
        <w:rPr>
          <w:rFonts w:ascii="Calibri" w:hAnsi="Calibri"/>
        </w:rPr>
        <w:t xml:space="preserve">The module proves that story continuity can be implemented entirely through the shared </w:t>
      </w:r>
      <w:r>
        <w:rPr>
          <w:rFonts w:ascii="Consolas" w:hAnsi="Consolas"/>
          <w:color w:val="0B2545"/>
          <w:sz w:val="20"/>
        </w:rPr>
        <w:t>PromptContract</w:t>
      </w:r>
      <w:r>
        <w:rPr>
          <w:rFonts w:ascii="Calibri" w:hAnsi="Calibri"/>
        </w:rPr>
        <w:t xml:space="preserve">, </w:t>
      </w:r>
      <w:r>
        <w:rPr>
          <w:rFonts w:ascii="Consolas" w:hAnsi="Consolas"/>
          <w:color w:val="0B2545"/>
          <w:sz w:val="20"/>
        </w:rPr>
        <w:t>DomainModule</w:t>
      </w:r>
      <w:r>
        <w:rPr>
          <w:rFonts w:ascii="Calibri" w:hAnsi="Calibri"/>
        </w:rPr>
        <w:t xml:space="preserve">, </w:t>
      </w:r>
      <w:r>
        <w:rPr>
          <w:rFonts w:ascii="Consolas" w:hAnsi="Consolas"/>
          <w:color w:val="0B2545"/>
          <w:sz w:val="20"/>
        </w:rPr>
        <w:t>MemoryEngine</w:t>
      </w:r>
      <w:r>
        <w:rPr>
          <w:rFonts w:ascii="Calibri" w:hAnsi="Calibri"/>
        </w:rPr>
        <w:t xml:space="preserve">, </w:t>
      </w:r>
      <w:r>
        <w:rPr>
          <w:rFonts w:ascii="Consolas" w:hAnsi="Consolas"/>
          <w:color w:val="0B2545"/>
          <w:sz w:val="20"/>
        </w:rPr>
        <w:t>StateEngine</w:t>
      </w:r>
      <w:r>
        <w:rPr>
          <w:rFonts w:ascii="Calibri" w:hAnsi="Calibri"/>
        </w:rPr>
        <w:t xml:space="preserve"> and </w:t>
      </w:r>
      <w:r>
        <w:rPr>
          <w:rFonts w:ascii="Consolas" w:hAnsi="Consolas"/>
          <w:color w:val="0B2545"/>
          <w:sz w:val="20"/>
        </w:rPr>
        <w:t>ExecutionRepository</w:t>
      </w:r>
      <w:r>
        <w:rPr>
          <w:rFonts w:ascii="Calibri" w:hAnsi="Calibri"/>
        </w:rPr>
        <w:t xml:space="preserve"> boundaries. It must never introduce narrative branches in </w:t>
      </w:r>
      <w:r>
        <w:rPr>
          <w:rFonts w:ascii="Consolas" w:hAnsi="Consolas"/>
          <w:color w:val="0B2545"/>
          <w:sz w:val="20"/>
        </w:rPr>
        <w:t>@acme/core</w:t>
      </w:r>
      <w:r>
        <w:rPr>
          <w:rFonts w:ascii="Calibri" w:hAnsi="Calibri"/>
        </w:rPr>
        <w:t>.</w:t>
      </w:r>
    </w:p>
    <w:p>
      <w:pPr>
        <w:spacing w:before="100" w:after="160"/>
        <w:ind w:left="259" w:right="173"/>
        <w:shd w:fill="F4F6F9"/>
        <w:pBdr>
          <w:left w:val="single" w:sz="18" w:space="8" w:color="2E74B5"/>
        </w:pBdr>
      </w:pPr>
      <w:r>
        <w:rPr>
          <w:rFonts w:ascii="Calibri" w:hAnsi="Calibri"/>
          <w:b/>
        </w:rPr>
        <w:t>Presentation takeaway:</w:t>
      </w:r>
      <w:r>
        <w:rPr>
          <w:rFonts w:ascii="Calibri" w:hAnsi="Calibri"/>
        </w:rPr>
        <w:t xml:space="preserve"> the module owns narrative meaning; core owns deterministic mechanics. Model output remains a candidate until schemas, semantic validation, memory policy, state invariants and the atomic Unit of Work all accept it.</w:t>
      </w:r>
    </w:p>
    <w:p>
      <w:pPr>
        <w:pStyle w:val="Heading1"/>
      </w:pPr>
      <w:r>
        <w:t>How to read this guide</w:t>
      </w:r>
    </w:p>
    <w:p>
      <w:pPr>
        <w:numPr>
          <w:ilvl w:val="0"/>
          <w:numId w:val="11"/>
        </w:numPr>
      </w:pPr>
      <w:r>
        <w:rPr>
          <w:rFonts w:ascii="Calibri" w:hAnsi="Calibri"/>
          <w:b/>
        </w:rPr>
        <w:t>Approved baseline</w:t>
      </w:r>
      <w:r>
        <w:rPr>
          <w:rFonts w:ascii="Calibri" w:hAnsi="Calibri"/>
        </w:rPr>
        <w:t xml:space="preserve"> restates the normative ACME specification and current core contracts.</w:t>
      </w:r>
    </w:p>
    <w:p>
      <w:pPr>
        <w:numPr>
          <w:ilvl w:val="0"/>
          <w:numId w:val="11"/>
        </w:numPr>
      </w:pPr>
      <w:r>
        <w:rPr>
          <w:rFonts w:ascii="Calibri" w:hAnsi="Calibri"/>
          <w:b/>
        </w:rPr>
        <w:t>Recommended implementation</w:t>
      </w:r>
      <w:r>
        <w:rPr>
          <w:rFonts w:ascii="Calibri" w:hAnsi="Calibri"/>
        </w:rPr>
        <w:t xml:space="preserve"> translates that baseline into package and component work without changing public contracts.</w:t>
      </w:r>
    </w:p>
    <w:p>
      <w:pPr>
        <w:numPr>
          <w:ilvl w:val="0"/>
          <w:numId w:val="11"/>
        </w:numPr>
      </w:pPr>
      <w:r>
        <w:rPr>
          <w:rFonts w:ascii="Calibri" w:hAnsi="Calibri"/>
          <w:b/>
        </w:rPr>
        <w:t>Decision gate</w:t>
      </w:r>
      <w:r>
        <w:rPr>
          <w:rFonts w:ascii="Calibri" w:hAnsi="Calibri"/>
        </w:rPr>
        <w:t xml:space="preserve"> marks an unresolved boundary that must be approved before the affected implementation begins.</w:t>
      </w:r>
    </w:p>
    <w:p>
      <w:pPr>
        <w:pStyle w:val="Heading1"/>
      </w:pPr>
      <w:r>
        <w:t>Outcome and boundaries</w:t>
      </w:r>
    </w:p>
    <w:p>
      <w:pPr>
        <w:pStyle w:val="Heading2"/>
      </w:pPr>
      <w:r>
        <w:t>The module owns</w:t>
      </w:r>
    </w:p>
    <w:p>
      <w:pPr>
        <w:numPr>
          <w:ilvl w:val="0"/>
          <w:numId w:val="12"/>
        </w:numPr>
      </w:pPr>
      <w:r>
        <w:rPr>
          <w:rFonts w:ascii="Calibri" w:hAnsi="Calibri"/>
        </w:rPr>
        <w:t>narrative input, contract-input and output schemas</w:t>
      </w:r>
    </w:p>
    <w:p>
      <w:pPr>
        <w:numPr>
          <w:ilvl w:val="0"/>
          <w:numId w:val="12"/>
        </w:numPr>
      </w:pPr>
      <w:r>
        <w:rPr>
          <w:rFonts w:ascii="Calibri" w:hAnsi="Calibri"/>
        </w:rPr>
        <w:t xml:space="preserve">prompt semantics for </w:t>
      </w:r>
      <w:r>
        <w:rPr>
          <w:rFonts w:ascii="Consolas" w:hAnsi="Consolas"/>
          <w:color w:val="0B2545"/>
          <w:sz w:val="20"/>
        </w:rPr>
        <w:t>observe-document</w:t>
      </w:r>
    </w:p>
    <w:p>
      <w:pPr>
        <w:numPr>
          <w:ilvl w:val="0"/>
          <w:numId w:val="12"/>
        </w:numPr>
      </w:pPr>
      <w:r>
        <w:rPr>
          <w:rFonts w:ascii="Calibri" w:hAnsi="Calibri"/>
        </w:rPr>
        <w:t>interpretation of validated output</w:t>
      </w:r>
    </w:p>
    <w:p>
      <w:pPr>
        <w:numPr>
          <w:ilvl w:val="0"/>
          <w:numId w:val="12"/>
        </w:numPr>
      </w:pPr>
      <w:r>
        <w:rPr>
          <w:rFonts w:ascii="Calibri" w:hAnsi="Calibri"/>
        </w:rPr>
        <w:t>character, relationship and world-rule identity/equivalence policy</w:t>
      </w:r>
    </w:p>
    <w:p>
      <w:pPr>
        <w:numPr>
          <w:ilvl w:val="0"/>
          <w:numId w:val="12"/>
        </w:numPr>
      </w:pPr>
      <w:r>
        <w:rPr>
          <w:rFonts w:ascii="Calibri" w:hAnsi="Calibri"/>
        </w:rPr>
        <w:t>contradiction, reinforcement, relevance and lifecycle policy</w:t>
      </w:r>
    </w:p>
    <w:p>
      <w:pPr>
        <w:numPr>
          <w:ilvl w:val="0"/>
          <w:numId w:val="12"/>
        </w:numPr>
      </w:pPr>
      <w:r>
        <w:rPr>
          <w:rFonts w:ascii="Calibri" w:hAnsi="Calibri"/>
        </w:rPr>
        <w:t>narrative state, delta, initialization, reducer and invariants</w:t>
      </w:r>
    </w:p>
    <w:p>
      <w:pPr>
        <w:numPr>
          <w:ilvl w:val="0"/>
          <w:numId w:val="12"/>
        </w:numPr>
      </w:pPr>
      <w:r>
        <w:rPr>
          <w:rFonts w:ascii="Calibri" w:hAnsi="Calibri"/>
        </w:rPr>
        <w:t>narrative fixtures and module-specific tests</w:t>
      </w:r>
    </w:p>
    <w:p>
      <w:pPr>
        <w:pStyle w:val="Heading2"/>
      </w:pPr>
      <w:r>
        <w:t>The module does not own</w:t>
      </w:r>
    </w:p>
    <w:p>
      <w:pPr>
        <w:numPr>
          <w:ilvl w:val="0"/>
          <w:numId w:val="13"/>
        </w:numPr>
      </w:pPr>
      <w:r>
        <w:rPr>
          <w:rFonts w:ascii="Calibri" w:hAnsi="Calibri"/>
        </w:rPr>
        <w:t>provider or model selection</w:t>
      </w:r>
    </w:p>
    <w:p>
      <w:pPr>
        <w:numPr>
          <w:ilvl w:val="0"/>
          <w:numId w:val="13"/>
        </w:numPr>
      </w:pPr>
      <w:r>
        <w:rPr>
          <w:rFonts w:ascii="Calibri" w:hAnsi="Calibri"/>
        </w:rPr>
        <w:t>network calls, retries, cancellation or timeout scheduling</w:t>
      </w:r>
    </w:p>
    <w:p>
      <w:pPr>
        <w:numPr>
          <w:ilvl w:val="0"/>
          <w:numId w:val="13"/>
        </w:numPr>
      </w:pPr>
      <w:r>
        <w:rPr>
          <w:rFonts w:ascii="Calibri" w:hAnsi="Calibri"/>
        </w:rPr>
        <w:t>execution acceptance, ledger or replay orchestration</w:t>
      </w:r>
    </w:p>
    <w:p>
      <w:pPr>
        <w:numPr>
          <w:ilvl w:val="0"/>
          <w:numId w:val="13"/>
        </w:numPr>
      </w:pPr>
      <w:r>
        <w:rPr>
          <w:rFonts w:ascii="Calibri" w:hAnsi="Calibri"/>
        </w:rPr>
        <w:t>memory IDs, timestamps, provenance append or record versions</w:t>
      </w:r>
    </w:p>
    <w:p>
      <w:pPr>
        <w:numPr>
          <w:ilvl w:val="0"/>
          <w:numId w:val="13"/>
        </w:numPr>
      </w:pPr>
      <w:r>
        <w:rPr>
          <w:rFonts w:ascii="Calibri" w:hAnsi="Calibri"/>
        </w:rPr>
        <w:t>state revisions, transition IDs or compare-and-swap</w:t>
      </w:r>
    </w:p>
    <w:p>
      <w:pPr>
        <w:numPr>
          <w:ilvl w:val="0"/>
          <w:numId w:val="13"/>
        </w:numPr>
      </w:pPr>
      <w:r>
        <w:rPr>
          <w:rFonts w:ascii="Calibri" w:hAnsi="Calibri"/>
        </w:rPr>
        <w:t>persistence transactions or outbox delivery</w:t>
      </w:r>
    </w:p>
    <w:p>
      <w:pPr>
        <w:numPr>
          <w:ilvl w:val="0"/>
          <w:numId w:val="13"/>
        </w:numPr>
      </w:pPr>
      <w:r>
        <w:rPr>
          <w:rFonts w:ascii="Calibri" w:hAnsi="Calibri"/>
        </w:rPr>
        <w:t>ScenarioRunner or CLI behavior</w:t>
      </w:r>
    </w:p>
    <w:p>
      <w:pPr>
        <w:pStyle w:val="Heading1"/>
      </w:pPr>
      <w:r>
        <w:t>Component architecture</w:t>
      </w:r>
    </w:p>
    <w:p>
      <w:pPr>
        <w:pStyle w:val="CodeBlock"/>
        <w:spacing w:before="100"/>
        <w:shd w:fill="F5F7FA"/>
      </w:pPr>
      <w:r>
        <w:rPr>
          <w:rFonts w:ascii="Consolas" w:hAnsi="Consolas"/>
          <w:color w:val="283747"/>
          <w:sz w:val="17"/>
        </w:rPr>
        <w:t>flowchart LR</w:t>
      </w:r>
    </w:p>
    <w:p>
      <w:pPr>
        <w:pStyle w:val="CodeBlock"/>
        <w:shd w:fill="F5F7FA"/>
      </w:pPr>
      <w:r>
        <w:rPr>
          <w:rFonts w:ascii="Consolas" w:hAnsi="Consolas"/>
          <w:color w:val="283747"/>
          <w:sz w:val="17"/>
        </w:rPr>
        <w:t xml:space="preserve">  request["NarrativeObserveInput"] --&gt; task["observe-document task"]</w:t>
      </w:r>
    </w:p>
    <w:p>
      <w:pPr>
        <w:pStyle w:val="CodeBlock"/>
        <w:shd w:fill="F5F7FA"/>
      </w:pPr>
      <w:r>
        <w:rPr>
          <w:rFonts w:ascii="Consolas" w:hAnsi="Consolas"/>
          <w:color w:val="283747"/>
          <w:sz w:val="17"/>
        </w:rPr>
        <w:t xml:space="preserve">  context["ExecutionReadContext&lt;NarrativeState&gt;"] --&gt; project["project()"]</w:t>
      </w:r>
    </w:p>
    <w:p>
      <w:pPr>
        <w:pStyle w:val="CodeBlock"/>
        <w:shd w:fill="F5F7FA"/>
      </w:pPr>
      <w:r>
        <w:rPr>
          <w:rFonts w:ascii="Consolas" w:hAnsi="Consolas"/>
          <w:color w:val="283747"/>
          <w:sz w:val="17"/>
        </w:rPr>
        <w:t xml:space="preserve">  task --&gt; project</w:t>
      </w:r>
    </w:p>
    <w:p>
      <w:pPr>
        <w:pStyle w:val="CodeBlock"/>
        <w:shd w:fill="F5F7FA"/>
      </w:pPr>
      <w:r>
        <w:rPr>
          <w:rFonts w:ascii="Consolas" w:hAnsi="Consolas"/>
          <w:color w:val="283747"/>
          <w:sz w:val="17"/>
        </w:rPr>
        <w:t xml:space="preserve">  project --&gt; contract["narrative.observe-document@1.0.0"]</w:t>
      </w:r>
    </w:p>
    <w:p>
      <w:pPr>
        <w:pStyle w:val="CodeBlock"/>
        <w:shd w:fill="F5F7FA"/>
      </w:pPr>
      <w:r>
        <w:rPr>
          <w:rFonts w:ascii="Consolas" w:hAnsi="Consolas"/>
          <w:color w:val="283747"/>
          <w:sz w:val="17"/>
        </w:rPr>
        <w:t xml:space="preserve">  contract --&gt; gateway["ModelGateway"]</w:t>
      </w:r>
    </w:p>
    <w:p>
      <w:pPr>
        <w:pStyle w:val="CodeBlock"/>
        <w:shd w:fill="F5F7FA"/>
      </w:pPr>
      <w:r>
        <w:rPr>
          <w:rFonts w:ascii="Consolas" w:hAnsi="Consolas"/>
          <w:color w:val="283747"/>
          <w:sz w:val="17"/>
        </w:rPr>
        <w:t xml:space="preserve">  gateway --&gt; pipeline["ResponsePipeline"]</w:t>
      </w:r>
    </w:p>
    <w:p>
      <w:pPr>
        <w:pStyle w:val="CodeBlock"/>
        <w:shd w:fill="F5F7FA"/>
      </w:pPr>
      <w:r>
        <w:rPr>
          <w:rFonts w:ascii="Consolas" w:hAnsi="Consolas"/>
          <w:color w:val="283747"/>
          <w:sz w:val="17"/>
        </w:rPr>
        <w:t xml:space="preserve">  pipeline --&gt; interpret["interpret()"]</w:t>
      </w:r>
    </w:p>
    <w:p>
      <w:pPr>
        <w:pStyle w:val="CodeBlock"/>
        <w:shd w:fill="F5F7FA"/>
      </w:pPr>
      <w:r>
        <w:rPr>
          <w:rFonts w:ascii="Consolas" w:hAnsi="Consolas"/>
          <w:color w:val="283747"/>
          <w:sz w:val="17"/>
        </w:rPr>
        <w:t xml:space="preserve">  interpret --&gt; result["ModuleResult&lt;NarrativeDelta&gt;"]</w:t>
      </w:r>
    </w:p>
    <w:p>
      <w:pPr>
        <w:pStyle w:val="CodeBlock"/>
        <w:shd w:fill="F5F7FA"/>
      </w:pPr>
      <w:r>
        <w:rPr>
          <w:rFonts w:ascii="Consolas" w:hAnsi="Consolas"/>
          <w:color w:val="283747"/>
          <w:sz w:val="17"/>
        </w:rPr>
        <w:t xml:space="preserve">  result --&gt; memory["Narrative memory policy + MemoryEngine"]</w:t>
      </w:r>
    </w:p>
    <w:p>
      <w:pPr>
        <w:pStyle w:val="CodeBlock"/>
        <w:shd w:fill="F5F7FA"/>
      </w:pPr>
      <w:r>
        <w:rPr>
          <w:rFonts w:ascii="Consolas" w:hAnsi="Consolas"/>
          <w:color w:val="283747"/>
          <w:sz w:val="17"/>
        </w:rPr>
        <w:t xml:space="preserve">  result --&gt; state["Narrative reducer/invariants + StateEngine"]</w:t>
      </w:r>
    </w:p>
    <w:p>
      <w:pPr>
        <w:pStyle w:val="CodeBlock"/>
        <w:shd w:fill="F5F7FA"/>
      </w:pPr>
      <w:r>
        <w:rPr>
          <w:rFonts w:ascii="Consolas" w:hAnsi="Consolas"/>
          <w:color w:val="283747"/>
          <w:sz w:val="17"/>
        </w:rPr>
        <w:t xml:space="preserve">  memory --&gt; commit["ExecutionRepository Unit of Work"]</w:t>
      </w:r>
    </w:p>
    <w:p>
      <w:pPr>
        <w:pStyle w:val="CodeBlock"/>
        <w:spacing w:after="160"/>
        <w:shd w:fill="F5F7FA"/>
      </w:pPr>
      <w:r>
        <w:rPr>
          <w:rFonts w:ascii="Consolas" w:hAnsi="Consolas"/>
          <w:color w:val="283747"/>
          <w:sz w:val="17"/>
        </w:rPr>
        <w:t xml:space="preserve">  state --&gt; commit</w:t>
      </w:r>
    </w:p>
    <w:p>
      <w:r>
        <w:rPr>
          <w:rFonts w:ascii="Calibri" w:hAnsi="Calibri"/>
        </w:rPr>
        <w:t>The module supplies the domain-owned boxes. The future ExecutionEngine coordinates the arrows and commits all accepted effects atomically.</w:t>
      </w:r>
    </w:p>
    <w:p>
      <w:pPr>
        <w:pStyle w:val="Heading1"/>
      </w:pPr>
      <w:r>
        <w:t>Proposed package structure</w:t>
      </w:r>
    </w:p>
    <w:p>
      <w:pPr>
        <w:pStyle w:val="CodeBlock"/>
        <w:spacing w:before="100"/>
        <w:shd w:fill="F5F7FA"/>
      </w:pPr>
      <w:r>
        <w:rPr>
          <w:rFonts w:ascii="Consolas" w:hAnsi="Consolas"/>
          <w:color w:val="283747"/>
          <w:sz w:val="17"/>
        </w:rPr>
        <w:t>packages/module-narrative/</w:t>
      </w:r>
    </w:p>
    <w:p>
      <w:pPr>
        <w:pStyle w:val="CodeBlock"/>
        <w:shd w:fill="F5F7FA"/>
      </w:pPr>
      <w:r>
        <w:rPr>
          <w:rFonts w:ascii="Consolas" w:hAnsi="Consolas"/>
          <w:color w:val="283747"/>
          <w:sz w:val="17"/>
        </w:rPr>
        <w:t>├── package.json</w:t>
      </w:r>
    </w:p>
    <w:p>
      <w:pPr>
        <w:pStyle w:val="CodeBlock"/>
        <w:shd w:fill="F5F7FA"/>
      </w:pPr>
      <w:r>
        <w:rPr>
          <w:rFonts w:ascii="Consolas" w:hAnsi="Consolas"/>
          <w:color w:val="283747"/>
          <w:sz w:val="17"/>
        </w:rPr>
        <w:t>├── tsconfig.json</w:t>
      </w:r>
    </w:p>
    <w:p>
      <w:pPr>
        <w:pStyle w:val="CodeBlock"/>
        <w:shd w:fill="F5F7FA"/>
      </w:pPr>
      <w:r>
        <w:rPr>
          <w:rFonts w:ascii="Consolas" w:hAnsi="Consolas"/>
          <w:color w:val="283747"/>
          <w:sz w:val="17"/>
        </w:rPr>
        <w:t>├── src/</w:t>
      </w:r>
    </w:p>
    <w:p>
      <w:pPr>
        <w:pStyle w:val="CodeBlock"/>
        <w:shd w:fill="F5F7FA"/>
      </w:pPr>
      <w:r>
        <w:rPr>
          <w:rFonts w:ascii="Consolas" w:hAnsi="Consolas"/>
          <w:color w:val="283747"/>
          <w:sz w:val="17"/>
        </w:rPr>
        <w:t>│   ├── index.ts</w:t>
      </w:r>
    </w:p>
    <w:p>
      <w:pPr>
        <w:pStyle w:val="CodeBlock"/>
        <w:shd w:fill="F5F7FA"/>
      </w:pPr>
      <w:r>
        <w:rPr>
          <w:rFonts w:ascii="Consolas" w:hAnsi="Consolas"/>
          <w:color w:val="283747"/>
          <w:sz w:val="17"/>
        </w:rPr>
        <w:t>│   ├── module.ts</w:t>
      </w:r>
    </w:p>
    <w:p>
      <w:pPr>
        <w:pStyle w:val="CodeBlock"/>
        <w:shd w:fill="F5F7FA"/>
      </w:pPr>
      <w:r>
        <w:rPr>
          <w:rFonts w:ascii="Consolas" w:hAnsi="Consolas"/>
          <w:color w:val="283747"/>
          <w:sz w:val="17"/>
        </w:rPr>
        <w:t>│   ├── schemas.ts</w:t>
      </w:r>
    </w:p>
    <w:p>
      <w:pPr>
        <w:pStyle w:val="CodeBlock"/>
        <w:shd w:fill="F5F7FA"/>
      </w:pPr>
      <w:r>
        <w:rPr>
          <w:rFonts w:ascii="Consolas" w:hAnsi="Consolas"/>
          <w:color w:val="283747"/>
          <w:sz w:val="17"/>
        </w:rPr>
        <w:t>│   ├── state.ts</w:t>
      </w:r>
    </w:p>
    <w:p>
      <w:pPr>
        <w:pStyle w:val="CodeBlock"/>
        <w:shd w:fill="F5F7FA"/>
      </w:pPr>
      <w:r>
        <w:rPr>
          <w:rFonts w:ascii="Consolas" w:hAnsi="Consolas"/>
          <w:color w:val="283747"/>
          <w:sz w:val="17"/>
        </w:rPr>
        <w:t>│   ├── memory-policy.ts</w:t>
      </w:r>
    </w:p>
    <w:p>
      <w:pPr>
        <w:pStyle w:val="CodeBlock"/>
        <w:shd w:fill="F5F7FA"/>
      </w:pPr>
      <w:r>
        <w:rPr>
          <w:rFonts w:ascii="Consolas" w:hAnsi="Consolas"/>
          <w:color w:val="283747"/>
          <w:sz w:val="17"/>
        </w:rPr>
        <w:t>│   ├── contracts/</w:t>
      </w:r>
    </w:p>
    <w:p>
      <w:pPr>
        <w:pStyle w:val="CodeBlock"/>
        <w:shd w:fill="F5F7FA"/>
      </w:pPr>
      <w:r>
        <w:rPr>
          <w:rFonts w:ascii="Consolas" w:hAnsi="Consolas"/>
          <w:color w:val="283747"/>
          <w:sz w:val="17"/>
        </w:rPr>
        <w:t>│   │   └── observe-document.ts</w:t>
      </w:r>
    </w:p>
    <w:p>
      <w:pPr>
        <w:pStyle w:val="CodeBlock"/>
        <w:shd w:fill="F5F7FA"/>
      </w:pPr>
      <w:r>
        <w:rPr>
          <w:rFonts w:ascii="Consolas" w:hAnsi="Consolas"/>
          <w:color w:val="283747"/>
          <w:sz w:val="17"/>
        </w:rPr>
        <w:t>│   └── tasks/</w:t>
      </w:r>
    </w:p>
    <w:p>
      <w:pPr>
        <w:pStyle w:val="CodeBlock"/>
        <w:shd w:fill="F5F7FA"/>
      </w:pPr>
      <w:r>
        <w:rPr>
          <w:rFonts w:ascii="Consolas" w:hAnsi="Consolas"/>
          <w:color w:val="283747"/>
          <w:sz w:val="17"/>
        </w:rPr>
        <w:t>│       └── observe-document.ts</w:t>
      </w:r>
    </w:p>
    <w:p>
      <w:pPr>
        <w:pStyle w:val="CodeBlock"/>
        <w:shd w:fill="F5F7FA"/>
      </w:pPr>
      <w:r>
        <w:rPr>
          <w:rFonts w:ascii="Consolas" w:hAnsi="Consolas"/>
          <w:color w:val="283747"/>
          <w:sz w:val="17"/>
        </w:rPr>
        <w:t>├── test/</w:t>
      </w:r>
    </w:p>
    <w:p>
      <w:pPr>
        <w:pStyle w:val="CodeBlock"/>
        <w:shd w:fill="F5F7FA"/>
      </w:pPr>
      <w:r>
        <w:rPr>
          <w:rFonts w:ascii="Consolas" w:hAnsi="Consolas"/>
          <w:color w:val="283747"/>
          <w:sz w:val="17"/>
        </w:rPr>
        <w:t>│   ├── schemas.test.ts</w:t>
      </w:r>
    </w:p>
    <w:p>
      <w:pPr>
        <w:pStyle w:val="CodeBlock"/>
        <w:shd w:fill="F5F7FA"/>
      </w:pPr>
      <w:r>
        <w:rPr>
          <w:rFonts w:ascii="Consolas" w:hAnsi="Consolas"/>
          <w:color w:val="283747"/>
          <w:sz w:val="17"/>
        </w:rPr>
        <w:t>│   ├── state.test.ts</w:t>
      </w:r>
    </w:p>
    <w:p>
      <w:pPr>
        <w:pStyle w:val="CodeBlock"/>
        <w:shd w:fill="F5F7FA"/>
      </w:pPr>
      <w:r>
        <w:rPr>
          <w:rFonts w:ascii="Consolas" w:hAnsi="Consolas"/>
          <w:color w:val="283747"/>
          <w:sz w:val="17"/>
        </w:rPr>
        <w:t>│   ├── memory-policy.test.ts</w:t>
      </w:r>
    </w:p>
    <w:p>
      <w:pPr>
        <w:pStyle w:val="CodeBlock"/>
        <w:shd w:fill="F5F7FA"/>
      </w:pPr>
      <w:r>
        <w:rPr>
          <w:rFonts w:ascii="Consolas" w:hAnsi="Consolas"/>
          <w:color w:val="283747"/>
          <w:sz w:val="17"/>
        </w:rPr>
        <w:t>│   ├── observe-document.test.ts</w:t>
      </w:r>
    </w:p>
    <w:p>
      <w:pPr>
        <w:pStyle w:val="CodeBlock"/>
        <w:shd w:fill="F5F7FA"/>
      </w:pPr>
      <w:r>
        <w:rPr>
          <w:rFonts w:ascii="Consolas" w:hAnsi="Consolas"/>
          <w:color w:val="283747"/>
          <w:sz w:val="17"/>
        </w:rPr>
        <w:t>│   └── module-conformance.test.ts</w:t>
      </w:r>
    </w:p>
    <w:p>
      <w:pPr>
        <w:pStyle w:val="CodeBlock"/>
        <w:shd w:fill="F5F7FA"/>
      </w:pPr>
      <w:r>
        <w:rPr>
          <w:rFonts w:ascii="Consolas" w:hAnsi="Consolas"/>
          <w:color w:val="283747"/>
          <w:sz w:val="17"/>
        </w:rPr>
        <w:t>├── test-d/</w:t>
      </w:r>
    </w:p>
    <w:p>
      <w:pPr>
        <w:pStyle w:val="CodeBlock"/>
        <w:shd w:fill="F5F7FA"/>
      </w:pPr>
      <w:r>
        <w:rPr>
          <w:rFonts w:ascii="Consolas" w:hAnsi="Consolas"/>
          <w:color w:val="283747"/>
          <w:sz w:val="17"/>
        </w:rPr>
        <w:t>│   └── task-inference.test-d.ts</w:t>
      </w:r>
    </w:p>
    <w:p>
      <w:pPr>
        <w:pStyle w:val="CodeBlock"/>
        <w:shd w:fill="F5F7FA"/>
      </w:pPr>
      <w:r>
        <w:rPr>
          <w:rFonts w:ascii="Consolas" w:hAnsi="Consolas"/>
          <w:color w:val="283747"/>
          <w:sz w:val="17"/>
        </w:rPr>
        <w:t>└── fixtures/</w:t>
      </w:r>
    </w:p>
    <w:p>
      <w:pPr>
        <w:pStyle w:val="CodeBlock"/>
        <w:shd w:fill="F5F7FA"/>
      </w:pPr>
      <w:r>
        <w:rPr>
          <w:rFonts w:ascii="Consolas" w:hAnsi="Consolas"/>
          <w:color w:val="283747"/>
          <w:sz w:val="17"/>
        </w:rPr>
        <w:t xml:space="preserve">    ├── chapter-alpha.ts</w:t>
      </w:r>
    </w:p>
    <w:p>
      <w:pPr>
        <w:pStyle w:val="CodeBlock"/>
        <w:shd w:fill="F5F7FA"/>
      </w:pPr>
      <w:r>
        <w:rPr>
          <w:rFonts w:ascii="Consolas" w:hAnsi="Consolas"/>
          <w:color w:val="283747"/>
          <w:sz w:val="17"/>
        </w:rPr>
        <w:t xml:space="preserve">    ├── responses.ts</w:t>
      </w:r>
    </w:p>
    <w:p>
      <w:pPr>
        <w:pStyle w:val="CodeBlock"/>
        <w:spacing w:after="160"/>
        <w:shd w:fill="F5F7FA"/>
      </w:pPr>
      <w:r>
        <w:rPr>
          <w:rFonts w:ascii="Consolas" w:hAnsi="Consolas"/>
          <w:color w:val="283747"/>
          <w:sz w:val="17"/>
        </w:rPr>
        <w:t xml:space="preserve">    └── expected.ts</w:t>
      </w:r>
    </w:p>
    <w:p>
      <w:r>
        <w:rPr>
          <w:rFonts w:ascii="Calibri" w:hAnsi="Calibri"/>
        </w:rPr>
        <w:t xml:space="preserve">The package should depend on </w:t>
      </w:r>
      <w:r>
        <w:rPr>
          <w:rFonts w:ascii="Consolas" w:hAnsi="Consolas"/>
          <w:color w:val="0B2545"/>
          <w:sz w:val="20"/>
        </w:rPr>
        <w:t>@acme/core</w:t>
      </w:r>
      <w:r>
        <w:rPr>
          <w:rFonts w:ascii="Calibri" w:hAnsi="Calibri"/>
        </w:rPr>
        <w:t xml:space="preserve"> and its direct schema runtime only. It must not import </w:t>
      </w:r>
      <w:r>
        <w:rPr>
          <w:rFonts w:ascii="Consolas" w:hAnsi="Consolas"/>
          <w:color w:val="0B2545"/>
          <w:sz w:val="20"/>
        </w:rPr>
        <w:t>@acme/adapter-memory</w:t>
      </w:r>
      <w:r>
        <w:rPr>
          <w:rFonts w:ascii="Calibri" w:hAnsi="Calibri"/>
        </w:rPr>
        <w:t xml:space="preserve">, </w:t>
      </w:r>
      <w:r>
        <w:rPr>
          <w:rFonts w:ascii="Consolas" w:hAnsi="Consolas"/>
          <w:color w:val="0B2545"/>
          <w:sz w:val="20"/>
        </w:rPr>
        <w:t>@acme/adapter-model-mock</w:t>
      </w:r>
      <w:r>
        <w:rPr>
          <w:rFonts w:ascii="Calibri" w:hAnsi="Calibri"/>
        </w:rPr>
        <w:t>, a provider SDK, database library or application package.</w:t>
      </w:r>
    </w:p>
    <w:p>
      <w:pPr>
        <w:pStyle w:val="Heading1"/>
      </w:pPr>
      <w:r>
        <w:t>Required components</w:t>
      </w:r>
    </w:p>
    <w:tbl>
      <w:tblPr>
        <w:tblW w:type="dxa" w:w="9360"/>
        <w:jc w:val="left"/>
        <w:tblLayout w:type="fixed"/>
        <w:tblLook w:firstColumn="1" w:firstRow="1" w:lastColumn="0" w:lastRow="0" w:noHBand="0" w:noVBand="1" w:val="04A0"/>
        <w:tblInd w:w="12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Pr>
      <w:tblGrid>
        <w:gridCol w:w="2058"/>
        <w:gridCol w:w="3651"/>
        <w:gridCol w:w="3651"/>
      </w:tblGrid>
      <w:tr>
        <w:trPr>
          <w:tblHeader w:val="true"/>
        </w:trPr>
        <w:tc>
          <w:tcPr>
            <w:tcW w:type="dxa" w:w="2058"/>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Component</w:t>
            </w:r>
          </w:p>
        </w:tc>
        <w:tc>
          <w:tcPr>
            <w:tcW w:type="dxa" w:w="3651"/>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Responsibility</w:t>
            </w:r>
          </w:p>
        </w:tc>
        <w:tc>
          <w:tcPr>
            <w:tcW w:type="dxa" w:w="3651"/>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Primary verification</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schemas.ts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Strict runtime schemas for task input, contract input/output, state, delta and domain values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Accept valid fixtures; reject extra, malformed and non-finite values</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contracts/observe-document.ts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Immutable prompt contract, required capabilities, request construction and semantic validation</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Golden request hash; schema/semantic failure tests</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tasks/observe-document.ts</w:t>
            </w:r>
          </w:p>
        </w:tc>
        <w:tc>
          <w:tcPr>
            <w:tcW w:type="dxa" w:w="3651"/>
            <w:tcMar>
              <w:top w:w="80" w:type="dxa"/>
              <w:start w:w="120" w:type="dxa"/>
              <w:bottom w:w="80" w:type="dxa"/>
              <w:end w:w="120" w:type="dxa"/>
            </w:tcMar>
            <w:vAlign w:val="center"/>
          </w:tcPr>
          <w:p>
            <w:pPr>
              <w:spacing w:before="0" w:after="40" w:line="269" w:lineRule="auto"/>
            </w:pPr>
            <w:r>
              <w:rPr>
                <w:rFonts w:ascii="Consolas" w:hAnsi="Consolas"/>
                <w:color w:val="0B2545"/>
                <w:sz w:val="17"/>
              </w:rPr>
              <w:t>project()</w:t>
            </w:r>
            <w:r>
              <w:rPr>
                <w:rFonts w:ascii="Calibri" w:hAnsi="Calibri"/>
                <w:sz w:val="18"/>
              </w:rPr>
              <w:t xml:space="preserve"> context into contract input and </w:t>
            </w:r>
            <w:r>
              <w:rPr>
                <w:rFonts w:ascii="Consolas" w:hAnsi="Consolas"/>
                <w:color w:val="0B2545"/>
                <w:sz w:val="17"/>
              </w:rPr>
              <w:t>interpret()</w:t>
            </w:r>
            <w:r>
              <w:rPr>
                <w:rFonts w:ascii="Calibri" w:hAnsi="Calibri"/>
                <w:sz w:val="18"/>
              </w:rPr>
              <w:t xml:space="preserve"> validated output into candidates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Deterministic projection and exact result fixtures</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memory-policy.ts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Validate, identify, retrieve, resolve and lifecycle-manage narrative memories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Identity, equivalence, contradiction, merge, ranking and lifecycle tests</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state.ts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State/delta types, initial state, pure reducer and invariants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Revision-zero initialization, reducer purity and invariant matrix</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module.ts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 xml:space="preserve">Assemble namespace, schema versions, tasks and policy with </w:t>
            </w:r>
            <w:r>
              <w:rPr>
                <w:rFonts w:ascii="Consolas" w:hAnsi="Consolas"/>
                <w:color w:val="0B2545"/>
                <w:sz w:val="17"/>
              </w:rPr>
              <w:t>defineModule()</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Registry/conformance and immutable task map</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fixtures/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Explicit source, response and expected-result fixtures</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No clock, random, network or mutable golden updates</w:t>
            </w:r>
          </w:p>
        </w:tc>
      </w:tr>
      <w:tr>
        <w:tc>
          <w:tcPr>
            <w:tcW w:type="dxa" w:w="2058"/>
            <w:tcMar>
              <w:top w:w="80" w:type="dxa"/>
              <w:start w:w="120" w:type="dxa"/>
              <w:bottom w:w="80" w:type="dxa"/>
              <w:end w:w="120" w:type="dxa"/>
            </w:tcMar>
            <w:vAlign w:val="center"/>
          </w:tcPr>
          <w:p>
            <w:pPr>
              <w:spacing w:before="0" w:after="40" w:line="269" w:lineRule="auto"/>
            </w:pPr>
            <w:r>
              <w:rPr>
                <w:rFonts w:ascii="Consolas" w:hAnsi="Consolas"/>
                <w:color w:val="0B2545"/>
                <w:sz w:val="17"/>
              </w:rPr>
              <w:t>test-d/</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Compile-time task-name/input/output inference</w:t>
            </w:r>
          </w:p>
        </w:tc>
        <w:tc>
          <w:tcPr>
            <w:tcW w:type="dxa" w:w="3651"/>
            <w:tcMar>
              <w:top w:w="80" w:type="dxa"/>
              <w:start w:w="120" w:type="dxa"/>
              <w:bottom w:w="80" w:type="dxa"/>
              <w:end w:w="120" w:type="dxa"/>
            </w:tcMar>
            <w:vAlign w:val="center"/>
          </w:tcPr>
          <w:p>
            <w:pPr>
              <w:spacing w:before="0" w:after="40" w:line="269" w:lineRule="auto"/>
            </w:pPr>
            <w:r>
              <w:rPr>
                <w:rFonts w:ascii="Calibri" w:hAnsi="Calibri"/>
                <w:sz w:val="18"/>
              </w:rPr>
              <w:t>Valid task infers; invalid task fails typecheck</w:t>
            </w:r>
          </w:p>
        </w:tc>
      </w:tr>
    </w:tbl>
    <w:p>
      <w:pPr>
        <w:spacing w:after="40"/>
      </w:pPr>
    </w:p>
    <w:p>
      <w:pPr>
        <w:pStyle w:val="Heading1"/>
      </w:pPr>
      <w:r>
        <w:t>Domain contracts</w:t>
      </w:r>
    </w:p>
    <w:p>
      <w:pPr>
        <w:pStyle w:val="Heading2"/>
      </w:pPr>
      <w:r>
        <w:t>Approved task input</w:t>
      </w:r>
    </w:p>
    <w:p>
      <w:pPr>
        <w:pStyle w:val="CodeBlock"/>
        <w:spacing w:before="100"/>
        <w:shd w:fill="F5F7FA"/>
      </w:pPr>
      <w:r>
        <w:rPr>
          <w:rFonts w:ascii="Consolas" w:hAnsi="Consolas"/>
          <w:color w:val="283747"/>
          <w:sz w:val="17"/>
        </w:rPr>
        <w:t>interface NarrativeObserveInput {</w:t>
      </w:r>
    </w:p>
    <w:p>
      <w:pPr>
        <w:pStyle w:val="CodeBlock"/>
        <w:shd w:fill="F5F7FA"/>
      </w:pPr>
      <w:r>
        <w:rPr>
          <w:rFonts w:ascii="Consolas" w:hAnsi="Consolas"/>
          <w:color w:val="283747"/>
          <w:sz w:val="17"/>
        </w:rPr>
        <w:t xml:space="preserve">  documentKey: string;</w:t>
      </w:r>
    </w:p>
    <w:p>
      <w:pPr>
        <w:pStyle w:val="CodeBlock"/>
        <w:shd w:fill="F5F7FA"/>
      </w:pPr>
      <w:r>
        <w:rPr>
          <w:rFonts w:ascii="Consolas" w:hAnsi="Consolas"/>
          <w:color w:val="283747"/>
          <w:sz w:val="17"/>
        </w:rPr>
        <w:t xml:space="preserve">  title?: string;</w:t>
      </w:r>
    </w:p>
    <w:p>
      <w:pPr>
        <w:pStyle w:val="CodeBlock"/>
        <w:shd w:fill="F5F7FA"/>
      </w:pPr>
      <w:r>
        <w:rPr>
          <w:rFonts w:ascii="Consolas" w:hAnsi="Consolas"/>
          <w:color w:val="283747"/>
          <w:sz w:val="17"/>
        </w:rPr>
        <w:t xml:space="preserve">  text: string;</w:t>
      </w:r>
    </w:p>
    <w:p>
      <w:pPr>
        <w:pStyle w:val="CodeBlock"/>
        <w:spacing w:after="160"/>
        <w:shd w:fill="F5F7FA"/>
      </w:pPr>
      <w:r>
        <w:rPr>
          <w:rFonts w:ascii="Consolas" w:hAnsi="Consolas"/>
          <w:color w:val="283747"/>
          <w:sz w:val="17"/>
        </w:rPr>
        <w:t>}</w:t>
      </w:r>
    </w:p>
    <w:p>
      <w:r>
        <w:rPr>
          <w:rFonts w:ascii="Calibri" w:hAnsi="Calibri"/>
        </w:rPr>
        <w:t xml:space="preserve">The input schema should require non-empty </w:t>
      </w:r>
      <w:r>
        <w:rPr>
          <w:rFonts w:ascii="Consolas" w:hAnsi="Consolas"/>
          <w:color w:val="0B2545"/>
          <w:sz w:val="20"/>
        </w:rPr>
        <w:t>documentKey</w:t>
      </w:r>
      <w:r>
        <w:rPr>
          <w:rFonts w:ascii="Calibri" w:hAnsi="Calibri"/>
        </w:rPr>
        <w:t xml:space="preserve"> and </w:t>
      </w:r>
      <w:r>
        <w:rPr>
          <w:rFonts w:ascii="Consolas" w:hAnsi="Consolas"/>
          <w:color w:val="0B2545"/>
          <w:sz w:val="20"/>
        </w:rPr>
        <w:t>text</w:t>
      </w:r>
      <w:r>
        <w:rPr>
          <w:rFonts w:ascii="Calibri" w:hAnsi="Calibri"/>
        </w:rPr>
        <w:t>, reject unknown fields and place an explicit size limit on text once the ExecutionEngine budget contract is available.</w:t>
      </w:r>
    </w:p>
    <w:p>
      <w:pPr>
        <w:pStyle w:val="Heading2"/>
      </w:pPr>
      <w:r>
        <w:t>Recommended contract input</w:t>
      </w:r>
    </w:p>
    <w:p>
      <w:r>
        <w:rPr>
          <w:rFonts w:ascii="Consolas" w:hAnsi="Consolas"/>
          <w:color w:val="0B2545"/>
          <w:sz w:val="20"/>
        </w:rPr>
        <w:t>project()</w:t>
      </w:r>
      <w:r>
        <w:rPr>
          <w:rFonts w:ascii="Calibri" w:hAnsi="Calibri"/>
        </w:rPr>
        <w:t xml:space="preserve"> should produce a purpose-built value rather than pass the whole execution context:</w:t>
      </w:r>
    </w:p>
    <w:p>
      <w:pPr>
        <w:numPr>
          <w:ilvl w:val="0"/>
          <w:numId w:val="14"/>
        </w:numPr>
      </w:pPr>
      <w:r>
        <w:rPr>
          <w:rFonts w:ascii="Calibri" w:hAnsi="Calibri"/>
        </w:rPr>
        <w:t>source document key, optional title and text</w:t>
      </w:r>
    </w:p>
    <w:p>
      <w:pPr>
        <w:numPr>
          <w:ilvl w:val="0"/>
          <w:numId w:val="14"/>
        </w:numPr>
      </w:pPr>
      <w:r>
        <w:rPr>
          <w:rFonts w:ascii="Calibri" w:hAnsi="Calibri"/>
        </w:rPr>
        <w:t>current scene and outline progress</w:t>
      </w:r>
    </w:p>
    <w:p>
      <w:pPr>
        <w:numPr>
          <w:ilvl w:val="0"/>
          <w:numId w:val="14"/>
        </w:numPr>
      </w:pPr>
      <w:r>
        <w:rPr>
          <w:rFonts w:ascii="Calibri" w:hAnsi="Calibri"/>
        </w:rPr>
        <w:t>the bounded narrative window</w:t>
      </w:r>
    </w:p>
    <w:p>
      <w:pPr>
        <w:numPr>
          <w:ilvl w:val="0"/>
          <w:numId w:val="14"/>
        </w:numPr>
      </w:pPr>
      <w:r>
        <w:rPr>
          <w:rFonts w:ascii="Calibri" w:hAnsi="Calibri"/>
        </w:rPr>
        <w:t>relevant active/contested narrative memories already selected by core</w:t>
      </w:r>
    </w:p>
    <w:p>
      <w:pPr>
        <w:numPr>
          <w:ilvl w:val="0"/>
          <w:numId w:val="14"/>
        </w:numPr>
      </w:pPr>
      <w:r>
        <w:rPr>
          <w:rFonts w:ascii="Calibri" w:hAnsi="Calibri"/>
        </w:rPr>
        <w:t>explicit contract/schema versions</w:t>
      </w:r>
    </w:p>
    <w:p>
      <w:r>
        <w:rPr>
          <w:rFonts w:ascii="Calibri" w:hAnsi="Calibri"/>
        </w:rPr>
        <w:t>Ordering must be stable. Do not pass repository records, state envelopes or provider details into the prompt.</w:t>
      </w:r>
    </w:p>
    <w:p>
      <w:pPr>
        <w:pStyle w:val="Heading2"/>
      </w:pPr>
      <w:r>
        <w:t>Approved contract output</w:t>
      </w:r>
    </w:p>
    <w:p>
      <w:r>
        <w:rPr>
          <w:rFonts w:ascii="Calibri" w:hAnsi="Calibri"/>
        </w:rPr>
        <w:t>The versioned output contains:</w:t>
      </w:r>
    </w:p>
    <w:p>
      <w:pPr>
        <w:numPr>
          <w:ilvl w:val="0"/>
          <w:numId w:val="15"/>
        </w:numPr>
      </w:pPr>
      <w:r>
        <w:rPr>
          <w:rFonts w:ascii="Calibri" w:hAnsi="Calibri"/>
        </w:rPr>
        <w:t xml:space="preserve">observations of type </w:t>
      </w:r>
      <w:r>
        <w:rPr>
          <w:rFonts w:ascii="Consolas" w:hAnsi="Consolas"/>
          <w:color w:val="0B2545"/>
          <w:sz w:val="20"/>
        </w:rPr>
        <w:t>character-fact</w:t>
      </w:r>
      <w:r>
        <w:rPr>
          <w:rFonts w:ascii="Calibri" w:hAnsi="Calibri"/>
        </w:rPr>
        <w:t xml:space="preserve">, </w:t>
      </w:r>
      <w:r>
        <w:rPr>
          <w:rFonts w:ascii="Consolas" w:hAnsi="Consolas"/>
          <w:color w:val="0B2545"/>
          <w:sz w:val="20"/>
        </w:rPr>
        <w:t>relationship</w:t>
      </w:r>
      <w:r>
        <w:rPr>
          <w:rFonts w:ascii="Calibri" w:hAnsi="Calibri"/>
        </w:rPr>
        <w:t xml:space="preserve"> or </w:t>
      </w:r>
      <w:r>
        <w:rPr>
          <w:rFonts w:ascii="Consolas" w:hAnsi="Consolas"/>
          <w:color w:val="0B2545"/>
          <w:sz w:val="20"/>
        </w:rPr>
        <w:t>world-rule</w:t>
      </w:r>
    </w:p>
    <w:p>
      <w:pPr>
        <w:numPr>
          <w:ilvl w:val="0"/>
          <w:numId w:val="15"/>
        </w:numPr>
      </w:pPr>
      <w:r>
        <w:rPr>
          <w:rFonts w:ascii="Calibri" w:hAnsi="Calibri"/>
        </w:rPr>
        <w:t>a non-empty scene summary with optional location/time</w:t>
      </w:r>
    </w:p>
    <w:p>
      <w:pPr>
        <w:numPr>
          <w:ilvl w:val="0"/>
          <w:numId w:val="15"/>
        </w:numPr>
      </w:pPr>
      <w:r>
        <w:rPr>
          <w:rFonts w:ascii="Calibri" w:hAnsi="Calibri"/>
        </w:rPr>
        <w:t>optional monotonic outline progress</w:t>
      </w:r>
    </w:p>
    <w:p>
      <w:r>
        <w:rPr>
          <w:rFonts w:ascii="Calibri" w:hAnsi="Calibri"/>
        </w:rPr>
        <w:t xml:space="preserve">Every confidence is finite and in </w:t>
      </w:r>
      <w:r>
        <w:rPr>
          <w:rFonts w:ascii="Consolas" w:hAnsi="Consolas"/>
          <w:color w:val="0B2545"/>
          <w:sz w:val="20"/>
        </w:rPr>
        <w:t>[0, 1]</w:t>
      </w:r>
      <w:r>
        <w:rPr>
          <w:rFonts w:ascii="Calibri" w:hAnsi="Calibri"/>
        </w:rPr>
        <w:t>. Semantic validation rejects empty subjects, predicates, relationship endpoints, world rules and scene summaries.</w:t>
      </w:r>
    </w:p>
    <w:p>
      <w:pPr>
        <w:pStyle w:val="Heading2"/>
      </w:pPr>
      <w:r>
        <w:t>Document, memory and state mapping</w:t>
      </w:r>
    </w:p>
    <w:tbl>
      <w:tblPr>
        <w:tblW w:type="dxa" w:w="9360"/>
        <w:jc w:val="left"/>
        <w:tblLayout w:type="fixed"/>
        <w:tblLook w:firstColumn="1" w:firstRow="1" w:lastColumn="0" w:lastRow="0" w:noHBand="0" w:noVBand="1" w:val="04A0"/>
        <w:tblInd w:w="12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Pr>
      <w:tblGrid>
        <w:gridCol w:w="1314"/>
        <w:gridCol w:w="3531"/>
        <w:gridCol w:w="4515"/>
      </w:tblGrid>
      <w:tr>
        <w:trPr>
          <w:tblHeader w:val="true"/>
        </w:trPr>
        <w:tc>
          <w:tcPr>
            <w:tcW w:type="dxa" w:w="1314"/>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Output/effect</w:t>
            </w:r>
          </w:p>
        </w:tc>
        <w:tc>
          <w:tcPr>
            <w:tcW w:type="dxa" w:w="3531"/>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Domain representation</w:t>
            </w:r>
          </w:p>
        </w:tc>
        <w:tc>
          <w:tcPr>
            <w:tcW w:type="dxa" w:w="4515"/>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Rule</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Source text</w:t>
            </w:r>
          </w:p>
        </w:tc>
        <w:tc>
          <w:tcPr>
            <w:tcW w:type="dxa" w:w="3531"/>
            <w:tcMar>
              <w:top w:w="80" w:type="dxa"/>
              <w:start w:w="120" w:type="dxa"/>
              <w:bottom w:w="80" w:type="dxa"/>
              <w:end w:w="120" w:type="dxa"/>
            </w:tcMar>
            <w:vAlign w:val="center"/>
          </w:tcPr>
          <w:p>
            <w:pPr>
              <w:spacing w:before="0" w:after="40" w:line="269" w:lineRule="auto"/>
            </w:pPr>
            <w:r>
              <w:rPr>
                <w:rFonts w:ascii="Calibri" w:hAnsi="Calibri"/>
                <w:sz w:val="18"/>
              </w:rPr>
              <w:t xml:space="preserve">Document kind </w:t>
            </w:r>
            <w:r>
              <w:rPr>
                <w:rFonts w:ascii="Consolas" w:hAnsi="Consolas"/>
                <w:color w:val="0B2545"/>
                <w:sz w:val="17"/>
              </w:rPr>
              <w:t>narrative.source</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Stored as a candidate document with deterministic content hash</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Character fact</w:t>
            </w:r>
          </w:p>
        </w:tc>
        <w:tc>
          <w:tcPr>
            <w:tcW w:type="dxa" w:w="3531"/>
            <w:tcMar>
              <w:top w:w="80" w:type="dxa"/>
              <w:start w:w="120" w:type="dxa"/>
              <w:bottom w:w="80" w:type="dxa"/>
              <w:end w:w="120" w:type="dxa"/>
            </w:tcMar>
            <w:vAlign w:val="center"/>
          </w:tcPr>
          <w:p>
            <w:pPr>
              <w:spacing w:before="0" w:after="40" w:line="269" w:lineRule="auto"/>
            </w:pPr>
            <w:r>
              <w:rPr>
                <w:rFonts w:ascii="Calibri" w:hAnsi="Calibri"/>
                <w:sz w:val="18"/>
              </w:rPr>
              <w:t xml:space="preserve">Memory candidate </w:t>
            </w:r>
            <w:r>
              <w:rPr>
                <w:rFonts w:ascii="Consolas" w:hAnsi="Consolas"/>
                <w:color w:val="0B2545"/>
                <w:sz w:val="17"/>
              </w:rPr>
              <w:t>narrative.character-fact</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Never copied raw into canonical state</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Relationship</w:t>
            </w:r>
          </w:p>
        </w:tc>
        <w:tc>
          <w:tcPr>
            <w:tcW w:type="dxa" w:w="3531"/>
            <w:tcMar>
              <w:top w:w="80" w:type="dxa"/>
              <w:start w:w="120" w:type="dxa"/>
              <w:bottom w:w="80" w:type="dxa"/>
              <w:end w:w="120" w:type="dxa"/>
            </w:tcMar>
            <w:vAlign w:val="center"/>
          </w:tcPr>
          <w:p>
            <w:pPr>
              <w:spacing w:before="0" w:after="40" w:line="269" w:lineRule="auto"/>
            </w:pPr>
            <w:r>
              <w:rPr>
                <w:rFonts w:ascii="Calibri" w:hAnsi="Calibri"/>
                <w:sz w:val="18"/>
              </w:rPr>
              <w:t xml:space="preserve">Memory candidate </w:t>
            </w:r>
            <w:r>
              <w:rPr>
                <w:rFonts w:ascii="Consolas" w:hAnsi="Consolas"/>
                <w:color w:val="0B2545"/>
                <w:sz w:val="17"/>
              </w:rPr>
              <w:t>narrative.relationship</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Direction and endpoint identity are explicit</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World rule</w:t>
            </w:r>
          </w:p>
        </w:tc>
        <w:tc>
          <w:tcPr>
            <w:tcW w:type="dxa" w:w="3531"/>
            <w:tcMar>
              <w:top w:w="80" w:type="dxa"/>
              <w:start w:w="120" w:type="dxa"/>
              <w:bottom w:w="80" w:type="dxa"/>
              <w:end w:w="120" w:type="dxa"/>
            </w:tcMar>
            <w:vAlign w:val="center"/>
          </w:tcPr>
          <w:p>
            <w:pPr>
              <w:spacing w:before="0" w:after="40" w:line="269" w:lineRule="auto"/>
            </w:pPr>
            <w:r>
              <w:rPr>
                <w:rFonts w:ascii="Calibri" w:hAnsi="Calibri"/>
                <w:sz w:val="18"/>
              </w:rPr>
              <w:t xml:space="preserve">Memory candidate </w:t>
            </w:r>
            <w:r>
              <w:rPr>
                <w:rFonts w:ascii="Consolas" w:hAnsi="Consolas"/>
                <w:color w:val="0B2545"/>
                <w:sz w:val="17"/>
              </w:rPr>
              <w:t>narrative.world-rule</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Contradictions remain auditable</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Scene</w:t>
            </w:r>
          </w:p>
        </w:tc>
        <w:tc>
          <w:tcPr>
            <w:tcW w:type="dxa" w:w="3531"/>
            <w:tcMar>
              <w:top w:w="80" w:type="dxa"/>
              <w:start w:w="120" w:type="dxa"/>
              <w:bottom w:w="80" w:type="dxa"/>
              <w:end w:w="120" w:type="dxa"/>
            </w:tcMar>
            <w:vAlign w:val="center"/>
          </w:tcPr>
          <w:p>
            <w:pPr>
              <w:spacing w:before="0" w:after="40" w:line="269" w:lineRule="auto"/>
            </w:pPr>
            <w:r>
              <w:rPr>
                <w:rFonts w:ascii="Consolas" w:hAnsi="Consolas"/>
                <w:color w:val="0B2545"/>
                <w:sz w:val="17"/>
              </w:rPr>
              <w:t>NarrativeDelta.scene</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Reducer replaces the current scene after validation</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Window entry</w:t>
            </w:r>
          </w:p>
        </w:tc>
        <w:tc>
          <w:tcPr>
            <w:tcW w:type="dxa" w:w="3531"/>
            <w:tcMar>
              <w:top w:w="80" w:type="dxa"/>
              <w:start w:w="120" w:type="dxa"/>
              <w:bottom w:w="80" w:type="dxa"/>
              <w:end w:w="120" w:type="dxa"/>
            </w:tcMar>
            <w:vAlign w:val="center"/>
          </w:tcPr>
          <w:p>
            <w:pPr>
              <w:spacing w:before="0" w:after="40" w:line="269" w:lineRule="auto"/>
            </w:pPr>
            <w:r>
              <w:rPr>
                <w:rFonts w:ascii="Consolas" w:hAnsi="Consolas"/>
                <w:color w:val="0B2545"/>
                <w:sz w:val="17"/>
              </w:rPr>
              <w:t>NarrativeDelta.appendWindow</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Reducer appends and enforces configured maximum length</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Outline progress</w:t>
            </w:r>
          </w:p>
        </w:tc>
        <w:tc>
          <w:tcPr>
            <w:tcW w:type="dxa" w:w="3531"/>
            <w:tcMar>
              <w:top w:w="80" w:type="dxa"/>
              <w:start w:w="120" w:type="dxa"/>
              <w:bottom w:w="80" w:type="dxa"/>
              <w:end w:w="120" w:type="dxa"/>
            </w:tcMar>
            <w:vAlign w:val="center"/>
          </w:tcPr>
          <w:p>
            <w:pPr>
              <w:spacing w:before="0" w:after="40" w:line="269" w:lineRule="auto"/>
            </w:pPr>
            <w:r>
              <w:rPr>
                <w:rFonts w:ascii="Consolas" w:hAnsi="Consolas"/>
                <w:color w:val="0B2545"/>
                <w:sz w:val="17"/>
              </w:rPr>
              <w:t>NarrativeDelta.outlineProgress</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Progress may advance but never regress</w:t>
            </w:r>
          </w:p>
        </w:tc>
      </w:tr>
      <w:tr>
        <w:tc>
          <w:tcPr>
            <w:tcW w:type="dxa" w:w="1314"/>
            <w:tcMar>
              <w:top w:w="80" w:type="dxa"/>
              <w:start w:w="120" w:type="dxa"/>
              <w:bottom w:w="80" w:type="dxa"/>
              <w:end w:w="120" w:type="dxa"/>
            </w:tcMar>
            <w:vAlign w:val="center"/>
          </w:tcPr>
          <w:p>
            <w:pPr>
              <w:spacing w:before="0" w:after="40" w:line="269" w:lineRule="auto"/>
            </w:pPr>
            <w:r>
              <w:rPr>
                <w:rFonts w:ascii="Calibri" w:hAnsi="Calibri"/>
                <w:sz w:val="18"/>
              </w:rPr>
              <w:t>Events</w:t>
            </w:r>
          </w:p>
        </w:tc>
        <w:tc>
          <w:tcPr>
            <w:tcW w:type="dxa" w:w="3531"/>
            <w:tcMar>
              <w:top w:w="80" w:type="dxa"/>
              <w:start w:w="120" w:type="dxa"/>
              <w:bottom w:w="80" w:type="dxa"/>
              <w:end w:w="120" w:type="dxa"/>
            </w:tcMar>
            <w:vAlign w:val="center"/>
          </w:tcPr>
          <w:p>
            <w:pPr>
              <w:spacing w:before="0" w:after="40" w:line="269" w:lineRule="auto"/>
            </w:pPr>
            <w:r>
              <w:rPr>
                <w:rFonts w:ascii="Calibri" w:hAnsi="Calibri"/>
                <w:sz w:val="18"/>
              </w:rPr>
              <w:t>Not fixed by the baseline</w:t>
            </w:r>
          </w:p>
        </w:tc>
        <w:tc>
          <w:tcPr>
            <w:tcW w:type="dxa" w:w="4515"/>
            <w:tcMar>
              <w:top w:w="80" w:type="dxa"/>
              <w:start w:w="120" w:type="dxa"/>
              <w:bottom w:w="80" w:type="dxa"/>
              <w:end w:w="120" w:type="dxa"/>
            </w:tcMar>
            <w:vAlign w:val="center"/>
          </w:tcPr>
          <w:p>
            <w:pPr>
              <w:spacing w:before="0" w:after="40" w:line="269" w:lineRule="auto"/>
            </w:pPr>
            <w:r>
              <w:rPr>
                <w:rFonts w:ascii="Calibri" w:hAnsi="Calibri"/>
                <w:sz w:val="18"/>
              </w:rPr>
              <w:t>Add only through a separately reviewed event schema</w:t>
            </w:r>
          </w:p>
        </w:tc>
      </w:tr>
    </w:tbl>
    <w:p>
      <w:pPr>
        <w:spacing w:after="40"/>
      </w:pPr>
    </w:p>
    <w:p>
      <w:pPr>
        <w:pStyle w:val="Heading1"/>
      </w:pPr>
      <w:r>
        <w:t>Narrative state and reducer</w:t>
      </w:r>
    </w:p>
    <w:p>
      <w:r>
        <w:rPr>
          <w:rFonts w:ascii="Calibri" w:hAnsi="Calibri"/>
        </w:rPr>
        <w:t>The approved state contains:</w:t>
      </w:r>
    </w:p>
    <w:p>
      <w:pPr>
        <w:numPr>
          <w:ilvl w:val="0"/>
          <w:numId w:val="16"/>
        </w:numPr>
      </w:pPr>
      <w:r>
        <w:rPr>
          <w:rFonts w:ascii="Consolas" w:hAnsi="Consolas"/>
          <w:color w:val="0B2545"/>
          <w:sz w:val="20"/>
        </w:rPr>
        <w:t>characters</w:t>
      </w:r>
    </w:p>
    <w:p>
      <w:pPr>
        <w:numPr>
          <w:ilvl w:val="0"/>
          <w:numId w:val="16"/>
        </w:numPr>
      </w:pPr>
      <w:r>
        <w:rPr>
          <w:rFonts w:ascii="Consolas" w:hAnsi="Consolas"/>
          <w:color w:val="0B2545"/>
          <w:sz w:val="20"/>
        </w:rPr>
        <w:t>relationships</w:t>
      </w:r>
    </w:p>
    <w:p>
      <w:pPr>
        <w:numPr>
          <w:ilvl w:val="0"/>
          <w:numId w:val="16"/>
        </w:numPr>
      </w:pPr>
      <w:r>
        <w:rPr>
          <w:rFonts w:ascii="Consolas" w:hAnsi="Consolas"/>
          <w:color w:val="0B2545"/>
          <w:sz w:val="20"/>
        </w:rPr>
        <w:t>worldRules</w:t>
      </w:r>
    </w:p>
    <w:p>
      <w:pPr>
        <w:numPr>
          <w:ilvl w:val="0"/>
          <w:numId w:val="16"/>
        </w:numPr>
      </w:pPr>
      <w:r>
        <w:rPr>
          <w:rFonts w:ascii="Calibri" w:hAnsi="Calibri"/>
        </w:rPr>
        <w:t xml:space="preserve">current </w:t>
      </w:r>
      <w:r>
        <w:rPr>
          <w:rFonts w:ascii="Consolas" w:hAnsi="Consolas"/>
          <w:color w:val="0B2545"/>
          <w:sz w:val="20"/>
        </w:rPr>
        <w:t>scene</w:t>
      </w:r>
    </w:p>
    <w:p>
      <w:pPr>
        <w:numPr>
          <w:ilvl w:val="0"/>
          <w:numId w:val="16"/>
        </w:numPr>
      </w:pPr>
      <w:r>
        <w:rPr>
          <w:rFonts w:ascii="Calibri" w:hAnsi="Calibri"/>
        </w:rPr>
        <w:t xml:space="preserve">bounded </w:t>
      </w:r>
      <w:r>
        <w:rPr>
          <w:rFonts w:ascii="Consolas" w:hAnsi="Consolas"/>
          <w:color w:val="0B2545"/>
          <w:sz w:val="20"/>
        </w:rPr>
        <w:t>narrativeWindow</w:t>
      </w:r>
    </w:p>
    <w:p>
      <w:pPr>
        <w:numPr>
          <w:ilvl w:val="0"/>
          <w:numId w:val="16"/>
        </w:numPr>
      </w:pPr>
      <w:r>
        <w:rPr>
          <w:rFonts w:ascii="Consolas" w:hAnsi="Consolas"/>
          <w:color w:val="0B2545"/>
          <w:sz w:val="20"/>
        </w:rPr>
        <w:t>outlineProgress</w:t>
      </w:r>
    </w:p>
    <w:p>
      <w:pPr>
        <w:pStyle w:val="Heading2"/>
      </w:pPr>
      <w:r>
        <w:t>Initial state</w:t>
      </w:r>
    </w:p>
    <w:p>
      <w:r>
        <w:rPr>
          <w:rFonts w:ascii="Consolas" w:hAnsi="Consolas"/>
          <w:color w:val="0B2545"/>
          <w:sz w:val="20"/>
        </w:rPr>
        <w:t>initialState({ entityId, now })</w:t>
      </w:r>
      <w:r>
        <w:rPr>
          <w:rFonts w:ascii="Calibri" w:hAnsi="Calibri"/>
        </w:rPr>
        <w:t xml:space="preserve"> returns empty collections and </w:t>
      </w:r>
      <w:r>
        <w:rPr>
          <w:rFonts w:ascii="Consolas" w:hAnsi="Consolas"/>
          <w:color w:val="0B2545"/>
          <w:sz w:val="20"/>
        </w:rPr>
        <w:t>scene: null</w:t>
      </w:r>
      <w:r>
        <w:rPr>
          <w:rFonts w:ascii="Calibri" w:hAnsi="Calibri"/>
        </w:rPr>
        <w:t xml:space="preserve">. It may validate inputs but must not read a store, provider, clock or random source. The supplied </w:t>
      </w:r>
      <w:r>
        <w:rPr>
          <w:rFonts w:ascii="Consolas" w:hAnsi="Consolas"/>
          <w:color w:val="0B2545"/>
          <w:sz w:val="20"/>
        </w:rPr>
        <w:t>now</w:t>
      </w:r>
      <w:r>
        <w:rPr>
          <w:rFonts w:ascii="Calibri" w:hAnsi="Calibri"/>
        </w:rPr>
        <w:t xml:space="preserve"> must not be replaced with current time.</w:t>
      </w:r>
    </w:p>
    <w:p>
      <w:pPr>
        <w:pStyle w:val="Heading2"/>
      </w:pPr>
      <w:r>
        <w:t>Reducer responsibilities</w:t>
      </w:r>
    </w:p>
    <w:p>
      <w:pPr>
        <w:numPr>
          <w:ilvl w:val="0"/>
          <w:numId w:val="17"/>
        </w:numPr>
      </w:pPr>
      <w:r>
        <w:rPr>
          <w:rFonts w:ascii="Calibri" w:hAnsi="Calibri"/>
        </w:rPr>
        <w:t>create a new state value without mutating inputs</w:t>
      </w:r>
    </w:p>
    <w:p>
      <w:pPr>
        <w:numPr>
          <w:ilvl w:val="0"/>
          <w:numId w:val="17"/>
        </w:numPr>
      </w:pPr>
      <w:r>
        <w:rPr>
          <w:rFonts w:ascii="Calibri" w:hAnsi="Calibri"/>
        </w:rPr>
        <w:t xml:space="preserve">apply only the validated </w:t>
      </w:r>
      <w:r>
        <w:rPr>
          <w:rFonts w:ascii="Consolas" w:hAnsi="Consolas"/>
          <w:color w:val="0B2545"/>
          <w:sz w:val="20"/>
        </w:rPr>
        <w:t>NarrativeDelta</w:t>
      </w:r>
    </w:p>
    <w:p>
      <w:pPr>
        <w:numPr>
          <w:ilvl w:val="0"/>
          <w:numId w:val="17"/>
        </w:numPr>
      </w:pPr>
      <w:r>
        <w:rPr>
          <w:rFonts w:ascii="Calibri" w:hAnsi="Calibri"/>
        </w:rPr>
        <w:t>replace the scene</w:t>
      </w:r>
    </w:p>
    <w:p>
      <w:pPr>
        <w:numPr>
          <w:ilvl w:val="0"/>
          <w:numId w:val="17"/>
        </w:numPr>
      </w:pPr>
      <w:r>
        <w:rPr>
          <w:rFonts w:ascii="Calibri" w:hAnsi="Calibri"/>
        </w:rPr>
        <w:t>append one window summary and retain the configured maximum</w:t>
      </w:r>
    </w:p>
    <w:p>
      <w:pPr>
        <w:numPr>
          <w:ilvl w:val="0"/>
          <w:numId w:val="17"/>
        </w:numPr>
      </w:pPr>
      <w:r>
        <w:rPr>
          <w:rFonts w:ascii="Calibri" w:hAnsi="Calibri"/>
        </w:rPr>
        <w:t>advance outline beats monotonically</w:t>
      </w:r>
    </w:p>
    <w:p>
      <w:pPr>
        <w:numPr>
          <w:ilvl w:val="0"/>
          <w:numId w:val="17"/>
        </w:numPr>
      </w:pPr>
      <w:r>
        <w:rPr>
          <w:rFonts w:ascii="Calibri" w:hAnsi="Calibri"/>
        </w:rPr>
        <w:t>apply the approved projection of resolved memory decisions once that boundary is defined</w:t>
      </w:r>
    </w:p>
    <w:p>
      <w:pPr>
        <w:pStyle w:val="Heading2"/>
      </w:pPr>
      <w:r>
        <w:t>Invariants</w:t>
      </w:r>
    </w:p>
    <w:p>
      <w:r>
        <w:rPr>
          <w:rFonts w:ascii="Calibri" w:hAnsi="Calibri"/>
        </w:rPr>
        <w:t>At minimum, reject:</w:t>
      </w:r>
    </w:p>
    <w:p>
      <w:pPr>
        <w:numPr>
          <w:ilvl w:val="0"/>
          <w:numId w:val="18"/>
        </w:numPr>
      </w:pPr>
      <w:r>
        <w:rPr>
          <w:rFonts w:ascii="Calibri" w:hAnsi="Calibri"/>
        </w:rPr>
        <w:t>empty scene summaries</w:t>
      </w:r>
    </w:p>
    <w:p>
      <w:pPr>
        <w:numPr>
          <w:ilvl w:val="0"/>
          <w:numId w:val="18"/>
        </w:numPr>
      </w:pPr>
      <w:r>
        <w:rPr>
          <w:rFonts w:ascii="Calibri" w:hAnsi="Calibri"/>
        </w:rPr>
        <w:t>duplicate normalized relationships</w:t>
      </w:r>
    </w:p>
    <w:p>
      <w:pPr>
        <w:numPr>
          <w:ilvl w:val="0"/>
          <w:numId w:val="18"/>
        </w:numPr>
      </w:pPr>
      <w:r>
        <w:rPr>
          <w:rFonts w:ascii="Calibri" w:hAnsi="Calibri"/>
        </w:rPr>
        <w:t>relationship endpoints that cannot resolve to narrative identities</w:t>
      </w:r>
    </w:p>
    <w:p>
      <w:pPr>
        <w:numPr>
          <w:ilvl w:val="0"/>
          <w:numId w:val="18"/>
        </w:numPr>
      </w:pPr>
      <w:r>
        <w:rPr>
          <w:rFonts w:ascii="Calibri" w:hAnsi="Calibri"/>
        </w:rPr>
        <w:t>duplicate world-rule identity keys</w:t>
      </w:r>
    </w:p>
    <w:p>
      <w:pPr>
        <w:numPr>
          <w:ilvl w:val="0"/>
          <w:numId w:val="18"/>
        </w:numPr>
      </w:pPr>
      <w:r>
        <w:rPr>
          <w:rFonts w:ascii="Calibri" w:hAnsi="Calibri"/>
        </w:rPr>
        <w:t>unknown outline beats when an outline is configured</w:t>
      </w:r>
    </w:p>
    <w:p>
      <w:pPr>
        <w:numPr>
          <w:ilvl w:val="0"/>
          <w:numId w:val="18"/>
        </w:numPr>
      </w:pPr>
      <w:r>
        <w:rPr>
          <w:rFonts w:ascii="Calibri" w:hAnsi="Calibri"/>
        </w:rPr>
        <w:t xml:space="preserve">outline regressions such as </w:t>
      </w:r>
      <w:r>
        <w:rPr>
          <w:rFonts w:ascii="Consolas" w:hAnsi="Consolas"/>
          <w:color w:val="0B2545"/>
          <w:sz w:val="20"/>
        </w:rPr>
        <w:t>resolved → advanced</w:t>
      </w:r>
    </w:p>
    <w:p>
      <w:pPr>
        <w:numPr>
          <w:ilvl w:val="0"/>
          <w:numId w:val="18"/>
        </w:numPr>
      </w:pPr>
      <w:r>
        <w:rPr>
          <w:rFonts w:ascii="Calibri" w:hAnsi="Calibri"/>
        </w:rPr>
        <w:t>a narrative window exceeding its configured maximum</w:t>
      </w:r>
    </w:p>
    <w:p>
      <w:pPr>
        <w:pStyle w:val="Heading1"/>
      </w:pPr>
      <w:r>
        <w:t>Narrative memory policy</w:t>
      </w:r>
    </w:p>
    <w:p>
      <w:pPr>
        <w:pStyle w:val="Heading2"/>
      </w:pPr>
      <w:r>
        <w:t>Recommended identity families</w:t>
      </w:r>
    </w:p>
    <w:p>
      <w:pPr>
        <w:numPr>
          <w:ilvl w:val="0"/>
          <w:numId w:val="19"/>
        </w:numPr>
      </w:pPr>
      <w:r>
        <w:rPr>
          <w:rFonts w:ascii="Calibri" w:hAnsi="Calibri"/>
        </w:rPr>
        <w:t xml:space="preserve">character fact: </w:t>
      </w:r>
      <w:r>
        <w:rPr>
          <w:rFonts w:ascii="Consolas" w:hAnsi="Consolas"/>
          <w:color w:val="0B2545"/>
          <w:sz w:val="20"/>
        </w:rPr>
        <w:t>character:&lt;canonical-subject&gt;:&lt;canonical-predicate&gt;</w:t>
      </w:r>
    </w:p>
    <w:p>
      <w:pPr>
        <w:numPr>
          <w:ilvl w:val="0"/>
          <w:numId w:val="19"/>
        </w:numPr>
      </w:pPr>
      <w:r>
        <w:rPr>
          <w:rFonts w:ascii="Calibri" w:hAnsi="Calibri"/>
        </w:rPr>
        <w:t xml:space="preserve">relationship: </w:t>
      </w:r>
      <w:r>
        <w:rPr>
          <w:rFonts w:ascii="Consolas" w:hAnsi="Consolas"/>
          <w:color w:val="0B2545"/>
          <w:sz w:val="20"/>
        </w:rPr>
        <w:t>relationship:&lt;canonical-subject&gt;:&lt;canonical-relation&gt;:&lt;canonical-object&gt;</w:t>
      </w:r>
    </w:p>
    <w:p>
      <w:pPr>
        <w:numPr>
          <w:ilvl w:val="0"/>
          <w:numId w:val="19"/>
        </w:numPr>
      </w:pPr>
      <w:r>
        <w:rPr>
          <w:rFonts w:ascii="Calibri" w:hAnsi="Calibri"/>
        </w:rPr>
        <w:t xml:space="preserve">world rule: </w:t>
      </w:r>
      <w:r>
        <w:rPr>
          <w:rFonts w:ascii="Consolas" w:hAnsi="Consolas"/>
          <w:color w:val="0B2545"/>
          <w:sz w:val="20"/>
        </w:rPr>
        <w:t>world-rule:&lt;canonical-rule-key&gt;</w:t>
      </w:r>
    </w:p>
    <w:p>
      <w:r>
        <w:rPr>
          <w:rFonts w:ascii="Calibri" w:hAnsi="Calibri"/>
        </w:rPr>
        <w:t>Canonicalization must be deterministic and versioned. It may use alias information projected from state during interpretation, but the memory policy must not call a model or store.</w:t>
      </w:r>
    </w:p>
    <w:p>
      <w:pPr>
        <w:pStyle w:val="Heading2"/>
      </w:pPr>
      <w:r>
        <w:t>Resolution behavior</w:t>
      </w:r>
    </w:p>
    <w:p>
      <w:pPr>
        <w:numPr>
          <w:ilvl w:val="0"/>
          <w:numId w:val="20"/>
        </w:numPr>
      </w:pPr>
      <w:r>
        <w:rPr>
          <w:rFonts w:ascii="Calibri" w:hAnsi="Calibri"/>
        </w:rPr>
        <w:t xml:space="preserve">first valid observation → </w:t>
      </w:r>
      <w:r>
        <w:rPr>
          <w:rFonts w:ascii="Consolas" w:hAnsi="Consolas"/>
          <w:color w:val="0B2545"/>
          <w:sz w:val="20"/>
        </w:rPr>
        <w:t>create</w:t>
      </w:r>
    </w:p>
    <w:p>
      <w:pPr>
        <w:numPr>
          <w:ilvl w:val="0"/>
          <w:numId w:val="20"/>
        </w:numPr>
      </w:pPr>
      <w:r>
        <w:rPr>
          <w:rFonts w:ascii="Calibri" w:hAnsi="Calibri"/>
        </w:rPr>
        <w:t xml:space="preserve">equivalent observation → </w:t>
      </w:r>
      <w:r>
        <w:rPr>
          <w:rFonts w:ascii="Consolas" w:hAnsi="Consolas"/>
          <w:color w:val="0B2545"/>
          <w:sz w:val="20"/>
        </w:rPr>
        <w:t>reinforce</w:t>
      </w:r>
    </w:p>
    <w:p>
      <w:pPr>
        <w:numPr>
          <w:ilvl w:val="0"/>
          <w:numId w:val="20"/>
        </w:numPr>
      </w:pPr>
      <w:r>
        <w:rPr>
          <w:rFonts w:ascii="Calibri" w:hAnsi="Calibri"/>
        </w:rPr>
        <w:t xml:space="preserve">compatible richer value → </w:t>
      </w:r>
      <w:r>
        <w:rPr>
          <w:rFonts w:ascii="Consolas" w:hAnsi="Consolas"/>
          <w:color w:val="0B2545"/>
          <w:sz w:val="20"/>
        </w:rPr>
        <w:t>merge</w:t>
      </w:r>
    </w:p>
    <w:p>
      <w:pPr>
        <w:numPr>
          <w:ilvl w:val="0"/>
          <w:numId w:val="20"/>
        </w:numPr>
      </w:pPr>
      <w:r>
        <w:rPr>
          <w:rFonts w:ascii="Calibri" w:hAnsi="Calibri"/>
        </w:rPr>
        <w:t xml:space="preserve">contradictory character fact → </w:t>
      </w:r>
      <w:r>
        <w:rPr>
          <w:rFonts w:ascii="Consolas" w:hAnsi="Consolas"/>
          <w:color w:val="0B2545"/>
          <w:sz w:val="20"/>
        </w:rPr>
        <w:t>contest</w:t>
      </w:r>
      <w:r>
        <w:rPr>
          <w:rFonts w:ascii="Calibri" w:hAnsi="Calibri"/>
        </w:rPr>
        <w:t xml:space="preserve"> by default</w:t>
      </w:r>
    </w:p>
    <w:p>
      <w:pPr>
        <w:numPr>
          <w:ilvl w:val="0"/>
          <w:numId w:val="20"/>
        </w:numPr>
      </w:pPr>
      <w:r>
        <w:rPr>
          <w:rFonts w:ascii="Calibri" w:hAnsi="Calibri"/>
        </w:rPr>
        <w:t xml:space="preserve">accepted explicit correction → </w:t>
      </w:r>
      <w:r>
        <w:rPr>
          <w:rFonts w:ascii="Consolas" w:hAnsi="Consolas"/>
          <w:color w:val="0B2545"/>
          <w:sz w:val="20"/>
        </w:rPr>
        <w:t>supersede-existing</w:t>
      </w:r>
    </w:p>
    <w:p>
      <w:pPr>
        <w:numPr>
          <w:ilvl w:val="0"/>
          <w:numId w:val="20"/>
        </w:numPr>
      </w:pPr>
      <w:r>
        <w:rPr>
          <w:rFonts w:ascii="Calibri" w:hAnsi="Calibri"/>
        </w:rPr>
        <w:t xml:space="preserve">low-value/duplicate noise → </w:t>
      </w:r>
      <w:r>
        <w:rPr>
          <w:rFonts w:ascii="Consolas" w:hAnsi="Consolas"/>
          <w:color w:val="0B2545"/>
          <w:sz w:val="20"/>
        </w:rPr>
        <w:t>ignore</w:t>
      </w:r>
    </w:p>
    <w:p>
      <w:r>
        <w:rPr>
          <w:rFonts w:ascii="Calibri" w:hAnsi="Calibri"/>
        </w:rPr>
        <w:t>The policy supplies the complete resulting value and strength. Core owns IDs, timestamps, provenance, versions and mutation mechanics.</w:t>
      </w:r>
    </w:p>
    <w:p>
      <w:pPr>
        <w:pStyle w:val="Heading2"/>
      </w:pPr>
      <w:r>
        <w:t>Retrieval behavior</w:t>
      </w:r>
    </w:p>
    <w:p>
      <w:r>
        <w:rPr>
          <w:rFonts w:ascii="Calibri" w:hAnsi="Calibri"/>
        </w:rPr>
        <w:t>Rank by task relevance, recency/strength represented in the supplied record, status and stable identity. Core performs the final deterministic tie ordering and limit. Contested memories may be retrieved with an explicit reason but must not be presented as settled truth.</w:t>
      </w:r>
    </w:p>
    <w:p>
      <w:pPr>
        <w:pStyle w:val="Heading1"/>
      </w:pPr>
      <w:r>
        <w:t>Ordered implementation plan</w:t>
      </w:r>
    </w:p>
    <w:p>
      <w:pPr>
        <w:pStyle w:val="Heading2"/>
      </w:pPr>
      <w:r>
        <w:t>Phase 1 — Package and schemas</w:t>
      </w:r>
    </w:p>
    <w:p>
      <w:pPr>
        <w:numPr>
          <w:ilvl w:val="0"/>
          <w:numId w:val="21"/>
        </w:numPr>
      </w:pPr>
      <w:r>
        <w:rPr>
          <w:rFonts w:ascii="Calibri" w:hAnsi="Calibri"/>
        </w:rPr>
        <w:t xml:space="preserve">Add </w:t>
      </w:r>
      <w:r>
        <w:rPr>
          <w:rFonts w:ascii="Consolas" w:hAnsi="Consolas"/>
          <w:color w:val="0B2545"/>
          <w:sz w:val="20"/>
        </w:rPr>
        <w:t>@acme/module-narrative</w:t>
      </w:r>
      <w:r>
        <w:rPr>
          <w:rFonts w:ascii="Calibri" w:hAnsi="Calibri"/>
        </w:rPr>
        <w:t xml:space="preserve"> workspace/project references.</w:t>
      </w:r>
    </w:p>
    <w:p>
      <w:pPr>
        <w:numPr>
          <w:ilvl w:val="0"/>
          <w:numId w:val="21"/>
        </w:numPr>
      </w:pPr>
      <w:r>
        <w:rPr>
          <w:rFonts w:ascii="Calibri" w:hAnsi="Calibri"/>
        </w:rPr>
        <w:t>Add dependency rules proving module → core only.</w:t>
      </w:r>
    </w:p>
    <w:p>
      <w:pPr>
        <w:numPr>
          <w:ilvl w:val="0"/>
          <w:numId w:val="21"/>
        </w:numPr>
      </w:pPr>
      <w:r>
        <w:rPr>
          <w:rFonts w:ascii="Calibri" w:hAnsi="Calibri"/>
        </w:rPr>
        <w:t>Define strict schemas and compile-time types.</w:t>
      </w:r>
    </w:p>
    <w:p>
      <w:pPr>
        <w:numPr>
          <w:ilvl w:val="0"/>
          <w:numId w:val="21"/>
        </w:numPr>
      </w:pPr>
      <w:r>
        <w:rPr>
          <w:rFonts w:ascii="Calibri" w:hAnsi="Calibri"/>
        </w:rPr>
        <w:t>Add valid/invalid schema fixtures.</w:t>
      </w:r>
    </w:p>
    <w:p>
      <w:r>
        <w:rPr>
          <w:rFonts w:ascii="Calibri" w:hAnsi="Calibri"/>
          <w:b/>
        </w:rPr>
        <w:t>Exit:</w:t>
      </w:r>
      <w:r>
        <w:rPr>
          <w:rFonts w:ascii="Calibri" w:hAnsi="Calibri"/>
        </w:rPr>
        <w:t xml:space="preserve"> typecheck, schema tests and boundary checks pass.</w:t>
      </w:r>
    </w:p>
    <w:p>
      <w:pPr>
        <w:pStyle w:val="Heading2"/>
      </w:pPr>
      <w:r>
        <w:t>Phase 2 — Pure state and memory policy</w:t>
      </w:r>
    </w:p>
    <w:p>
      <w:pPr>
        <w:numPr>
          <w:ilvl w:val="0"/>
          <w:numId w:val="22"/>
        </w:numPr>
      </w:pPr>
      <w:r>
        <w:rPr>
          <w:rFonts w:ascii="Calibri" w:hAnsi="Calibri"/>
        </w:rPr>
        <w:t>Implement initial state and reducer.</w:t>
      </w:r>
    </w:p>
    <w:p>
      <w:pPr>
        <w:numPr>
          <w:ilvl w:val="0"/>
          <w:numId w:val="22"/>
        </w:numPr>
      </w:pPr>
      <w:r>
        <w:rPr>
          <w:rFonts w:ascii="Calibri" w:hAnsi="Calibri"/>
        </w:rPr>
        <w:t>Implement invariants.</w:t>
      </w:r>
    </w:p>
    <w:p>
      <w:pPr>
        <w:numPr>
          <w:ilvl w:val="0"/>
          <w:numId w:val="22"/>
        </w:numPr>
      </w:pPr>
      <w:r>
        <w:rPr>
          <w:rFonts w:ascii="Calibri" w:hAnsi="Calibri"/>
        </w:rPr>
        <w:t>Implement deterministic identity and resolution policy.</w:t>
      </w:r>
    </w:p>
    <w:p>
      <w:pPr>
        <w:numPr>
          <w:ilvl w:val="0"/>
          <w:numId w:val="22"/>
        </w:numPr>
      </w:pPr>
      <w:r>
        <w:rPr>
          <w:rFonts w:ascii="Calibri" w:hAnsi="Calibri"/>
        </w:rPr>
        <w:t>Add retrieval and lifecycle behavior.</w:t>
      </w:r>
    </w:p>
    <w:p>
      <w:r>
        <w:rPr>
          <w:rFonts w:ascii="Calibri" w:hAnsi="Calibri"/>
          <w:b/>
        </w:rPr>
        <w:t>Exit:</w:t>
      </w:r>
      <w:r>
        <w:rPr>
          <w:rFonts w:ascii="Calibri" w:hAnsi="Calibri"/>
        </w:rPr>
        <w:t xml:space="preserve"> all pure tests pass without adapters or model calls.</w:t>
      </w:r>
    </w:p>
    <w:p>
      <w:pPr>
        <w:pStyle w:val="Heading2"/>
      </w:pPr>
      <w:r>
        <w:t>Phase 3 — Contract and task</w:t>
      </w:r>
    </w:p>
    <w:p>
      <w:pPr>
        <w:numPr>
          <w:ilvl w:val="0"/>
          <w:numId w:val="23"/>
        </w:numPr>
      </w:pPr>
      <w:r>
        <w:rPr>
          <w:rFonts w:ascii="Calibri" w:hAnsi="Calibri"/>
        </w:rPr>
        <w:t xml:space="preserve">Implement </w:t>
      </w:r>
      <w:r>
        <w:rPr>
          <w:rFonts w:ascii="Consolas" w:hAnsi="Consolas"/>
          <w:color w:val="0B2545"/>
          <w:sz w:val="20"/>
        </w:rPr>
        <w:t>narrative.observe-document@1.0.0</w:t>
      </w:r>
      <w:r>
        <w:rPr>
          <w:rFonts w:ascii="Calibri" w:hAnsi="Calibri"/>
        </w:rPr>
        <w:t>.</w:t>
      </w:r>
    </w:p>
    <w:p>
      <w:pPr>
        <w:numPr>
          <w:ilvl w:val="0"/>
          <w:numId w:val="23"/>
        </w:numPr>
      </w:pPr>
      <w:r>
        <w:rPr>
          <w:rFonts w:ascii="Calibri" w:hAnsi="Calibri"/>
        </w:rPr>
        <w:t>Golden-test request construction and request hash.</w:t>
      </w:r>
    </w:p>
    <w:p>
      <w:pPr>
        <w:numPr>
          <w:ilvl w:val="0"/>
          <w:numId w:val="23"/>
        </w:numPr>
      </w:pPr>
      <w:r>
        <w:rPr>
          <w:rFonts w:ascii="Calibri" w:hAnsi="Calibri"/>
        </w:rPr>
        <w:t xml:space="preserve">Implement deterministic </w:t>
      </w:r>
      <w:r>
        <w:rPr>
          <w:rFonts w:ascii="Consolas" w:hAnsi="Consolas"/>
          <w:color w:val="0B2545"/>
          <w:sz w:val="20"/>
        </w:rPr>
        <w:t>project()</w:t>
      </w:r>
      <w:r>
        <w:rPr>
          <w:rFonts w:ascii="Calibri" w:hAnsi="Calibri"/>
        </w:rPr>
        <w:t>.</w:t>
      </w:r>
    </w:p>
    <w:p>
      <w:pPr>
        <w:numPr>
          <w:ilvl w:val="0"/>
          <w:numId w:val="23"/>
        </w:numPr>
      </w:pPr>
      <w:r>
        <w:rPr>
          <w:rFonts w:ascii="Calibri" w:hAnsi="Calibri"/>
        </w:rPr>
        <w:t xml:space="preserve">Implement </w:t>
      </w:r>
      <w:r>
        <w:rPr>
          <w:rFonts w:ascii="Consolas" w:hAnsi="Consolas"/>
          <w:color w:val="0B2545"/>
          <w:sz w:val="20"/>
        </w:rPr>
        <w:t>interpret()</w:t>
      </w:r>
      <w:r>
        <w:rPr>
          <w:rFonts w:ascii="Calibri" w:hAnsi="Calibri"/>
        </w:rPr>
        <w:t xml:space="preserve"> into documents, memories, delta and diagnostics.</w:t>
      </w:r>
    </w:p>
    <w:p>
      <w:r>
        <w:rPr>
          <w:rFonts w:ascii="Calibri" w:hAnsi="Calibri"/>
          <w:b/>
        </w:rPr>
        <w:t>Exit:</w:t>
      </w:r>
      <w:r>
        <w:rPr>
          <w:rFonts w:ascii="Calibri" w:hAnsi="Calibri"/>
        </w:rPr>
        <w:t xml:space="preserve"> fixed inputs/context/output produce byte-equivalent module results.</w:t>
      </w:r>
    </w:p>
    <w:p>
      <w:pPr>
        <w:pStyle w:val="Heading2"/>
      </w:pPr>
      <w:r>
        <w:t>Phase 4 — Module assembly and conformance</w:t>
      </w:r>
    </w:p>
    <w:p>
      <w:pPr>
        <w:numPr>
          <w:ilvl w:val="0"/>
          <w:numId w:val="24"/>
        </w:numPr>
      </w:pPr>
      <w:r>
        <w:rPr>
          <w:rFonts w:ascii="Calibri" w:hAnsi="Calibri"/>
        </w:rPr>
        <w:t xml:space="preserve">Assemble with </w:t>
      </w:r>
      <w:r>
        <w:rPr>
          <w:rFonts w:ascii="Consolas" w:hAnsi="Consolas"/>
          <w:color w:val="0B2545"/>
          <w:sz w:val="20"/>
        </w:rPr>
        <w:t>defineTask()</w:t>
      </w:r>
      <w:r>
        <w:rPr>
          <w:rFonts w:ascii="Calibri" w:hAnsi="Calibri"/>
        </w:rPr>
        <w:t xml:space="preserve"> and </w:t>
      </w:r>
      <w:r>
        <w:rPr>
          <w:rFonts w:ascii="Consolas" w:hAnsi="Consolas"/>
          <w:color w:val="0B2545"/>
          <w:sz w:val="20"/>
        </w:rPr>
        <w:t>defineModule()</w:t>
      </w:r>
      <w:r>
        <w:rPr>
          <w:rFonts w:ascii="Calibri" w:hAnsi="Calibri"/>
        </w:rPr>
        <w:t>.</w:t>
      </w:r>
    </w:p>
    <w:p>
      <w:pPr>
        <w:numPr>
          <w:ilvl w:val="0"/>
          <w:numId w:val="24"/>
        </w:numPr>
      </w:pPr>
      <w:r>
        <w:rPr>
          <w:rFonts w:ascii="Calibri" w:hAnsi="Calibri"/>
        </w:rPr>
        <w:t>Register the contract and module statically.</w:t>
      </w:r>
    </w:p>
    <w:p>
      <w:pPr>
        <w:numPr>
          <w:ilvl w:val="0"/>
          <w:numId w:val="24"/>
        </w:numPr>
      </w:pPr>
      <w:r>
        <w:rPr>
          <w:rFonts w:ascii="Calibri" w:hAnsi="Calibri"/>
        </w:rPr>
        <w:t>Run type-inference and module-conformance suites.</w:t>
      </w:r>
    </w:p>
    <w:p>
      <w:pPr>
        <w:numPr>
          <w:ilvl w:val="0"/>
          <w:numId w:val="24"/>
        </w:numPr>
      </w:pPr>
      <w:r>
        <w:rPr>
          <w:rFonts w:ascii="Calibri" w:hAnsi="Calibri"/>
        </w:rPr>
        <w:t>Prove returned inputs/results are detached and immutable.</w:t>
      </w:r>
    </w:p>
    <w:p>
      <w:r>
        <w:rPr>
          <w:rFonts w:ascii="Calibri" w:hAnsi="Calibri"/>
          <w:b/>
        </w:rPr>
        <w:t>Exit:</w:t>
      </w:r>
      <w:r>
        <w:rPr>
          <w:rFonts w:ascii="Calibri" w:hAnsi="Calibri"/>
        </w:rPr>
        <w:t xml:space="preserve"> the package satisfies the shared module contract.</w:t>
      </w:r>
    </w:p>
    <w:p>
      <w:pPr>
        <w:pStyle w:val="Heading2"/>
      </w:pPr>
      <w:r>
        <w:t>Phase 5 — Offline acceptance</w:t>
      </w:r>
    </w:p>
    <w:p>
      <w:r>
        <w:rPr>
          <w:rFonts w:ascii="Calibri" w:hAnsi="Calibri"/>
        </w:rPr>
        <w:t>After ExecutionEngine exists:</w:t>
      </w:r>
    </w:p>
    <w:p>
      <w:pPr>
        <w:numPr>
          <w:ilvl w:val="0"/>
          <w:numId w:val="25"/>
        </w:numPr>
      </w:pPr>
      <w:r>
        <w:rPr>
          <w:rFonts w:ascii="Calibri" w:hAnsi="Calibri"/>
        </w:rPr>
        <w:t>run revision-zero fixture chapter through the model mock</w:t>
      </w:r>
    </w:p>
    <w:p>
      <w:pPr>
        <w:numPr>
          <w:ilvl w:val="0"/>
          <w:numId w:val="25"/>
        </w:numPr>
      </w:pPr>
      <w:r>
        <w:rPr>
          <w:rFonts w:ascii="Calibri" w:hAnsi="Calibri"/>
        </w:rPr>
        <w:t>commit source document, three memory decisions and revision one</w:t>
      </w:r>
    </w:p>
    <w:p>
      <w:pPr>
        <w:numPr>
          <w:ilvl w:val="0"/>
          <w:numId w:val="25"/>
        </w:numPr>
      </w:pPr>
      <w:r>
        <w:rPr>
          <w:rFonts w:ascii="Calibri" w:hAnsi="Calibri"/>
        </w:rPr>
        <w:t>repeat the request key and prove zero additional effects</w:t>
      </w:r>
    </w:p>
    <w:p>
      <w:pPr>
        <w:numPr>
          <w:ilvl w:val="0"/>
          <w:numId w:val="25"/>
        </w:numPr>
      </w:pPr>
      <w:r>
        <w:rPr>
          <w:rFonts w:ascii="Calibri" w:hAnsi="Calibri"/>
        </w:rPr>
        <w:t>replay-verify equal candidate/state hashes</w:t>
      </w:r>
    </w:p>
    <w:p>
      <w:r>
        <w:rPr>
          <w:rFonts w:ascii="Calibri" w:hAnsi="Calibri"/>
          <w:b/>
        </w:rPr>
        <w:t>Exit:</w:t>
      </w:r>
      <w:r>
        <w:rPr>
          <w:rFonts w:ascii="Calibri" w:hAnsi="Calibri"/>
        </w:rPr>
        <w:t xml:space="preserve"> the approved Narrative acceptance scenario passes entirely offline.</w:t>
      </w:r>
    </w:p>
    <w:p>
      <w:r>
        <w:br w:type="page"/>
      </w:r>
    </w:p>
    <w:p>
      <w:pPr>
        <w:pStyle w:val="Heading1"/>
      </w:pPr>
      <w:r>
        <w:t>Test strategy</w:t>
      </w:r>
    </w:p>
    <w:p>
      <w:pPr>
        <w:pStyle w:val="Heading2"/>
      </w:pPr>
      <w:r>
        <w:t>Unit test matrix</w:t>
      </w:r>
    </w:p>
    <w:tbl>
      <w:tblPr>
        <w:tblW w:type="dxa" w:w="9360"/>
        <w:jc w:val="left"/>
        <w:tblLayout w:type="fixed"/>
        <w:tblLook w:firstColumn="1" w:firstRow="1" w:lastColumn="0" w:lastRow="0" w:noHBand="0" w:noVBand="1" w:val="04A0"/>
        <w:tblInd w:w="120" w:type="dxa"/>
        <w:tblBorders>
          <w:top w:val="single" w:sz="4" w:space="0" w:color="C9D1DC"/>
          <w:left w:val="single" w:sz="4" w:space="0" w:color="C9D1DC"/>
          <w:bottom w:val="single" w:sz="4" w:space="0" w:color="C9D1DC"/>
          <w:right w:val="single" w:sz="4" w:space="0" w:color="C9D1DC"/>
          <w:insideH w:val="single" w:sz="4" w:space="0" w:color="C9D1DC"/>
          <w:insideV w:val="single" w:sz="4" w:space="0" w:color="C9D1DC"/>
        </w:tblBorders>
      </w:tblPr>
      <w:tblGrid>
        <w:gridCol w:w="2496"/>
        <w:gridCol w:w="6864"/>
      </w:tblGrid>
      <w:tr>
        <w:trPr>
          <w:tblHeader w:val="true"/>
        </w:trPr>
        <w:tc>
          <w:tcPr>
            <w:tcW w:type="dxa" w:w="2496"/>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Area</w:t>
            </w:r>
          </w:p>
        </w:tc>
        <w:tc>
          <w:tcPr>
            <w:tcW w:type="dxa" w:w="6864"/>
            <w:tcMar>
              <w:top w:w="80" w:type="dxa"/>
              <w:start w:w="120" w:type="dxa"/>
              <w:bottom w:w="80" w:type="dxa"/>
              <w:end w:w="120" w:type="dxa"/>
            </w:tcMar>
            <w:vAlign w:val="center"/>
            <w:shd w:fill="E8EEF5"/>
          </w:tcPr>
          <w:p>
            <w:pPr>
              <w:spacing w:before="0" w:after="40" w:line="269" w:lineRule="auto"/>
            </w:pPr>
            <w:r>
              <w:rPr>
                <w:rFonts w:ascii="Calibri" w:hAnsi="Calibri"/>
                <w:b/>
                <w:color w:val="1F4D78"/>
                <w:sz w:val="18"/>
              </w:rPr>
              <w:t>Required cases</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Input/output schemas</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valid minimal/full values; missing text; extra keys; invalid confidence; empty scene</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Contract request</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stable message ordering; exact schema; capability declaration; request-hash golden</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Semantic validation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empty identifiers; self/duplicate relationship policy; invalid outline status</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Projection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revision zero; populated state; bounded memories/documents; stable ordering; no mutation</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Interpretation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exact document kind/hash; three candidate kinds; provenance; optional progress; diagnostics</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Identity</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aliases; case/spacing; directional relationships; stable world-rule key</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Resolution</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create, reinforce, merge, contest, reject correction, accepted supersede, ignore</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Retrieval/lifecycle</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relevance, contested handling, ties, limit, retain/update/forget</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Reducer</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initial state, scene replacement, window trimming, outline monotonicity, purity</w:t>
            </w:r>
          </w:p>
        </w:tc>
      </w:tr>
      <w:tr>
        <w:tc>
          <w:tcPr>
            <w:tcW w:type="dxa" w:w="2496"/>
            <w:tcMar>
              <w:top w:w="80" w:type="dxa"/>
              <w:start w:w="120" w:type="dxa"/>
              <w:bottom w:w="80" w:type="dxa"/>
              <w:end w:w="120" w:type="dxa"/>
            </w:tcMar>
            <w:vAlign w:val="center"/>
          </w:tcPr>
          <w:p>
            <w:pPr>
              <w:spacing w:before="0" w:after="40" w:line="269" w:lineRule="auto"/>
            </w:pPr>
            <w:r>
              <w:rPr>
                <w:rFonts w:ascii="Calibri" w:hAnsi="Calibri"/>
                <w:sz w:val="18"/>
              </w:rPr>
              <w:t>Invariants</w:t>
            </w:r>
          </w:p>
        </w:tc>
        <w:tc>
          <w:tcPr>
            <w:tcW w:type="dxa" w:w="6864"/>
            <w:tcMar>
              <w:top w:w="80" w:type="dxa"/>
              <w:start w:w="120" w:type="dxa"/>
              <w:bottom w:w="80" w:type="dxa"/>
              <w:end w:w="120" w:type="dxa"/>
            </w:tcMar>
            <w:vAlign w:val="center"/>
          </w:tcPr>
          <w:p>
            <w:pPr>
              <w:spacing w:before="0" w:after="40" w:line="269" w:lineRule="auto"/>
            </w:pPr>
            <w:r>
              <w:rPr>
                <w:rFonts w:ascii="Calibri" w:hAnsi="Calibri"/>
                <w:sz w:val="18"/>
              </w:rPr>
              <w:t>duplicate relationships/rules, unresolved identities, empty scene, outline regression</w:t>
            </w:r>
          </w:p>
        </w:tc>
      </w:tr>
    </w:tbl>
    <w:p>
      <w:pPr>
        <w:spacing w:after="40"/>
      </w:pPr>
    </w:p>
    <w:p>
      <w:pPr>
        <w:pStyle w:val="Heading2"/>
      </w:pPr>
      <w:r>
        <w:t>Type and conformance tests</w:t>
      </w:r>
    </w:p>
    <w:p>
      <w:pPr>
        <w:numPr>
          <w:ilvl w:val="0"/>
          <w:numId w:val="26"/>
        </w:numPr>
      </w:pPr>
      <w:r>
        <w:rPr>
          <w:rFonts w:ascii="Calibri" w:hAnsi="Calibri"/>
        </w:rPr>
        <w:t xml:space="preserve">task name </w:t>
      </w:r>
      <w:r>
        <w:rPr>
          <w:rFonts w:ascii="Consolas" w:hAnsi="Consolas"/>
          <w:color w:val="0B2545"/>
          <w:sz w:val="20"/>
        </w:rPr>
        <w:t>observe-document</w:t>
      </w:r>
      <w:r>
        <w:rPr>
          <w:rFonts w:ascii="Calibri" w:hAnsi="Calibri"/>
        </w:rPr>
        <w:t xml:space="preserve"> infers </w:t>
      </w:r>
      <w:r>
        <w:rPr>
          <w:rFonts w:ascii="Consolas" w:hAnsi="Consolas"/>
          <w:color w:val="0B2545"/>
          <w:sz w:val="20"/>
        </w:rPr>
        <w:t>NarrativeObserveInput</w:t>
      </w:r>
    </w:p>
    <w:p>
      <w:pPr>
        <w:numPr>
          <w:ilvl w:val="0"/>
          <w:numId w:val="26"/>
        </w:numPr>
      </w:pPr>
      <w:r>
        <w:rPr>
          <w:rFonts w:ascii="Calibri" w:hAnsi="Calibri"/>
        </w:rPr>
        <w:t>invalid task names fail compile-time examples</w:t>
      </w:r>
    </w:p>
    <w:p>
      <w:pPr>
        <w:numPr>
          <w:ilvl w:val="0"/>
          <w:numId w:val="26"/>
        </w:numPr>
      </w:pPr>
      <w:r>
        <w:rPr>
          <w:rFonts w:ascii="Calibri" w:hAnsi="Calibri"/>
        </w:rPr>
        <w:t>namespace and schema versions are stable</w:t>
      </w:r>
    </w:p>
    <w:p>
      <w:pPr>
        <w:numPr>
          <w:ilvl w:val="0"/>
          <w:numId w:val="26"/>
        </w:numPr>
      </w:pPr>
      <w:r>
        <w:rPr>
          <w:rFonts w:ascii="Calibri" w:hAnsi="Calibri"/>
        </w:rPr>
        <w:t>task map and registry ordering are deterministic</w:t>
      </w:r>
    </w:p>
    <w:p>
      <w:pPr>
        <w:numPr>
          <w:ilvl w:val="0"/>
          <w:numId w:val="26"/>
        </w:numPr>
      </w:pPr>
      <w:r>
        <w:rPr>
          <w:rFonts w:ascii="Calibri" w:hAnsi="Calibri"/>
        </w:rPr>
        <w:t xml:space="preserve">all </w:t>
      </w:r>
      <w:r>
        <w:rPr>
          <w:rFonts w:ascii="Consolas" w:hAnsi="Consolas"/>
          <w:color w:val="0B2545"/>
          <w:sz w:val="20"/>
        </w:rPr>
        <w:t>ModuleResult</w:t>
      </w:r>
      <w:r>
        <w:rPr>
          <w:rFonts w:ascii="Calibri" w:hAnsi="Calibri"/>
        </w:rPr>
        <w:t xml:space="preserve"> keys are unique</w:t>
      </w:r>
    </w:p>
    <w:p>
      <w:pPr>
        <w:numPr>
          <w:ilvl w:val="0"/>
          <w:numId w:val="26"/>
        </w:numPr>
      </w:pPr>
      <w:r>
        <w:rPr>
          <w:rFonts w:ascii="Calibri" w:hAnsi="Calibri"/>
        </w:rPr>
        <w:t>results validate through core schemas and remain immutable</w:t>
      </w:r>
    </w:p>
    <w:p>
      <w:pPr>
        <w:numPr>
          <w:ilvl w:val="0"/>
          <w:numId w:val="26"/>
        </w:numPr>
      </w:pPr>
      <w:r>
        <w:rPr>
          <w:rFonts w:ascii="Calibri" w:hAnsi="Calibri"/>
        </w:rPr>
        <w:t>module source has no adapter/provider/database dependency</w:t>
      </w:r>
    </w:p>
    <w:p>
      <w:pPr>
        <w:numPr>
          <w:ilvl w:val="0"/>
          <w:numId w:val="26"/>
        </w:numPr>
      </w:pPr>
      <w:r>
        <w:rPr>
          <w:rFonts w:ascii="Calibri" w:hAnsi="Calibri"/>
        </w:rPr>
        <w:t>the core vocabulary guard remains green</w:t>
      </w:r>
    </w:p>
    <w:p>
      <w:pPr>
        <w:pStyle w:val="Heading2"/>
      </w:pPr>
      <w:r>
        <w:t>Negative-path execution tests</w:t>
      </w:r>
    </w:p>
    <w:p>
      <w:pPr>
        <w:numPr>
          <w:ilvl w:val="0"/>
          <w:numId w:val="27"/>
        </w:numPr>
      </w:pPr>
      <w:r>
        <w:rPr>
          <w:rFonts w:ascii="Calibri" w:hAnsi="Calibri"/>
        </w:rPr>
        <w:t>invalid request performs no model call and no write</w:t>
      </w:r>
    </w:p>
    <w:p>
      <w:pPr>
        <w:numPr>
          <w:ilvl w:val="0"/>
          <w:numId w:val="27"/>
        </w:numPr>
      </w:pPr>
      <w:r>
        <w:rPr>
          <w:rFonts w:ascii="Calibri" w:hAnsi="Calibri"/>
        </w:rPr>
        <w:t>stale expected revision performs no model call and no write</w:t>
      </w:r>
    </w:p>
    <w:p>
      <w:pPr>
        <w:numPr>
          <w:ilvl w:val="0"/>
          <w:numId w:val="27"/>
        </w:numPr>
      </w:pPr>
      <w:r>
        <w:rPr>
          <w:rFonts w:ascii="Calibri" w:hAnsi="Calibri"/>
        </w:rPr>
        <w:t>invalid/semantic model output leaves only ledger evidence</w:t>
      </w:r>
    </w:p>
    <w:p>
      <w:pPr>
        <w:numPr>
          <w:ilvl w:val="0"/>
          <w:numId w:val="27"/>
        </w:numPr>
      </w:pPr>
      <w:r>
        <w:rPr>
          <w:rFonts w:ascii="Calibri" w:hAnsi="Calibri"/>
        </w:rPr>
        <w:t>unsupported capability and pre-call cancellation consume no mock script</w:t>
      </w:r>
    </w:p>
    <w:p>
      <w:pPr>
        <w:numPr>
          <w:ilvl w:val="0"/>
          <w:numId w:val="27"/>
        </w:numPr>
      </w:pPr>
      <w:r>
        <w:rPr>
          <w:rFonts w:ascii="Calibri" w:hAnsi="Calibri"/>
        </w:rPr>
        <w:t>evaluator block commits no narrative effects</w:t>
      </w:r>
    </w:p>
    <w:p>
      <w:pPr>
        <w:numPr>
          <w:ilvl w:val="0"/>
          <w:numId w:val="27"/>
        </w:numPr>
      </w:pPr>
      <w:r>
        <w:rPr>
          <w:rFonts w:ascii="Calibri" w:hAnsi="Calibri"/>
        </w:rPr>
        <w:t>memory/state conflict rolls back the complete Unit of Work</w:t>
      </w:r>
    </w:p>
    <w:p>
      <w:pPr>
        <w:pStyle w:val="Heading2"/>
      </w:pPr>
      <w:r>
        <w:t>Deterministic scenario fixtures</w:t>
      </w:r>
    </w:p>
    <w:p>
      <w:r>
        <w:rPr>
          <w:rFonts w:ascii="Calibri" w:hAnsi="Calibri"/>
        </w:rPr>
        <w:t>Use explicit:</w:t>
      </w:r>
    </w:p>
    <w:p>
      <w:pPr>
        <w:numPr>
          <w:ilvl w:val="0"/>
          <w:numId w:val="28"/>
        </w:numPr>
      </w:pPr>
      <w:r>
        <w:rPr>
          <w:rFonts w:ascii="Calibri" w:hAnsi="Calibri"/>
        </w:rPr>
        <w:t>execution IDs, timestamps and memory/document/event IDs</w:t>
      </w:r>
    </w:p>
    <w:p>
      <w:pPr>
        <w:numPr>
          <w:ilvl w:val="0"/>
          <w:numId w:val="28"/>
        </w:numPr>
      </w:pPr>
      <w:r>
        <w:rPr>
          <w:rFonts w:ascii="Calibri" w:hAnsi="Calibri"/>
        </w:rPr>
        <w:t>exact source document and normalized response</w:t>
      </w:r>
    </w:p>
    <w:p>
      <w:pPr>
        <w:numPr>
          <w:ilvl w:val="0"/>
          <w:numId w:val="28"/>
        </w:numPr>
      </w:pPr>
      <w:r>
        <w:rPr>
          <w:rFonts w:ascii="Calibri" w:hAnsi="Calibri"/>
        </w:rPr>
        <w:t>model selection/profile and request hash</w:t>
      </w:r>
    </w:p>
    <w:p>
      <w:pPr>
        <w:numPr>
          <w:ilvl w:val="0"/>
          <w:numId w:val="28"/>
        </w:numPr>
      </w:pPr>
      <w:r>
        <w:rPr>
          <w:rFonts w:ascii="Calibri" w:hAnsi="Calibri"/>
        </w:rPr>
        <w:t>initial state revision and expected final snapshot hash</w:t>
      </w:r>
    </w:p>
    <w:p>
      <w:pPr>
        <w:numPr>
          <w:ilvl w:val="0"/>
          <w:numId w:val="28"/>
        </w:numPr>
      </w:pPr>
      <w:r>
        <w:rPr>
          <w:rFonts w:ascii="Calibri" w:hAnsi="Calibri"/>
        </w:rPr>
        <w:t>expected memory decisions, not just final records</w:t>
      </w:r>
    </w:p>
    <w:p>
      <w:pPr>
        <w:numPr>
          <w:ilvl w:val="0"/>
          <w:numId w:val="28"/>
        </w:numPr>
      </w:pPr>
      <w:r>
        <w:rPr>
          <w:rFonts w:ascii="Calibri" w:hAnsi="Calibri"/>
        </w:rPr>
        <w:t>expected retry/replay evidence</w:t>
      </w:r>
    </w:p>
    <w:p>
      <w:r>
        <w:rPr>
          <w:rFonts w:ascii="Calibri" w:hAnsi="Calibri"/>
        </w:rPr>
        <w:t>Fixture updates require human review and a before/after digest rationale.</w:t>
      </w:r>
    </w:p>
    <w:p>
      <w:r>
        <w:br w:type="page"/>
      </w:r>
    </w:p>
    <w:p>
      <w:pPr>
        <w:pStyle w:val="Heading1"/>
      </w:pPr>
      <w:r>
        <w:t>Decision gates before implementation</w:t>
      </w:r>
    </w:p>
    <w:p>
      <w:pPr>
        <w:numPr>
          <w:ilvl w:val="0"/>
          <w:numId w:val="29"/>
        </w:numPr>
      </w:pPr>
      <w:r>
        <w:rPr>
          <w:rFonts w:ascii="Calibri" w:hAnsi="Calibri"/>
          <w:b/>
        </w:rPr>
        <w:t>Memory decisions → state delta.</w:t>
      </w:r>
      <w:r>
        <w:rPr>
          <w:rFonts w:ascii="Calibri" w:hAnsi="Calibri"/>
        </w:rPr>
        <w:t xml:space="preserve"> Current contracts let </w:t>
      </w:r>
      <w:r>
        <w:rPr>
          <w:rFonts w:ascii="Consolas" w:hAnsi="Consolas"/>
          <w:color w:val="0B2545"/>
          <w:sz w:val="20"/>
        </w:rPr>
        <w:t>interpret()</w:t>
      </w:r>
      <w:r>
        <w:rPr>
          <w:rFonts w:ascii="Calibri" w:hAnsi="Calibri"/>
        </w:rPr>
        <w:t xml:space="preserve"> return a delta before </w:t>
      </w:r>
      <w:r>
        <w:rPr>
          <w:rFonts w:ascii="Consolas" w:hAnsi="Consolas"/>
          <w:color w:val="0B2545"/>
          <w:sz w:val="20"/>
        </w:rPr>
        <w:t>MemoryEngine.prepare()</w:t>
      </w:r>
      <w:r>
        <w:rPr>
          <w:rFonts w:ascii="Calibri" w:hAnsi="Calibri"/>
        </w:rPr>
        <w:t xml:space="preserve"> produces resolved decisions, while the approved behavior expects resolved narrative operations to affect state. The bridge must be defined before reducer implementation.</w:t>
      </w:r>
    </w:p>
    <w:p>
      <w:pPr>
        <w:numPr>
          <w:ilvl w:val="0"/>
          <w:numId w:val="29"/>
        </w:numPr>
      </w:pPr>
      <w:r>
        <w:rPr>
          <w:rFonts w:ascii="Calibri" w:hAnsi="Calibri"/>
          <w:b/>
        </w:rPr>
        <w:t>Correction provenance.</w:t>
      </w:r>
      <w:r>
        <w:rPr>
          <w:rFonts w:ascii="Calibri" w:hAnsi="Calibri"/>
        </w:rPr>
        <w:t xml:space="preserve"> The approved behavior permits supersession only with explicit accepted correction provenance, but the current </w:t>
      </w:r>
      <w:r>
        <w:rPr>
          <w:rFonts w:ascii="Consolas" w:hAnsi="Consolas"/>
          <w:color w:val="0B2545"/>
          <w:sz w:val="20"/>
        </w:rPr>
        <w:t>NarrativeContractOutput</w:t>
      </w:r>
      <w:r>
        <w:rPr>
          <w:rFonts w:ascii="Calibri" w:hAnsi="Calibri"/>
        </w:rPr>
        <w:t xml:space="preserve"> does not carry that field.</w:t>
      </w:r>
    </w:p>
    <w:p>
      <w:pPr>
        <w:numPr>
          <w:ilvl w:val="0"/>
          <w:numId w:val="29"/>
        </w:numPr>
      </w:pPr>
      <w:r>
        <w:rPr>
          <w:rFonts w:ascii="Calibri" w:hAnsi="Calibri"/>
          <w:b/>
        </w:rPr>
        <w:t>Alias authority.</w:t>
      </w:r>
      <w:r>
        <w:rPr>
          <w:rFonts w:ascii="Calibri" w:hAnsi="Calibri"/>
        </w:rPr>
        <w:t xml:space="preserve"> Decide whether alias mapping is canonical state, memory, contract output or deterministic configuration; the policy cannot query a provider or store.</w:t>
      </w:r>
    </w:p>
    <w:p>
      <w:pPr>
        <w:numPr>
          <w:ilvl w:val="0"/>
          <w:numId w:val="29"/>
        </w:numPr>
      </w:pPr>
      <w:r>
        <w:rPr>
          <w:rFonts w:ascii="Calibri" w:hAnsi="Calibri"/>
          <w:b/>
        </w:rPr>
        <w:t>Shared module conformance.</w:t>
      </w:r>
      <w:r>
        <w:rPr>
          <w:rFonts w:ascii="Calibri" w:hAnsi="Calibri"/>
        </w:rPr>
        <w:t xml:space="preserve"> Define the core-port-only suite in </w:t>
      </w:r>
      <w:r>
        <w:rPr>
          <w:rFonts w:ascii="Consolas" w:hAnsi="Consolas"/>
          <w:color w:val="0B2545"/>
          <w:sz w:val="20"/>
        </w:rPr>
        <w:t>@acme/testing</w:t>
      </w:r>
      <w:r>
        <w:rPr>
          <w:rFonts w:ascii="Calibri" w:hAnsi="Calibri"/>
        </w:rPr>
        <w:t xml:space="preserve"> before claiming module conformance.</w:t>
      </w:r>
    </w:p>
    <w:p>
      <w:r>
        <w:rPr>
          <w:rFonts w:ascii="Calibri" w:hAnsi="Calibri"/>
        </w:rPr>
        <w:t>See the bounded backlog proposals:</w:t>
      </w:r>
    </w:p>
    <w:p>
      <w:pPr>
        <w:numPr>
          <w:ilvl w:val="0"/>
          <w:numId w:val="30"/>
        </w:numPr>
      </w:pPr>
      <w:r>
        <w:rPr>
          <w:rFonts w:ascii="Calibri" w:hAnsi="Calibri"/>
        </w:rPr>
        <w:t>Domain memory decisions to state projection (../backlog/domain-memory-decisions-to-state-projection.md)</w:t>
      </w:r>
    </w:p>
    <w:p>
      <w:pPr>
        <w:numPr>
          <w:ilvl w:val="0"/>
          <w:numId w:val="30"/>
        </w:numPr>
      </w:pPr>
      <w:r>
        <w:rPr>
          <w:rFonts w:ascii="Calibri" w:hAnsi="Calibri"/>
        </w:rPr>
        <w:t>Reference-module identity and provenance fields (../backlog/reference-module-identity-and-provenance-fields.md)</w:t>
      </w:r>
    </w:p>
    <w:p>
      <w:pPr>
        <w:numPr>
          <w:ilvl w:val="0"/>
          <w:numId w:val="30"/>
        </w:numPr>
      </w:pPr>
      <w:r>
        <w:rPr>
          <w:rFonts w:ascii="Calibri" w:hAnsi="Calibri"/>
        </w:rPr>
        <w:t>Reusable DomainModule conformance kit (../backlog/reusable-domain-module-conformance-kit.md)</w:t>
      </w:r>
    </w:p>
    <w:p>
      <w:pPr>
        <w:pStyle w:val="Heading1"/>
      </w:pPr>
      <w:r>
        <w:t>Team review checklist</w:t>
      </w:r>
    </w:p>
    <w:p>
      <w:pPr>
        <w:pStyle w:val="Checklist"/>
      </w:pPr>
      <w:r>
        <w:rPr>
          <w:rFonts w:ascii="Calibri" w:hAnsi="Calibri"/>
        </w:rPr>
        <w:t>☐ Do the state and memory ownership boundaries match the intended product?</w:t>
      </w:r>
    </w:p>
    <w:p>
      <w:pPr>
        <w:pStyle w:val="Checklist"/>
      </w:pPr>
      <w:r>
        <w:rPr>
          <w:rFonts w:ascii="Calibri" w:hAnsi="Calibri"/>
        </w:rPr>
        <w:t>☐ Is the v1 alias/correction policy precise enough to golden-test?</w:t>
      </w:r>
    </w:p>
    <w:p>
      <w:pPr>
        <w:pStyle w:val="Checklist"/>
      </w:pPr>
      <w:r>
        <w:rPr>
          <w:rFonts w:ascii="Calibri" w:hAnsi="Calibri"/>
        </w:rPr>
        <w:t xml:space="preserve">☐ Are all prompt-contract semantics immutable under version </w:t>
      </w:r>
      <w:r>
        <w:rPr>
          <w:rFonts w:ascii="Consolas" w:hAnsi="Consolas"/>
          <w:color w:val="0B2545"/>
          <w:sz w:val="20"/>
        </w:rPr>
        <w:t>1.0.0</w:t>
      </w:r>
      <w:r>
        <w:rPr>
          <w:rFonts w:ascii="Calibri" w:hAnsi="Calibri"/>
        </w:rPr>
        <w:t>?</w:t>
      </w:r>
    </w:p>
    <w:p>
      <w:pPr>
        <w:pStyle w:val="Checklist"/>
      </w:pPr>
      <w:r>
        <w:rPr>
          <w:rFonts w:ascii="Calibri" w:hAnsi="Calibri"/>
        </w:rPr>
        <w:t>☐ Is the narrative window limit versioned and fingerprinted?</w:t>
      </w:r>
    </w:p>
    <w:p>
      <w:pPr>
        <w:pStyle w:val="Checklist"/>
      </w:pPr>
      <w:r>
        <w:rPr>
          <w:rFonts w:ascii="Calibri" w:hAnsi="Calibri"/>
        </w:rPr>
        <w:t>☐ Does every contradiction remain visible in audit evidence?</w:t>
      </w:r>
    </w:p>
    <w:p>
      <w:pPr>
        <w:pStyle w:val="Checklist"/>
      </w:pPr>
      <w:r>
        <w:rPr>
          <w:rFonts w:ascii="Calibri" w:hAnsi="Calibri"/>
        </w:rPr>
        <w:t>☐ Can the full acceptance scenario run with no network or wall clock?</w:t>
      </w:r>
    </w:p>
    <w:p>
      <w:pPr>
        <w:pStyle w:val="Checklist"/>
      </w:pPr>
      <w:r>
        <w:rPr>
          <w:rFonts w:ascii="Calibri" w:hAnsi="Calibri"/>
        </w:rPr>
        <w:t>☐ Can ResearchModule use the same engine path with no core branch?</w:t>
      </w:r>
    </w:p>
    <w:p>
      <w:pPr>
        <w:pStyle w:val="Heading1"/>
      </w:pPr>
      <w:r>
        <w:t>References</w:t>
      </w:r>
    </w:p>
    <w:p>
      <w:pPr>
        <w:numPr>
          <w:ilvl w:val="0"/>
          <w:numId w:val="31"/>
        </w:numPr>
      </w:pPr>
      <w:r>
        <w:rPr>
          <w:rFonts w:ascii="Calibri" w:hAnsi="Calibri"/>
        </w:rPr>
        <w:t>ACME project brief (../PROJECT_BRIEF.md)</w:t>
      </w:r>
    </w:p>
    <w:p>
      <w:pPr>
        <w:numPr>
          <w:ilvl w:val="0"/>
          <w:numId w:val="31"/>
        </w:numPr>
      </w:pPr>
      <w:r>
        <w:rPr>
          <w:rFonts w:ascii="Calibri" w:hAnsi="Calibri"/>
        </w:rPr>
        <w:t>ACME specification, task-typed modules (acme-design-and-development-spec.md#10-task-typed-domain-modules)</w:t>
      </w:r>
    </w:p>
    <w:p>
      <w:pPr>
        <w:numPr>
          <w:ilvl w:val="0"/>
          <w:numId w:val="31"/>
        </w:numPr>
      </w:pPr>
      <w:r>
        <w:rPr>
          <w:rFonts w:ascii="Calibri" w:hAnsi="Calibri"/>
        </w:rPr>
        <w:t>ACME specification, NarrativeModule (acme-design-and-development-spec.md#16-reference-vertical-slice-narrativemodule)</w:t>
      </w:r>
    </w:p>
    <w:p>
      <w:pPr>
        <w:numPr>
          <w:ilvl w:val="0"/>
          <w:numId w:val="31"/>
        </w:numPr>
      </w:pPr>
      <w:r>
        <w:rPr>
          <w:rFonts w:ascii="Calibri" w:hAnsi="Calibri"/>
        </w:rPr>
        <w:t>ADR-0002 — Static task-typed composition (../adr/0002-static-task-typed-module-composition.md)</w:t>
      </w:r>
    </w:p>
    <w:p>
      <w:pPr>
        <w:numPr>
          <w:ilvl w:val="0"/>
          <w:numId w:val="31"/>
        </w:numPr>
      </w:pPr>
      <w:r>
        <w:rPr>
          <w:rFonts w:ascii="Calibri" w:hAnsi="Calibri"/>
        </w:rPr>
        <w:t>ADR-0004 — Deterministic transition identity (../adr/0004-deterministic-transition-identity.md)</w:t>
      </w:r>
    </w:p>
    <w:p>
      <w:pPr>
        <w:numPr>
          <w:ilvl w:val="0"/>
          <w:numId w:val="31"/>
        </w:numPr>
      </w:pPr>
      <w:r>
        <w:rPr>
          <w:rFonts w:ascii="Calibri" w:hAnsi="Calibri"/>
        </w:rPr>
        <w:t>ADR-0005 — Pure memory decision application (../adr/0005-pure-memory-decision-application.md)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A78"/>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06A78"/>
        <w:sz w:val="17"/>
      </w:rPr>
      <w:t>ACME | NarrativeModule reference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spacing w:after="80" w:line="300" w:lineRule="auto"/>
      </w:pPr>
    </w:lvl>
  </w:abstractNum>
  <w:abstractNum w:abstractNumId="10">
    <w:multiLevelType w:val="singleLevel"/>
    <w:lvl w:ilvl="0">
      <w:start w:val="1"/>
      <w:numFmt w:val="bullet"/>
      <w:lvlText w:val="•"/>
      <w:lvlJc w:val="left"/>
      <w:pPr>
        <w:tabs>
          <w:tab w:val="num" w:pos="540"/>
        </w:tabs>
        <w:ind w:left="540" w:hanging="270"/>
        <w:spacing w:after="80" w:line="300" w:lineRule="auto"/>
      </w:pPr>
    </w:lvl>
  </w:abstractNum>
  <w:abstractNum w:abstractNumId="11">
    <w:multiLevelType w:val="singleLevel"/>
    <w:lvl w:ilvl="0">
      <w:start w:val="1"/>
      <w:numFmt w:val="bullet"/>
      <w:lvlText w:val="•"/>
      <w:lvlJc w:val="left"/>
      <w:pPr>
        <w:tabs>
          <w:tab w:val="num" w:pos="540"/>
        </w:tabs>
        <w:ind w:left="540" w:hanging="270"/>
        <w:spacing w:after="80" w:line="300" w:lineRule="auto"/>
      </w:pPr>
    </w:lvl>
  </w:abstractNum>
  <w:abstractNum w:abstractNumId="12">
    <w:multiLevelType w:val="singleLevel"/>
    <w:lvl w:ilvl="0">
      <w:start w:val="1"/>
      <w:numFmt w:val="bullet"/>
      <w:lvlText w:val="•"/>
      <w:lvlJc w:val="left"/>
      <w:pPr>
        <w:tabs>
          <w:tab w:val="num" w:pos="540"/>
        </w:tabs>
        <w:ind w:left="540" w:hanging="270"/>
        <w:spacing w:after="80" w:line="300" w:lineRule="auto"/>
      </w:pPr>
    </w:lvl>
  </w:abstractNum>
  <w:abstractNum w:abstractNumId="13">
    <w:multiLevelType w:val="singleLevel"/>
    <w:lvl w:ilvl="0">
      <w:start w:val="1"/>
      <w:numFmt w:val="bullet"/>
      <w:lvlText w:val="•"/>
      <w:lvlJc w:val="left"/>
      <w:pPr>
        <w:tabs>
          <w:tab w:val="num" w:pos="540"/>
        </w:tabs>
        <w:ind w:left="540" w:hanging="270"/>
        <w:spacing w:after="80" w:line="300" w:lineRule="auto"/>
      </w:pPr>
    </w:lvl>
  </w:abstractNum>
  <w:abstractNum w:abstractNumId="14">
    <w:multiLevelType w:val="singleLevel"/>
    <w:lvl w:ilvl="0">
      <w:start w:val="1"/>
      <w:numFmt w:val="bullet"/>
      <w:lvlText w:val="•"/>
      <w:lvlJc w:val="left"/>
      <w:pPr>
        <w:tabs>
          <w:tab w:val="num" w:pos="540"/>
        </w:tabs>
        <w:ind w:left="540" w:hanging="270"/>
        <w:spacing w:after="80" w:line="300" w:lineRule="auto"/>
      </w:pPr>
    </w:lvl>
  </w:abstractNum>
  <w:abstractNum w:abstractNumId="15">
    <w:multiLevelType w:val="singleLevel"/>
    <w:lvl w:ilvl="0">
      <w:start w:val="1"/>
      <w:numFmt w:val="bullet"/>
      <w:lvlText w:val="•"/>
      <w:lvlJc w:val="left"/>
      <w:pPr>
        <w:tabs>
          <w:tab w:val="num" w:pos="540"/>
        </w:tabs>
        <w:ind w:left="540" w:hanging="270"/>
        <w:spacing w:after="80" w:line="300" w:lineRule="auto"/>
      </w:pPr>
    </w:lvl>
  </w:abstractNum>
  <w:abstractNum w:abstractNumId="16">
    <w:multiLevelType w:val="singleLevel"/>
    <w:lvl w:ilvl="0">
      <w:start w:val="1"/>
      <w:numFmt w:val="bullet"/>
      <w:lvlText w:val="•"/>
      <w:lvlJc w:val="left"/>
      <w:pPr>
        <w:tabs>
          <w:tab w:val="num" w:pos="540"/>
        </w:tabs>
        <w:ind w:left="540" w:hanging="270"/>
        <w:spacing w:after="80" w:line="300" w:lineRule="auto"/>
      </w:pPr>
    </w:lvl>
  </w:abstractNum>
  <w:abstractNum w:abstractNumId="17">
    <w:multiLevelType w:val="singleLevel"/>
    <w:lvl w:ilvl="0">
      <w:start w:val="1"/>
      <w:numFmt w:val="bullet"/>
      <w:lvlText w:val="•"/>
      <w:lvlJc w:val="left"/>
      <w:pPr>
        <w:tabs>
          <w:tab w:val="num" w:pos="540"/>
        </w:tabs>
        <w:ind w:left="540" w:hanging="270"/>
        <w:spacing w:after="80" w:line="300" w:lineRule="auto"/>
      </w:pPr>
    </w:lvl>
  </w:abstractNum>
  <w:abstractNum w:abstractNumId="18">
    <w:multiLevelType w:val="singleLevel"/>
    <w:lvl w:ilvl="0">
      <w:start w:val="1"/>
      <w:numFmt w:val="bullet"/>
      <w:lvlText w:val="•"/>
      <w:lvlJc w:val="left"/>
      <w:pPr>
        <w:tabs>
          <w:tab w:val="num" w:pos="540"/>
        </w:tabs>
        <w:ind w:left="540" w:hanging="270"/>
        <w:spacing w:after="80" w:line="300" w:lineRule="auto"/>
      </w:pPr>
    </w:lvl>
  </w:abstractNum>
  <w:abstractNum w:abstractNumId="19">
    <w:multiLevelType w:val="singleLevel"/>
    <w:lvl w:ilvl="0">
      <w:start w:val="1"/>
      <w:numFmt w:val="bullet"/>
      <w:lvlText w:val="•"/>
      <w:lvlJc w:val="left"/>
      <w:pPr>
        <w:tabs>
          <w:tab w:val="num" w:pos="540"/>
        </w:tabs>
        <w:ind w:left="540" w:hanging="270"/>
        <w:spacing w:after="80" w:line="300" w:lineRule="auto"/>
      </w:pPr>
    </w:lvl>
  </w:abstractNum>
  <w:abstractNum w:abstractNumId="20">
    <w:multiLevelType w:val="singleLevel"/>
    <w:lvl w:ilvl="0">
      <w:start w:val="1"/>
      <w:numFmt w:val="decimal"/>
      <w:lvlText w:val="%1."/>
      <w:lvlJc w:val="left"/>
      <w:pPr>
        <w:tabs>
          <w:tab w:val="num" w:pos="540"/>
        </w:tabs>
        <w:ind w:left="540" w:hanging="270"/>
        <w:spacing w:after="80" w:line="300" w:lineRule="auto"/>
      </w:pPr>
    </w:lvl>
  </w:abstractNum>
  <w:abstractNum w:abstractNumId="21">
    <w:multiLevelType w:val="singleLevel"/>
    <w:lvl w:ilvl="0">
      <w:start w:val="1"/>
      <w:numFmt w:val="decimal"/>
      <w:lvlText w:val="%1."/>
      <w:lvlJc w:val="left"/>
      <w:pPr>
        <w:tabs>
          <w:tab w:val="num" w:pos="540"/>
        </w:tabs>
        <w:ind w:left="540" w:hanging="270"/>
        <w:spacing w:after="80" w:line="300" w:lineRule="auto"/>
      </w:pPr>
    </w:lvl>
  </w:abstractNum>
  <w:abstractNum w:abstractNumId="22">
    <w:multiLevelType w:val="singleLevel"/>
    <w:lvl w:ilvl="0">
      <w:start w:val="1"/>
      <w:numFmt w:val="decimal"/>
      <w:lvlText w:val="%1."/>
      <w:lvlJc w:val="left"/>
      <w:pPr>
        <w:tabs>
          <w:tab w:val="num" w:pos="540"/>
        </w:tabs>
        <w:ind w:left="540" w:hanging="270"/>
        <w:spacing w:after="80" w:line="300" w:lineRule="auto"/>
      </w:pPr>
    </w:lvl>
  </w:abstractNum>
  <w:abstractNum w:abstractNumId="23">
    <w:multiLevelType w:val="singleLevel"/>
    <w:lvl w:ilvl="0">
      <w:start w:val="1"/>
      <w:numFmt w:val="decimal"/>
      <w:lvlText w:val="%1."/>
      <w:lvlJc w:val="left"/>
      <w:pPr>
        <w:tabs>
          <w:tab w:val="num" w:pos="540"/>
        </w:tabs>
        <w:ind w:left="540" w:hanging="270"/>
        <w:spacing w:after="80" w:line="300" w:lineRule="auto"/>
      </w:pPr>
    </w:lvl>
  </w:abstractNum>
  <w:abstractNum w:abstractNumId="24">
    <w:multiLevelType w:val="singleLevel"/>
    <w:lvl w:ilvl="0">
      <w:start w:val="1"/>
      <w:numFmt w:val="decimal"/>
      <w:lvlText w:val="%1."/>
      <w:lvlJc w:val="left"/>
      <w:pPr>
        <w:tabs>
          <w:tab w:val="num" w:pos="540"/>
        </w:tabs>
        <w:ind w:left="540" w:hanging="270"/>
        <w:spacing w:after="80" w:line="300" w:lineRule="auto"/>
      </w:pPr>
    </w:lvl>
  </w:abstractNum>
  <w:abstractNum w:abstractNumId="25">
    <w:multiLevelType w:val="singleLevel"/>
    <w:lvl w:ilvl="0">
      <w:start w:val="1"/>
      <w:numFmt w:val="bullet"/>
      <w:lvlText w:val="•"/>
      <w:lvlJc w:val="left"/>
      <w:pPr>
        <w:tabs>
          <w:tab w:val="num" w:pos="540"/>
        </w:tabs>
        <w:ind w:left="540" w:hanging="270"/>
        <w:spacing w:after="80" w:line="300" w:lineRule="auto"/>
      </w:pPr>
    </w:lvl>
  </w:abstractNum>
  <w:abstractNum w:abstractNumId="26">
    <w:multiLevelType w:val="singleLevel"/>
    <w:lvl w:ilvl="0">
      <w:start w:val="1"/>
      <w:numFmt w:val="bullet"/>
      <w:lvlText w:val="•"/>
      <w:lvlJc w:val="left"/>
      <w:pPr>
        <w:tabs>
          <w:tab w:val="num" w:pos="540"/>
        </w:tabs>
        <w:ind w:left="540" w:hanging="270"/>
        <w:spacing w:after="80" w:line="300" w:lineRule="auto"/>
      </w:pPr>
    </w:lvl>
  </w:abstractNum>
  <w:abstractNum w:abstractNumId="27">
    <w:multiLevelType w:val="singleLevel"/>
    <w:lvl w:ilvl="0">
      <w:start w:val="1"/>
      <w:numFmt w:val="bullet"/>
      <w:lvlText w:val="•"/>
      <w:lvlJc w:val="left"/>
      <w:pPr>
        <w:tabs>
          <w:tab w:val="num" w:pos="540"/>
        </w:tabs>
        <w:ind w:left="540" w:hanging="270"/>
        <w:spacing w:after="80" w:line="300" w:lineRule="auto"/>
      </w:pPr>
    </w:lvl>
  </w:abstractNum>
  <w:abstractNum w:abstractNumId="28">
    <w:multiLevelType w:val="singleLevel"/>
    <w:lvl w:ilvl="0">
      <w:start w:val="1"/>
      <w:numFmt w:val="decimal"/>
      <w:lvlText w:val="%1."/>
      <w:lvlJc w:val="left"/>
      <w:pPr>
        <w:tabs>
          <w:tab w:val="num" w:pos="540"/>
        </w:tabs>
        <w:ind w:left="540" w:hanging="270"/>
        <w:spacing w:after="80" w:line="300" w:lineRule="auto"/>
      </w:pPr>
    </w:lvl>
  </w:abstractNum>
  <w:abstractNum w:abstractNumId="29">
    <w:multiLevelType w:val="singleLevel"/>
    <w:lvl w:ilvl="0">
      <w:start w:val="1"/>
      <w:numFmt w:val="bullet"/>
      <w:lvlText w:val="•"/>
      <w:lvlJc w:val="left"/>
      <w:pPr>
        <w:tabs>
          <w:tab w:val="num" w:pos="540"/>
        </w:tabs>
        <w:ind w:left="540" w:hanging="270"/>
        <w:spacing w:after="80" w:line="300" w:lineRule="auto"/>
      </w:pPr>
    </w:lvl>
  </w:abstractNum>
  <w:abstractNum w:abstractNumId="30">
    <w:multiLevelType w:val="singleLevel"/>
    <w:lvl w:ilvl="0">
      <w:start w:val="1"/>
      <w:numFmt w:val="bullet"/>
      <w:lvlText w:val="•"/>
      <w:lvlJc w:val="left"/>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pPr>
    <w:rPr>
      <w:rFonts w:ascii="Consolas" w:hAnsi="Consolas"/>
      <w:sz w:val="17"/>
    </w:rPr>
  </w:style>
  <w:style w:type="paragraph" w:customStyle="1" w:styleId="Checklist">
    <w:name w:val="Checklist"/>
    <w:pPr>
      <w:spacing w:after="80" w:line="300" w:lineRule="auto"/>
      <w:ind w:left="540" w:hanging="271"/>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NarrativeModule — Build and Test Plan</dc:title>
  <dc:subject>ACME reference module build and test plan</dc:subject>
  <dc:creator>ACME</dc:creator>
  <cp:keywords>ACME, domain module, implementation, testing</cp:keywords>
  <dc:description>generated by python-docx</dc:description>
  <cp:lastModifiedBy/>
  <cp:revision>1</cp:revision>
  <dcterms:created xsi:type="dcterms:W3CDTF">2013-12-23T23:15:00Z</dcterms:created>
  <dcterms:modified xsi:type="dcterms:W3CDTF">2013-12-23T23:15:00Z</dcterms:modified>
  <cp:category/>
</cp:coreProperties>
</file>