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0.png" ContentType="image/png"/>
  <Override PartName="/word/media/rId188.png" ContentType="image/png"/>
  <Override PartName="/word/media/rId191.png" ContentType="image/png"/>
  <Override PartName="/word/media/rId195.png" ContentType="image/png"/>
  <Override PartName="/word/media/rId200.png" ContentType="image/png"/>
  <Override PartName="/word/media/rId209.png" ContentType="image/png"/>
  <Override PartName="/word/media/rId214.png" ContentType="image/png"/>
  <Override PartName="/word/media/rId217.png" ContentType="image/png"/>
  <Override PartName="/word/media/rId222.png" ContentType="image/png"/>
  <Override PartName="/word/media/rId227.png" ContentType="image/png"/>
  <Override PartName="/word/media/rId238.png" ContentType="image/png"/>
  <Override PartName="/word/media/rId241.png" ContentType="image/png"/>
  <Override PartName="/word/media/rId266.png" ContentType="image/png"/>
  <Override PartName="/word/media/rId284.png" ContentType="image/png"/>
  <Override PartName="/word/media/rId287.png" ContentType="image/png"/>
  <Override PartName="/word/media/rId290.png" ContentType="image/png"/>
  <Override PartName="/word/media/rId293.png" ContentType="image/png"/>
  <Override PartName="/word/media/rId296.png" ContentType="image/png"/>
  <Override PartName="/word/media/rId321.png" ContentType="image/png"/>
  <Override PartName="/word/media/rId327.png" ContentType="image/png"/>
  <Override PartName="/word/media/rId331.png" ContentType="image/png"/>
  <Override PartName="/word/media/rId205.shtml" ContentType="text/html; charset=UTF-8"/>
  <Override PartName="/word/media/rId143.png" ContentType="image/png"/>
  <Override PartName="/word/media/rId148.png" ContentType="image/png"/>
  <Override PartName="/word/media/rId138.png" ContentType="image/png"/>
  <Override PartName="/word/media/rId173.jpg" ContentType="image/jpeg"/>
  <Override PartName="/word/media/rId169.png" ContentType="image/png"/>
  <Override PartName="/word/media/rId277.jpg" ContentType="image/jpeg"/>
  <Override PartName="/word/media/rId272.jpg" ContentType="image/jpeg"/>
  <Override PartName="/word/media/rId124.png" ContentType="image/png"/>
  <Override PartName="/word/media/rId127.png" ContentType="image/png"/>
  <Override PartName="/word/media/rId30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2023-02-15</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78"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77"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76"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End w:id="176"/>
    <w:bookmarkEnd w:id="177"/>
    <w:bookmarkEnd w:id="178"/>
    <w:bookmarkStart w:id="246"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79"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79"/>
    <w:bookmarkStart w:id="187"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1" name="Picture"/>
            <a:graphic>
              <a:graphicData uri="http://schemas.openxmlformats.org/drawingml/2006/picture">
                <pic:pic>
                  <pic:nvPicPr>
                    <pic:cNvPr descr="_main_files/figure-docx/unnamed-chunk-49-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bookmarkStart w:id="183"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3"/>
    <w:bookmarkStart w:id="184"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4"/>
    <w:bookmarkStart w:id="185"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5"/>
    <w:bookmarkStart w:id="186"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6"/>
    <w:bookmarkEnd w:id="187"/>
    <w:bookmarkStart w:id="204"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_main_files/figure-docx/unnamed-chunk-53-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_main_files/figure-docx/unnamed-chunk-54-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4"/>
    <w:bookmarkStart w:id="198"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_main_files/figure-docx/unnamed-chunk-56-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Start w:id="199"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99"/>
    <w:bookmarkStart w:id="203"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1" name="Picture"/>
            <a:graphic>
              <a:graphicData uri="http://schemas.openxmlformats.org/drawingml/2006/picture">
                <pic:pic>
                  <pic:nvPicPr>
                    <pic:cNvPr descr="_main_files/figure-docx/unnamed-chunk-57-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3"/>
    <w:bookmarkEnd w:id="204"/>
    <w:bookmarkStart w:id="21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6" name="Picture"/>
            <a:graphic>
              <a:graphicData uri="http://schemas.openxmlformats.org/drawingml/2006/picture">
                <pic:pic>
                  <pic:nvPicPr>
                    <pic:cNvPr descr="https://journals.sagepub.com/doi/full/10.1177/0013164418817801"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8"/>
    <w:bookmarkStart w:id="21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0" name="Picture"/>
            <a:graphic>
              <a:graphicData uri="http://schemas.openxmlformats.org/drawingml/2006/picture">
                <pic:pic>
                  <pic:nvPicPr>
                    <pic:cNvPr descr="_main_files/figure-docx/unnamed-chunk-60-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2"/>
    <w:bookmarkEnd w:id="213"/>
    <w:bookmarkStart w:id="231"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5" name="Picture"/>
            <a:graphic>
              <a:graphicData uri="http://schemas.openxmlformats.org/drawingml/2006/picture">
                <pic:pic>
                  <pic:nvPicPr>
                    <pic:cNvPr descr="_main_files/figure-docx/unnamed-chunk-6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_main_files/figure-docx/unnamed-chunk-62-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Start w:id="220"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0"/>
    <w:bookmarkStart w:id="221"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1"/>
    <w:bookmarkStart w:id="226"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_main_files/figure-docx/unnamed-chunk-65-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bookmarkStart w:id="225"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5"/>
    <w:bookmarkEnd w:id="226"/>
    <w:bookmarkStart w:id="230"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8" name="Picture"/>
            <a:graphic>
              <a:graphicData uri="http://schemas.openxmlformats.org/drawingml/2006/picture">
                <pic:pic>
                  <pic:nvPicPr>
                    <pic:cNvPr descr="_main_files/figure-docx/unnamed-chunk-66-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0"/>
    <w:bookmarkEnd w:id="231"/>
    <w:bookmarkStart w:id="245"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3"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2"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2"/>
    <w:bookmarkEnd w:id="233"/>
    <w:bookmarkStart w:id="235"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4"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4"/>
    <w:bookmarkEnd w:id="235"/>
    <w:bookmarkStart w:id="236"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6"/>
    <w:bookmarkStart w:id="23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7"/>
    <w:bookmarkStart w:id="244"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_main_files/figure-docx/unnamed-chunk-68-1.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2" name="Picture"/>
            <a:graphic>
              <a:graphicData uri="http://schemas.openxmlformats.org/drawingml/2006/picture">
                <pic:pic>
                  <pic:nvPicPr>
                    <pic:cNvPr descr="_main_files/figure-docx/unnamed-chunk-69-1.png" id="243"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4"/>
    <w:bookmarkEnd w:id="245"/>
    <w:bookmarkEnd w:id="246"/>
    <w:bookmarkStart w:id="301"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248"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247"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247"/>
    <w:bookmarkEnd w:id="248"/>
    <w:bookmarkStart w:id="253"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249"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249"/>
    <w:bookmarkStart w:id="250"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250"/>
    <w:bookmarkStart w:id="251"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51"/>
    <w:bookmarkStart w:id="252"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252"/>
    <w:bookmarkEnd w:id="253"/>
    <w:bookmarkStart w:id="256" w:name="binary-logistic-regression"/>
    <w:p>
      <w:pPr>
        <w:pStyle w:val="Heading2"/>
      </w:pPr>
      <w:r>
        <w:rPr>
          <w:rStyle w:val="SectionNumber"/>
        </w:rPr>
        <w:t xml:space="preserve">7.3</w:t>
      </w:r>
      <w:r>
        <w:tab/>
      </w:r>
      <w:r>
        <w:t xml:space="preserve">Binary Logistic Regression</w:t>
      </w:r>
    </w:p>
    <w:bookmarkStart w:id="254"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254"/>
    <w:bookmarkStart w:id="255"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255"/>
    <w:bookmarkEnd w:id="256"/>
    <w:bookmarkStart w:id="258"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257"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257"/>
    <w:bookmarkEnd w:id="258"/>
    <w:bookmarkStart w:id="262"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259"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259"/>
    <w:bookmarkStart w:id="261" w:name="interpretation-1"/>
    <w:p>
      <w:pPr>
        <w:pStyle w:val="Heading3"/>
      </w:pPr>
      <w:r>
        <w:rPr>
          <w:rStyle w:val="SectionNumber"/>
        </w:rPr>
        <w:t xml:space="preserve">7.5.2</w:t>
      </w:r>
      <w:r>
        <w:tab/>
      </w:r>
      <w:r>
        <w:t xml:space="preserve">Interpretation</w:t>
      </w:r>
    </w:p>
    <w:bookmarkStart w:id="260"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260"/>
    <w:bookmarkEnd w:id="261"/>
    <w:bookmarkEnd w:id="262"/>
    <w:bookmarkStart w:id="271"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263"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263"/>
    <w:bookmarkStart w:id="270"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264"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264"/>
    <w:bookmarkStart w:id="265"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265"/>
    <w:bookmarkStart w:id="269"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7" name="Picture"/>
            <a:graphic>
              <a:graphicData uri="http://schemas.openxmlformats.org/drawingml/2006/picture">
                <pic:pic>
                  <pic:nvPicPr>
                    <pic:cNvPr descr="_main_files/figure-docx/unnamed-chunk-79-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269"/>
    <w:bookmarkEnd w:id="270"/>
    <w:bookmarkEnd w:id="271"/>
    <w:bookmarkStart w:id="300"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275"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273" name="Picture"/>
            <a:graphic>
              <a:graphicData uri="http://schemas.openxmlformats.org/drawingml/2006/picture">
                <pic:pic>
                  <pic:nvPicPr>
                    <pic:cNvPr descr="imgs/marginals.jpg" id="274" name="Picture"/>
                    <pic:cNvPicPr>
                      <a:picLocks noChangeArrowheads="1" noChangeAspect="1"/>
                    </pic:cNvPicPr>
                  </pic:nvPicPr>
                  <pic:blipFill>
                    <a:blip r:embed="rId272"/>
                    <a:stretch>
                      <a:fillRect/>
                    </a:stretch>
                  </pic:blipFill>
                  <pic:spPr bwMode="auto">
                    <a:xfrm>
                      <a:off x="0" y="0"/>
                      <a:ext cx="5334000" cy="3137045"/>
                    </a:xfrm>
                    <a:prstGeom prst="rect">
                      <a:avLst/>
                    </a:prstGeom>
                    <a:noFill/>
                    <a:ln w="9525">
                      <a:noFill/>
                      <a:headEnd/>
                      <a:tailEnd/>
                    </a:ln>
                  </pic:spPr>
                </pic:pic>
              </a:graphicData>
            </a:graphic>
          </wp:inline>
        </w:drawing>
      </w:r>
    </w:p>
    <w:bookmarkEnd w:id="275"/>
    <w:bookmarkStart w:id="281"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280"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27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278" name="Picture"/>
            <a:graphic>
              <a:graphicData uri="http://schemas.openxmlformats.org/drawingml/2006/picture">
                <pic:pic>
                  <pic:nvPicPr>
                    <pic:cNvPr descr="imgs/marginaleffectsimg.jpg" id="279" name="Picture"/>
                    <pic:cNvPicPr>
                      <a:picLocks noChangeArrowheads="1" noChangeAspect="1"/>
                    </pic:cNvPicPr>
                  </pic:nvPicPr>
                  <pic:blipFill>
                    <a:blip r:embed="rId27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276">
        <w:r>
          <w:rPr>
            <w:rStyle w:val="Hyperlink"/>
          </w:rPr>
          <w:t xml:space="preserve">https://vincentarelbundock.github.io/marginaleffects/articles/mfx.html</w:t>
        </w:r>
      </w:hyperlink>
    </w:p>
    <w:bookmarkEnd w:id="280"/>
    <w:bookmarkEnd w:id="281"/>
    <w:bookmarkStart w:id="282"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282"/>
    <w:bookmarkStart w:id="283"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283"/>
    <w:bookmarkStart w:id="299"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_main_files/figure-docx/unnamed-chunk-81-1.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2-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91" name="Picture"/>
            <a:graphic>
              <a:graphicData uri="http://schemas.openxmlformats.org/drawingml/2006/picture">
                <pic:pic>
                  <pic:nvPicPr>
                    <pic:cNvPr descr="_main_files/figure-docx/unnamed-chunk-83-1.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294" name="Picture"/>
            <a:graphic>
              <a:graphicData uri="http://schemas.openxmlformats.org/drawingml/2006/picture">
                <pic:pic>
                  <pic:nvPicPr>
                    <pic:cNvPr descr="_main_files/figure-docx/unnamed-chunk-84-1.png" id="295"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_main_files/figure-docx/unnamed-chunk-85-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bookmarkEnd w:id="299"/>
    <w:bookmarkEnd w:id="300"/>
    <w:bookmarkEnd w:id="301"/>
    <w:bookmarkStart w:id="364"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w:t>
      </w:r>
      <w:r>
        <w:t xml:space="preserve"> </w:t>
      </w:r>
      <w:r>
        <w:rPr>
          <w:bCs/>
          <w:b/>
        </w:rPr>
        <w:t xml:space="preserve">Poisson regression</w:t>
      </w:r>
      <w:r>
        <w:t xml:space="preserve">.</w:t>
      </w:r>
    </w:p>
    <w:p>
      <w:pPr>
        <w:numPr>
          <w:ilvl w:val="0"/>
          <w:numId w:val="1022"/>
        </w:numPr>
        <w:pStyle w:val="Compact"/>
      </w:pPr>
      <w:r>
        <w:rPr>
          <w:bCs/>
          <w:b/>
        </w:rPr>
        <w:t xml:space="preserve">Poisson regression can be a useful modeling approach for handling count dependent variables</w:t>
      </w:r>
    </w:p>
    <w:p>
      <w:pPr>
        <w:numPr>
          <w:ilvl w:val="1"/>
          <w:numId w:val="1023"/>
        </w:numPr>
        <w:pStyle w:val="Compact"/>
      </w:pPr>
      <w:r>
        <w:t xml:space="preserve">Counts typically describe nonnegative (or only positive) integer.</w:t>
      </w:r>
    </w:p>
    <w:p>
      <w:pPr>
        <w:numPr>
          <w:ilvl w:val="1"/>
          <w:numId w:val="1023"/>
        </w:numPr>
        <w:pStyle w:val="Compact"/>
      </w:pPr>
      <w:r>
        <w:t xml:space="preserve">Examples of counts are number of drinks per day, children per household, etc.</w:t>
      </w:r>
    </w:p>
    <w:p>
      <w:pPr>
        <w:numPr>
          <w:ilvl w:val="0"/>
          <w:numId w:val="1022"/>
        </w:numPr>
        <w:pStyle w:val="Compact"/>
      </w:pPr>
      <w:r>
        <w:rPr>
          <w:bCs/>
          <w:b/>
        </w:rPr>
        <w:t xml:space="preserve">In certain contexts, the Poisson distribution describes the number of events that occur in a given time period</w:t>
      </w:r>
    </w:p>
    <w:p>
      <w:pPr>
        <w:numPr>
          <w:ilvl w:val="1"/>
          <w:numId w:val="1024"/>
        </w:numPr>
        <w:pStyle w:val="Compact"/>
      </w:pPr>
      <m:oMath>
        <m:r>
          <m:t>μ</m:t>
        </m:r>
      </m:oMath>
      <w:r>
        <w:t xml:space="preserve"> </w:t>
      </w:r>
      <w:r>
        <w:t xml:space="preserve">typically represents the mean number of events per period</w:t>
      </w:r>
    </w:p>
    <w:p>
      <w:pPr>
        <w:numPr>
          <w:ilvl w:val="1"/>
          <w:numId w:val="1024"/>
        </w:numPr>
        <w:pStyle w:val="Compact"/>
      </w:pPr>
      <w:r>
        <w:t xml:space="preserve">In the Poisson distribution, the mean is also equal to the variance.</w:t>
      </w:r>
    </w:p>
    <w:p>
      <w:pPr>
        <w:numPr>
          <w:ilvl w:val="0"/>
          <w:numId w:val="1022"/>
        </w:numPr>
        <w:pStyle w:val="Compact"/>
      </w:pPr>
      <w:r>
        <w:rPr>
          <w:bCs/>
          <w:b/>
        </w:rPr>
        <w:t xml:space="preserve">One important consideration when fitting Poisson regression models is overdispersion</w:t>
      </w:r>
    </w:p>
    <w:p>
      <w:pPr>
        <w:numPr>
          <w:ilvl w:val="1"/>
          <w:numId w:val="1025"/>
        </w:numPr>
        <w:pStyle w:val="Compact"/>
      </w:pPr>
      <w:r>
        <w:t xml:space="preserve">We will look at how one might assess overdispersion in Poisson regression and suggest some alternative procedures. A</w:t>
      </w:r>
    </w:p>
    <w:bookmarkStart w:id="304" w:name="poisson-regression"/>
    <w:p>
      <w:pPr>
        <w:pStyle w:val="Heading2"/>
      </w:pPr>
      <w:r>
        <w:rPr>
          <w:rStyle w:val="SectionNumber"/>
        </w:rPr>
        <w:t xml:space="preserve">8.1</w:t>
      </w:r>
      <w:r>
        <w:tab/>
      </w:r>
      <w:r>
        <w:t xml:space="preserve">Poisson Regression</w:t>
      </w:r>
    </w:p>
    <w:bookmarkStart w:id="302" w:name="review-of-glm"/>
    <w:p>
      <w:pPr>
        <w:pStyle w:val="Heading3"/>
      </w:pPr>
      <w:r>
        <w:rPr>
          <w:rStyle w:val="SectionNumber"/>
        </w:rPr>
        <w:t xml:space="preserve">8.1.1</w:t>
      </w:r>
      <w:r>
        <w:tab/>
      </w:r>
      <w:r>
        <w:t xml:space="preserve">Review of GLM</w:t>
      </w:r>
    </w:p>
    <w:p>
      <w:pPr>
        <w:pStyle w:val="FirstParagraph"/>
      </w:pPr>
      <w:r>
        <w:t xml:space="preserve">To review, there are three important components to the GLM:</w:t>
      </w:r>
    </w:p>
    <w:p>
      <w:pPr>
        <w:numPr>
          <w:ilvl w:val="0"/>
          <w:numId w:val="1026"/>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6"/>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6"/>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02"/>
    <w:bookmarkStart w:id="303" w:name="poisson-regression-as-glm-1"/>
    <w:p>
      <w:pPr>
        <w:pStyle w:val="Heading3"/>
      </w:pPr>
      <w:r>
        <w:rPr>
          <w:rStyle w:val="SectionNumber"/>
        </w:rPr>
        <w:t xml:space="preserve">8.1.2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27"/>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27"/>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7"/>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03"/>
    <w:bookmarkEnd w:id="304"/>
    <w:bookmarkStart w:id="309"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8"/>
        </w:numPr>
        <w:pStyle w:val="Compact"/>
      </w:pPr>
      <m:oMath>
        <m:r>
          <m:t>y</m:t>
        </m:r>
      </m:oMath>
      <w:r>
        <w:t xml:space="preserve"> </w:t>
      </w:r>
      <w:r>
        <w:t xml:space="preserve">is a random count variable</w:t>
      </w:r>
    </w:p>
    <w:p>
      <w:pPr>
        <w:numPr>
          <w:ilvl w:val="0"/>
          <w:numId w:val="1028"/>
        </w:numPr>
        <w:pStyle w:val="Compact"/>
      </w:pPr>
      <m:oMath>
        <m:r>
          <m:t>μ</m:t>
        </m:r>
      </m:oMath>
      <w:r>
        <w:t xml:space="preserve"> </w:t>
      </w:r>
      <w:r>
        <w:t xml:space="preserve">is the expected number of times an event ocurrs</w:t>
      </w:r>
    </w:p>
    <w:p>
      <w:pPr>
        <w:numPr>
          <w:ilvl w:val="0"/>
          <w:numId w:val="1028"/>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06" name="Picture"/>
            <a:graphic>
              <a:graphicData uri="http://schemas.openxmlformats.org/drawingml/2006/picture">
                <pic:pic>
                  <pic:nvPicPr>
                    <pic:cNvPr descr="imgs/poisson.png" id="307" name="Picture"/>
                    <pic:cNvPicPr>
                      <a:picLocks noChangeArrowheads="1" noChangeAspect="1"/>
                    </pic:cNvPicPr>
                  </pic:nvPicPr>
                  <pic:blipFill>
                    <a:blip r:embed="rId30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0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9"/>
        </w:numPr>
        <w:pStyle w:val="Compact"/>
      </w:pPr>
      <w:r>
        <w:t xml:space="preserve">As</w:t>
      </w:r>
      <w:r>
        <w:t xml:space="preserve"> </w:t>
      </w:r>
      <m:oMath>
        <m:r>
          <m:t>μ</m:t>
        </m:r>
      </m:oMath>
      <w:r>
        <w:t xml:space="preserve"> </w:t>
      </w:r>
      <w:r>
        <w:t xml:space="preserve">grows the center of the distribution shifts to right</w:t>
      </w:r>
    </w:p>
    <w:p>
      <w:pPr>
        <w:numPr>
          <w:ilvl w:val="0"/>
          <w:numId w:val="1029"/>
        </w:numPr>
        <w:pStyle w:val="Compact"/>
      </w:pPr>
      <w:r>
        <w:t xml:space="preserve">Departure of real count data from predictions from Poisson distribution</w:t>
      </w:r>
    </w:p>
    <w:p>
      <w:pPr>
        <w:numPr>
          <w:ilvl w:val="1"/>
          <w:numId w:val="1030"/>
        </w:numPr>
        <w:pStyle w:val="Compact"/>
      </w:pPr>
      <w:r>
        <w:t xml:space="preserve">Variance frequently greater than mean (overdisperion)</w:t>
      </w:r>
    </w:p>
    <w:p>
      <w:pPr>
        <w:numPr>
          <w:ilvl w:val="1"/>
          <w:numId w:val="1030"/>
        </w:numPr>
        <w:pStyle w:val="Compact"/>
      </w:pPr>
      <w:r>
        <w:t xml:space="preserve">Frequency of 0 counts exceed number predicted by Poisson</w:t>
      </w:r>
    </w:p>
    <w:bookmarkEnd w:id="309"/>
    <w:bookmarkStart w:id="313" w:name="notes-on-interpretation"/>
    <w:p>
      <w:pPr>
        <w:pStyle w:val="Heading2"/>
      </w:pPr>
      <w:r>
        <w:rPr>
          <w:rStyle w:val="SectionNumber"/>
        </w:rPr>
        <w:t xml:space="preserve">8.3</w:t>
      </w:r>
      <w:r>
        <w:tab/>
      </w:r>
      <w:r>
        <w:t xml:space="preserve">Notes on Interpretation</w:t>
      </w:r>
    </w:p>
    <w:bookmarkStart w:id="310" w:name="one-predictor-model"/>
    <w:p>
      <w:pPr>
        <w:pStyle w:val="Heading3"/>
      </w:pPr>
      <w:r>
        <w:rPr>
          <w:rStyle w:val="SectionNumber"/>
        </w:rPr>
        <w:t xml:space="preserve">8.3.1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10"/>
    <w:bookmarkStart w:id="311" w:name="similarity-to-logistic-regression"/>
    <w:p>
      <w:pPr>
        <w:pStyle w:val="Heading3"/>
      </w:pPr>
      <w:r>
        <w:rPr>
          <w:rStyle w:val="SectionNumber"/>
        </w:rPr>
        <w:t xml:space="preserve">8.3.2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11"/>
    <w:bookmarkStart w:id="312" w:name="percent-change"/>
    <w:p>
      <w:pPr>
        <w:pStyle w:val="Heading3"/>
      </w:pPr>
      <w:r>
        <w:rPr>
          <w:rStyle w:val="SectionNumber"/>
        </w:rPr>
        <w:t xml:space="preserve">8.3.3</w:t>
      </w:r>
      <w:r>
        <w:tab/>
      </w:r>
      <w:r>
        <w:t xml:space="preserve">Percent Change</w:t>
      </w:r>
    </w:p>
    <w:p>
      <w:pPr>
        <w:pStyle w:val="FirstParagraph"/>
      </w:pPr>
      <w:r>
        <w:t xml:space="preserve">We can also talk about these regression coefficients in terms of percent change as follow,</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33"/>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34"/>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5"/>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36"/>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36"/>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5"/>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37"/>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5"/>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38"/>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12"/>
    <w:bookmarkEnd w:id="313"/>
    <w:bookmarkStart w:id="318"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14"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14"/>
    <w:bookmarkStart w:id="317" w:name="explanatory-variables"/>
    <w:p>
      <w:pPr>
        <w:pStyle w:val="Heading3"/>
      </w:pPr>
      <w:r>
        <w:rPr>
          <w:rStyle w:val="SectionNumber"/>
        </w:rPr>
        <w:t xml:space="preserve">8.4.2</w:t>
      </w:r>
      <w:r>
        <w:tab/>
      </w:r>
      <w:r>
        <w:t xml:space="preserve">Explanatory Variables</w:t>
      </w:r>
    </w:p>
    <w:bookmarkStart w:id="315" w:name="early-life-disadvantage"/>
    <w:p>
      <w:pPr>
        <w:pStyle w:val="Heading4"/>
      </w:pPr>
      <w:r>
        <w:rPr>
          <w:rStyle w:val="SectionNumber"/>
        </w:rPr>
        <w:t xml:space="preserve">8.4.2.1</w:t>
      </w:r>
      <w:r>
        <w:tab/>
      </w:r>
      <w:r>
        <w:t xml:space="preserve">Early Life Disadvantage</w:t>
      </w:r>
    </w:p>
    <w:p>
      <w:pPr>
        <w:numPr>
          <w:ilvl w:val="0"/>
          <w:numId w:val="1039"/>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9"/>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9"/>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9"/>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9"/>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9"/>
        </w:numPr>
        <w:pStyle w:val="Compact"/>
      </w:pPr>
      <w:r>
        <w:rPr>
          <w:iCs/>
          <w:i/>
        </w:rPr>
        <w:t xml:space="preserve">health</w:t>
      </w:r>
      <w:r>
        <w:t xml:space="preserve">: Adolescent health problems are measured by self-rated physical and mental health at age 16.</w:t>
      </w:r>
    </w:p>
    <w:bookmarkEnd w:id="315"/>
    <w:bookmarkStart w:id="316" w:name="adult-characteristics"/>
    <w:p>
      <w:pPr>
        <w:pStyle w:val="Heading4"/>
      </w:pPr>
      <w:r>
        <w:rPr>
          <w:rStyle w:val="SectionNumber"/>
        </w:rPr>
        <w:t xml:space="preserve">8.4.2.2</w:t>
      </w:r>
      <w:r>
        <w:tab/>
      </w:r>
      <w:r>
        <w:t xml:space="preserve">Adult Characteristics</w:t>
      </w:r>
    </w:p>
    <w:p>
      <w:pPr>
        <w:numPr>
          <w:ilvl w:val="0"/>
          <w:numId w:val="1040"/>
        </w:numPr>
        <w:pStyle w:val="Compact"/>
      </w:pPr>
      <w:r>
        <w:rPr>
          <w:iCs/>
          <w:i/>
        </w:rPr>
        <w:t xml:space="preserve">age</w:t>
      </w:r>
      <w:r>
        <w:t xml:space="preserve">: Age at time of Wave 1 interview.</w:t>
      </w:r>
    </w:p>
    <w:p>
      <w:pPr>
        <w:numPr>
          <w:ilvl w:val="0"/>
          <w:numId w:val="1040"/>
        </w:numPr>
        <w:pStyle w:val="Compact"/>
      </w:pPr>
      <w:r>
        <w:rPr>
          <w:iCs/>
          <w:i/>
        </w:rPr>
        <w:t xml:space="preserve">nonwhite</w:t>
      </w:r>
      <w:r>
        <w:t xml:space="preserve">: Race (white or nonwhite).</w:t>
      </w:r>
    </w:p>
    <w:p>
      <w:pPr>
        <w:numPr>
          <w:ilvl w:val="0"/>
          <w:numId w:val="1040"/>
        </w:numPr>
        <w:pStyle w:val="Compact"/>
      </w:pPr>
      <w:r>
        <w:rPr>
          <w:iCs/>
          <w:i/>
        </w:rPr>
        <w:t xml:space="preserve">female</w:t>
      </w:r>
      <w:r>
        <w:t xml:space="preserve">: Gender (female or male).</w:t>
      </w:r>
    </w:p>
    <w:p>
      <w:pPr>
        <w:numPr>
          <w:ilvl w:val="0"/>
          <w:numId w:val="1040"/>
        </w:numPr>
        <w:pStyle w:val="Compact"/>
      </w:pPr>
      <w:r>
        <w:rPr>
          <w:iCs/>
          <w:i/>
        </w:rPr>
        <w:t xml:space="preserve">educate</w:t>
      </w:r>
      <w:r>
        <w:t xml:space="preserve">: Number of years of completed education.</w:t>
      </w:r>
    </w:p>
    <w:p>
      <w:pPr>
        <w:numPr>
          <w:ilvl w:val="0"/>
          <w:numId w:val="1040"/>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40"/>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40"/>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40"/>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40"/>
        </w:numPr>
        <w:pStyle w:val="Compact"/>
      </w:pPr>
      <w:r>
        <w:rPr>
          <w:iCs/>
          <w:i/>
        </w:rPr>
        <w:t xml:space="preserve">obese</w:t>
      </w:r>
      <w:r>
        <w:t xml:space="preserve">: Obesity, dummy variable coded 1 if body mass index [kg/m2] &gt; 30.</w:t>
      </w:r>
    </w:p>
    <w:p>
      <w:pPr>
        <w:numPr>
          <w:ilvl w:val="0"/>
          <w:numId w:val="1040"/>
        </w:numPr>
        <w:pStyle w:val="Compact"/>
      </w:pPr>
      <w:r>
        <w:rPr>
          <w:iCs/>
          <w:i/>
        </w:rPr>
        <w:t xml:space="preserve">fampos</w:t>
      </w:r>
      <w:r>
        <w:t xml:space="preserve">: Family support as measured by four items reflecting the presence of positive relationship characteristics.</w:t>
      </w:r>
    </w:p>
    <w:p>
      <w:pPr>
        <w:numPr>
          <w:ilvl w:val="0"/>
          <w:numId w:val="1040"/>
        </w:numPr>
        <w:pStyle w:val="Compact"/>
      </w:pPr>
      <w:r>
        <w:rPr>
          <w:iCs/>
          <w:i/>
        </w:rPr>
        <w:t xml:space="preserve">friendpos</w:t>
      </w:r>
      <w:r>
        <w:t xml:space="preserve">: Friend support as measured by four items reflecting the presence of positive relationship characteristics.</w:t>
      </w:r>
    </w:p>
    <w:p>
      <w:pPr>
        <w:numPr>
          <w:ilvl w:val="0"/>
          <w:numId w:val="1040"/>
        </w:numPr>
        <w:pStyle w:val="Compact"/>
      </w:pPr>
      <w:r>
        <w:rPr>
          <w:iCs/>
          <w:i/>
        </w:rPr>
        <w:t xml:space="preserve">famneg</w:t>
      </w:r>
      <w:r>
        <w:t xml:space="preserve">: Family strain as measured by four items reflecting the presence of difficult relationship characteristics.</w:t>
      </w:r>
    </w:p>
    <w:p>
      <w:pPr>
        <w:numPr>
          <w:ilvl w:val="0"/>
          <w:numId w:val="1040"/>
        </w:numPr>
        <w:pStyle w:val="Compact"/>
      </w:pPr>
      <w:r>
        <w:rPr>
          <w:iCs/>
          <w:i/>
        </w:rPr>
        <w:t xml:space="preserve">friendneg</w:t>
      </w:r>
      <w:r>
        <w:t xml:space="preserve">: Friend strain as measured by four items reflecting the presence of difficult relationship characteristics.</w:t>
      </w:r>
    </w:p>
    <w:p>
      <w:pPr>
        <w:numPr>
          <w:ilvl w:val="0"/>
          <w:numId w:val="1040"/>
        </w:numPr>
        <w:pStyle w:val="Compact"/>
      </w:pPr>
      <w:r>
        <w:rPr>
          <w:iCs/>
          <w:i/>
        </w:rPr>
        <w:t xml:space="preserve">integration</w:t>
      </w:r>
      <w:r>
        <w:t xml:space="preserve">: Social integration as measured by three 7-item Likert–type questions.</w:t>
      </w:r>
    </w:p>
    <w:p>
      <w:pPr>
        <w:numPr>
          <w:ilvl w:val="0"/>
          <w:numId w:val="1040"/>
        </w:numPr>
        <w:pStyle w:val="Compact"/>
      </w:pPr>
      <w:r>
        <w:rPr>
          <w:iCs/>
          <w:i/>
        </w:rPr>
        <w:t xml:space="preserve">ever_divor</w:t>
      </w:r>
      <w:r>
        <w:t xml:space="preserve">: Ever divorced, a dummy variable coded 1 if the respondent reported having been divorced.</w:t>
      </w:r>
    </w:p>
    <w:p>
      <w:pPr>
        <w:numPr>
          <w:ilvl w:val="0"/>
          <w:numId w:val="1040"/>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16"/>
    <w:bookmarkEnd w:id="317"/>
    <w:bookmarkEnd w:id="318"/>
    <w:bookmarkStart w:id="326"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319"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d>
          <m:dPr>
            <m:begChr m:val="("/>
            <m:endChr m:val=")"/>
            <m:sepChr m:val=""/>
            <m:grow/>
          </m:dPr>
          <m:e>
            <m:r>
              <m:t>p</m:t>
            </m:r>
            <m:r>
              <m:rPr>
                <m:sty m:val="p"/>
              </m:rPr>
              <m:t>&gt;</m:t>
            </m:r>
            <m:r>
              <m:t>0.05</m:t>
            </m:r>
          </m:e>
        </m:d>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319"/>
    <w:bookmarkStart w:id="325" w:name="interpretation-2"/>
    <w:p>
      <w:pPr>
        <w:pStyle w:val="Heading3"/>
      </w:pPr>
      <w:r>
        <w:rPr>
          <w:rStyle w:val="SectionNumber"/>
        </w:rPr>
        <w:t xml:space="preserve">8.5.2</w:t>
      </w:r>
      <w:r>
        <w:tab/>
      </w:r>
      <w:r>
        <w:t xml:space="preserve">Interpretation</w:t>
      </w:r>
    </w:p>
    <w:bookmarkStart w:id="320"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320"/>
    <w:bookmarkStart w:id="324"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22" name="Picture"/>
            <a:graphic>
              <a:graphicData uri="http://schemas.openxmlformats.org/drawingml/2006/picture">
                <pic:pic>
                  <pic:nvPicPr>
                    <pic:cNvPr descr="_main_files/figure-docx/unnamed-chunk-91-1.png" id="323"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bookmarkEnd w:id="324"/>
    <w:bookmarkEnd w:id="325"/>
    <w:bookmarkEnd w:id="326"/>
    <w:bookmarkStart w:id="330"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28" name="Picture"/>
            <a:graphic>
              <a:graphicData uri="http://schemas.openxmlformats.org/drawingml/2006/picture">
                <pic:pic>
                  <pic:nvPicPr>
                    <pic:cNvPr descr="_main_files/figure-docx/unnamed-chunk-93-1.png" id="329" name="Picture"/>
                    <pic:cNvPicPr>
                      <a:picLocks noChangeArrowheads="1" noChangeAspect="1"/>
                    </pic:cNvPicPr>
                  </pic:nvPicPr>
                  <pic:blipFill>
                    <a:blip r:embed="rId327"/>
                    <a:stretch>
                      <a:fillRect/>
                    </a:stretch>
                  </pic:blipFill>
                  <pic:spPr bwMode="auto">
                    <a:xfrm>
                      <a:off x="0" y="0"/>
                      <a:ext cx="5334000" cy="4267200"/>
                    </a:xfrm>
                    <a:prstGeom prst="rect">
                      <a:avLst/>
                    </a:prstGeom>
                    <a:noFill/>
                    <a:ln w="9525">
                      <a:noFill/>
                      <a:headEnd/>
                      <a:tailEnd/>
                    </a:ln>
                  </pic:spPr>
                </pic:pic>
              </a:graphicData>
            </a:graphic>
          </wp:inline>
        </w:drawing>
      </w:r>
    </w:p>
    <w:bookmarkEnd w:id="330"/>
    <w:bookmarkStart w:id="363"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32" name="Picture"/>
            <a:graphic>
              <a:graphicData uri="http://schemas.openxmlformats.org/drawingml/2006/picture">
                <pic:pic>
                  <pic:nvPicPr>
                    <pic:cNvPr descr="_main_files/figure-docx/unnamed-chunk-95-1.png" id="333" name="Picture"/>
                    <pic:cNvPicPr>
                      <a:picLocks noChangeArrowheads="1" noChangeAspect="1"/>
                    </pic:cNvPicPr>
                  </pic:nvPicPr>
                  <pic:blipFill>
                    <a:blip r:embed="rId3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3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34"/>
    <w:bookmarkStart w:id="362"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Start w:id="361" w:name="refs"/>
    <w:bookmarkStart w:id="336"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35">
        <w:r>
          <w:rPr>
            <w:rStyle w:val="Hyperlink"/>
          </w:rPr>
          <w:t xml:space="preserve">https://CRAN.R-project.org/package=marginaleffects</w:t>
        </w:r>
      </w:hyperlink>
      <w:r>
        <w:t xml:space="preserve">.</w:t>
      </w:r>
    </w:p>
    <w:bookmarkEnd w:id="336"/>
    <w:bookmarkStart w:id="338"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37">
        <w:r>
          <w:rPr>
            <w:rStyle w:val="Hyperlink"/>
          </w:rPr>
          <w:t xml:space="preserve">https://doi.org/10.1177/0003122415619617</w:t>
        </w:r>
      </w:hyperlink>
      <w:r>
        <w:t xml:space="preserve">.</w:t>
      </w:r>
    </w:p>
    <w:bookmarkEnd w:id="338"/>
    <w:bookmarkStart w:id="34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39">
        <w:r>
          <w:rPr>
            <w:rStyle w:val="Hyperlink"/>
          </w:rPr>
          <w:t xml:space="preserve">https://socialsciences.mcmaster.ca/jfox/Books/Companion/</w:t>
        </w:r>
      </w:hyperlink>
      <w:r>
        <w:t xml:space="preserve">.</w:t>
      </w:r>
    </w:p>
    <w:bookmarkEnd w:id="340"/>
    <w:bookmarkStart w:id="34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41">
        <w:r>
          <w:rPr>
            <w:rStyle w:val="Hyperlink"/>
          </w:rPr>
          <w:t xml:space="preserve">https://doi.org/10.1007/978-1-4613-0893-5_17</w:t>
        </w:r>
      </w:hyperlink>
      <w:r>
        <w:t xml:space="preserve">.</w:t>
      </w:r>
    </w:p>
    <w:bookmarkEnd w:id="342"/>
    <w:bookmarkStart w:id="34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43">
        <w:r>
          <w:rPr>
            <w:rStyle w:val="Hyperlink"/>
          </w:rPr>
          <w:t xml:space="preserve">https://doi.org/10.1016/B978-0-12-724960-5.50010-X</w:t>
        </w:r>
      </w:hyperlink>
      <w:r>
        <w:t xml:space="preserve">.</w:t>
      </w:r>
    </w:p>
    <w:bookmarkEnd w:id="344"/>
    <w:bookmarkStart w:id="34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45">
        <w:r>
          <w:rPr>
            <w:rStyle w:val="Hyperlink"/>
          </w:rPr>
          <w:t xml:space="preserve">https://doi.org/10.2307/1130295</w:t>
        </w:r>
      </w:hyperlink>
      <w:r>
        <w:t xml:space="preserve">.</w:t>
      </w:r>
    </w:p>
    <w:bookmarkEnd w:id="346"/>
    <w:bookmarkStart w:id="34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47"/>
    <w:bookmarkStart w:id="34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48">
        <w:r>
          <w:rPr>
            <w:rStyle w:val="Hyperlink"/>
          </w:rPr>
          <w:t xml:space="preserve">https://doi.org/10.1080/00221325.1972.10533131</w:t>
        </w:r>
      </w:hyperlink>
      <w:r>
        <w:t xml:space="preserve">.</w:t>
      </w:r>
    </w:p>
    <w:bookmarkEnd w:id="349"/>
    <w:bookmarkStart w:id="35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50">
        <w:r>
          <w:rPr>
            <w:rStyle w:val="Hyperlink"/>
          </w:rPr>
          <w:t xml:space="preserve">https://CRAN.R-project.org/package=psych</w:t>
        </w:r>
      </w:hyperlink>
      <w:r>
        <w:t xml:space="preserve">.</w:t>
      </w:r>
    </w:p>
    <w:bookmarkEnd w:id="351"/>
    <w:bookmarkStart w:id="35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52">
        <w:r>
          <w:rPr>
            <w:rStyle w:val="Hyperlink"/>
          </w:rPr>
          <w:t xml:space="preserve">https://CRAN.R-project.org/package=naniar</w:t>
        </w:r>
      </w:hyperlink>
      <w:r>
        <w:t xml:space="preserve">.</w:t>
      </w:r>
    </w:p>
    <w:bookmarkEnd w:id="353"/>
    <w:bookmarkStart w:id="35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54">
        <w:r>
          <w:rPr>
            <w:rStyle w:val="Hyperlink"/>
          </w:rPr>
          <w:t xml:space="preserve">https://www.stats.ox.ac.uk/pub/MASS4/</w:t>
        </w:r>
      </w:hyperlink>
      <w:r>
        <w:t xml:space="preserve">.</w:t>
      </w:r>
    </w:p>
    <w:bookmarkEnd w:id="355"/>
    <w:bookmarkStart w:id="35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56"/>
    <w:bookmarkStart w:id="35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57">
        <w:r>
          <w:rPr>
            <w:rStyle w:val="Hyperlink"/>
          </w:rPr>
          <w:t xml:space="preserve">https://ggplot2.tidyverse.org</w:t>
        </w:r>
      </w:hyperlink>
      <w:r>
        <w:t xml:space="preserve">.</w:t>
      </w:r>
    </w:p>
    <w:bookmarkEnd w:id="358"/>
    <w:bookmarkStart w:id="360" w:name="ref-tidyr"/>
    <w:p>
      <w:pPr>
        <w:pStyle w:val="Bibliography"/>
      </w:pPr>
      <w:r>
        <w:t xml:space="preserve">———. 2021.</w:t>
      </w:r>
      <w:r>
        <w:t xml:space="preserve"> </w:t>
      </w:r>
      <w:r>
        <w:rPr>
          <w:iCs/>
          <w:i/>
        </w:rPr>
        <w:t xml:space="preserve">Tidyr: Tidy Messy Data</w:t>
      </w:r>
      <w:r>
        <w:t xml:space="preserve">.</w:t>
      </w:r>
      <w:r>
        <w:t xml:space="preserve"> </w:t>
      </w:r>
      <w:hyperlink r:id="rId359">
        <w:r>
          <w:rPr>
            <w:rStyle w:val="Hyperlink"/>
          </w:rPr>
          <w:t xml:space="preserve">https://CRAN.R-project.org/package=tidyr</w:t>
        </w:r>
      </w:hyperlink>
      <w:r>
        <w:t xml:space="preserve">.</w:t>
      </w:r>
    </w:p>
    <w:bookmarkEnd w:id="360"/>
    <w:bookmarkEnd w:id="361"/>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66" Target="media/rId266.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321" Target="media/rId321.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205" Target="media/rId205.shtml"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277" Target="media/rId277.jpg" /><Relationship Type="http://schemas.openxmlformats.org/officeDocument/2006/relationships/image" Id="rId272" Target="media/rId27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05" Target="media/rId30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35" Target="https://CRAN.R-project.org/package=marginaleffects" TargetMode="External" /><Relationship Type="http://schemas.openxmlformats.org/officeDocument/2006/relationships/hyperlink" Id="rId352" Target="https://CRAN.R-project.org/package=naniar" TargetMode="External" /><Relationship Type="http://schemas.openxmlformats.org/officeDocument/2006/relationships/hyperlink" Id="rId350" Target="https://CRAN.R-project.org/package=psych" TargetMode="External" /><Relationship Type="http://schemas.openxmlformats.org/officeDocument/2006/relationships/hyperlink" Id="rId35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41" Target="https://doi.org/10.1007/978-1-4613-0893-5_17" TargetMode="External" /><Relationship Type="http://schemas.openxmlformats.org/officeDocument/2006/relationships/hyperlink" Id="rId343" Target="https://doi.org/10.1016/B978-0-12-724960-5.50010-X" TargetMode="External" /><Relationship Type="http://schemas.openxmlformats.org/officeDocument/2006/relationships/hyperlink" Id="rId348" Target="https://doi.org/10.1080/00221325.1972.10533131" TargetMode="External" /><Relationship Type="http://schemas.openxmlformats.org/officeDocument/2006/relationships/hyperlink" Id="rId337" Target="https://doi.org/10.1177/0003122415619617" TargetMode="External" /><Relationship Type="http://schemas.openxmlformats.org/officeDocument/2006/relationships/hyperlink" Id="rId34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08" Target="https://en.wikipedia.org/wiki/Poisson_distribution" TargetMode="External" /><Relationship Type="http://schemas.openxmlformats.org/officeDocument/2006/relationships/hyperlink" Id="rId357"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39" Target="https://socialsciences.mcmaster.ca/jfox/Books/Companion/"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354"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35" Target="https://CRAN.R-project.org/package=marginaleffects" TargetMode="External" /><Relationship Type="http://schemas.openxmlformats.org/officeDocument/2006/relationships/hyperlink" Id="rId352" Target="https://CRAN.R-project.org/package=naniar" TargetMode="External" /><Relationship Type="http://schemas.openxmlformats.org/officeDocument/2006/relationships/hyperlink" Id="rId350" Target="https://CRAN.R-project.org/package=psych" TargetMode="External" /><Relationship Type="http://schemas.openxmlformats.org/officeDocument/2006/relationships/hyperlink" Id="rId35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41" Target="https://doi.org/10.1007/978-1-4613-0893-5_17" TargetMode="External" /><Relationship Type="http://schemas.openxmlformats.org/officeDocument/2006/relationships/hyperlink" Id="rId343" Target="https://doi.org/10.1016/B978-0-12-724960-5.50010-X" TargetMode="External" /><Relationship Type="http://schemas.openxmlformats.org/officeDocument/2006/relationships/hyperlink" Id="rId348" Target="https://doi.org/10.1080/00221325.1972.10533131" TargetMode="External" /><Relationship Type="http://schemas.openxmlformats.org/officeDocument/2006/relationships/hyperlink" Id="rId337" Target="https://doi.org/10.1177/0003122415619617" TargetMode="External" /><Relationship Type="http://schemas.openxmlformats.org/officeDocument/2006/relationships/hyperlink" Id="rId34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08" Target="https://en.wikipedia.org/wiki/Poisson_distribution" TargetMode="External" /><Relationship Type="http://schemas.openxmlformats.org/officeDocument/2006/relationships/hyperlink" Id="rId357"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39" Target="https://socialsciences.mcmaster.ca/jfox/Books/Companion/"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35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2023-02-15T14:07:37Z</dcterms:created>
  <dcterms:modified xsi:type="dcterms:W3CDTF">2023-02-15T14:07:37Z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2023-02-15</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