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84.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17.png" ContentType="image/png"/>
  <Override PartName="/word/media/rId221.png" ContentType="image/png"/>
  <Override PartName="/word/media/rId223.png" ContentType="image/png"/>
  <Override PartName="/word/media/rId139.shtml" ContentType="text/html; charset=UTF-8"/>
  <Override PartName="/word/media/rId95.png" ContentType="image/png"/>
  <Override PartName="/word/media/rId98.png" ContentType="image/png"/>
  <Override PartName="/word/media/rId92.png" ContentType="image/png"/>
  <Override PartName="/word/media/rId119.jpg" ContentType="image/jpeg"/>
  <Override PartName="/word/media/rId117.png" ContentType="image/png"/>
  <Override PartName="/word/media/rId191.jpg" ContentType="image/jpeg"/>
  <Override PartName="/word/media/rId188.jpg" ContentType="image/jpeg"/>
  <Override PartName="/word/media/rId82.png" ContentType="image/png"/>
  <Override PartName="/word/media/rId83.png" ContentType="image/png"/>
  <Override PartName="/word/media/rId206.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2022-02-03</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w:t>
      </w:r>
      <w:r>
        <w:t xml:space="preserve"> </w:t>
      </w:r>
      <w:hyperlink w:anchor="ref-wechsler1949">
        <w:r>
          <w:rPr>
            <w:rStyle w:val="Hyperlink"/>
          </w:rPr>
          <w:t xml:space="preserve">1949</w:t>
        </w:r>
      </w:hyperlink>
      <w:r>
        <w:t xml:space="preserve">)</w:t>
      </w:r>
      <w:r>
        <w:t xml:space="preserve"> </w:t>
      </w:r>
      <w:r>
        <w:t xml:space="preserve">dataset described by</w:t>
      </w:r>
      <w:r>
        <w:t xml:space="preserve"> </w:t>
      </w:r>
      <w:hyperlink w:anchor="ref-osborne1972">
        <w:r>
          <w:rPr>
            <w:rStyle w:val="Hyperlink"/>
          </w:rPr>
          <w:t xml:space="preserve">Osborne and Suddick</w:t>
        </w:r>
      </w:hyperlink>
      <w:r>
        <w:t xml:space="preserve"> </w:t>
      </w:r>
      <w:r>
        <w:t xml:space="preserve">(</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64"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63"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62"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End w:id="162"/>
    <w:bookmarkEnd w:id="163"/>
    <w:bookmarkEnd w:id="164"/>
    <w:bookmarkStart w:id="203"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166"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165"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165"/>
    <w:bookmarkEnd w:id="166"/>
    <w:bookmarkStart w:id="171"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167"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r>
          <m:rPr>
            <m:sty m:val="p"/>
          </m:rPr>
          <m:t>(</m:t>
        </m:r>
        <m:r>
          <m:t>μ</m:t>
        </m:r>
        <m:r>
          <m:rPr>
            <m:sty m:val="p"/>
          </m:rPr>
          <m:t>,</m:t>
        </m:r>
        <m:sSup>
          <m:e>
            <m:r>
              <m:t>σ</m:t>
            </m:r>
          </m:e>
          <m:sup>
            <m:r>
              <m:t>2</m:t>
            </m:r>
          </m:sup>
        </m:sSup>
        <m:r>
          <m:rPr>
            <m:sty m:val="p"/>
          </m:rPr>
          <m:t>)</m:t>
        </m:r>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r>
          <m:rPr>
            <m:sty m:val="p"/>
          </m:rPr>
          <m:t>[</m:t>
        </m:r>
        <m:r>
          <m:rPr>
            <m:sty m:val="p"/>
            <m:scr m:val="double-struck"/>
          </m:rPr>
          <m:t>E</m:t>
        </m:r>
        <m:r>
          <m:rPr>
            <m:sty m:val="p"/>
          </m:rPr>
          <m:t>(</m:t>
        </m:r>
        <m:r>
          <m:rPr>
            <m:sty m:val="b"/>
          </m:rPr>
          <m:t>Y</m:t>
        </m:r>
        <m:r>
          <m:rPr>
            <m:sty m:val="p"/>
          </m:rPr>
          <m:t>)</m:t>
        </m:r>
        <m:r>
          <m:rPr>
            <m:sty m:val="p"/>
          </m:rPr>
          <m:t>]</m:t>
        </m:r>
        <m:r>
          <m:rPr>
            <m:sty m:val="p"/>
          </m:rPr>
          <m:t>=</m:t>
        </m:r>
        <m:r>
          <m:rPr>
            <m:sty m:val="p"/>
            <m:scr m:val="double-struck"/>
          </m:rPr>
          <m:t>E</m:t>
        </m:r>
        <m:r>
          <m:rPr>
            <m:sty m:val="p"/>
          </m:rPr>
          <m:t>(</m:t>
        </m:r>
        <m:r>
          <m:rPr>
            <m:sty m:val="b"/>
          </m:rPr>
          <m:t>Y</m:t>
        </m:r>
        <m:r>
          <m:rPr>
            <m:sty m:val="p"/>
          </m:rPr>
          <m:t>)</m:t>
        </m:r>
      </m:oMath>
      <w:r>
        <w:t xml:space="preserve">).</w:t>
      </w:r>
    </w:p>
    <w:bookmarkEnd w:id="167"/>
    <w:bookmarkStart w:id="168"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r>
          <m:rPr>
            <m:sty m:val="p"/>
          </m:rPr>
          <m:t>(</m:t>
        </m:r>
        <m:r>
          <m:t>π</m:t>
        </m:r>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oMath>
      <w:r>
        <w:t xml:space="preserve">), where</w:t>
      </w:r>
      <w:r>
        <w:t xml:space="preserve"> </w:t>
      </w:r>
      <m:oMath>
        <m:r>
          <m:t>η</m:t>
        </m:r>
      </m:oMath>
      <w:r>
        <w:t xml:space="preserve"> </w:t>
      </w:r>
      <w:r>
        <w:t xml:space="preserve">is the transformed outcome.</w:t>
      </w:r>
    </w:p>
    <w:bookmarkEnd w:id="168"/>
    <w:bookmarkStart w:id="169"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sSub>
            <m:e>
              <m:r>
                <m:t>λ</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169"/>
    <w:bookmarkStart w:id="170"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r>
          <m:rPr>
            <m:sty m:val="p"/>
          </m:rPr>
          <m:t>(</m:t>
        </m:r>
        <m:r>
          <m:rPr>
            <m:sty m:val="p"/>
          </m:rPr>
          <m:t>⋅</m:t>
        </m:r>
        <m:r>
          <m:rPr>
            <m:sty m:val="p"/>
          </m:rPr>
          <m:t>)</m:t>
        </m:r>
      </m:oMath>
      <w:r>
        <w:t xml:space="preserve"> </w:t>
      </w:r>
      <w:r>
        <w:t xml:space="preserve">- so we get</w:t>
      </w:r>
      <w:r>
        <w:t xml:space="preserve"> </w:t>
      </w:r>
      <m:oMath>
        <m:r>
          <m:t>g</m:t>
        </m:r>
        <m:r>
          <m:rPr>
            <m:sty m:val="p"/>
          </m:rPr>
          <m:t>(</m:t>
        </m:r>
        <m:r>
          <m:rPr>
            <m:sty m:val="b"/>
          </m:rPr>
          <m:t>Y</m:t>
        </m:r>
        <m:r>
          <m:rPr>
            <m:sty m:val="p"/>
          </m:rPr>
          <m:t>)</m:t>
        </m:r>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r>
            <m:rPr>
              <m:sty m:val="p"/>
            </m:rPr>
            <m:t>(</m:t>
          </m:r>
          <m:r>
            <m:rPr>
              <m:sty m:val="b"/>
            </m:rPr>
            <m:t>Y</m:t>
          </m:r>
          <m:r>
            <m:rPr>
              <m:sty m:val="p"/>
            </m:rPr>
            <m:t>)</m:t>
          </m:r>
          <m:r>
            <m:rPr>
              <m:sty m:val="p"/>
            </m:rPr>
            <m:t>=</m:t>
          </m:r>
          <m:r>
            <m:rPr>
              <m:sty m:val="b"/>
            </m:rPr>
            <m:t>η</m:t>
          </m:r>
        </m:oMath>
      </m:oMathPara>
    </w:p>
    <w:p>
      <w:pPr>
        <w:pStyle w:val="FirstParagraph"/>
      </w:pPr>
      <w:r>
        <w:t xml:space="preserve">From a conceptual point of view, the link function</w:t>
      </w:r>
      <w:r>
        <w:t xml:space="preserve"> </w:t>
      </w:r>
      <m:oMath>
        <m:r>
          <m:t>g</m:t>
        </m:r>
        <m:r>
          <m:rPr>
            <m:sty m:val="p"/>
          </m:rPr>
          <m:t>(</m:t>
        </m:r>
        <m:r>
          <m:rPr>
            <m:sty m:val="p"/>
          </m:rPr>
          <m:t>⋅</m:t>
        </m:r>
        <m:r>
          <m:rPr>
            <m:sty m:val="p"/>
          </m:rPr>
          <m:t>)</m:t>
        </m:r>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r>
          <m:rPr>
            <m:sty m:val="p"/>
          </m:rPr>
          <m:t>(</m:t>
        </m:r>
        <m:r>
          <m:rPr>
            <m:sty m:val="p"/>
          </m:rPr>
          <m:t>⋅</m:t>
        </m:r>
        <m:r>
          <m:rPr>
            <m:sty m:val="p"/>
          </m:rPr>
          <m:t>)</m:t>
        </m:r>
        <m:r>
          <m:rPr>
            <m:sty m:val="p"/>
          </m:rPr>
          <m:t>=</m:t>
        </m:r>
        <m:sSup>
          <m:e>
            <m:r>
              <m:t>g</m:t>
            </m:r>
          </m:e>
          <m:sup>
            <m:r>
              <m:rPr>
                <m:sty m:val="p"/>
              </m:rPr>
              <m:t>−</m:t>
            </m:r>
            <m:r>
              <m:t>1</m:t>
            </m:r>
          </m:sup>
        </m:sSup>
        <m:r>
          <m:rPr>
            <m:sty m:val="p"/>
          </m:rPr>
          <m:t>(</m:t>
        </m:r>
        <m:r>
          <m:rPr>
            <m:sty m:val="p"/>
          </m:rPr>
          <m:t>⋅</m:t>
        </m:r>
        <m:r>
          <m:rPr>
            <m:sty m:val="p"/>
          </m:rPr>
          <m:t>)</m:t>
        </m:r>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r>
            <m:rPr>
              <m:sty m:val="p"/>
            </m:rPr>
            <m:t>(</m:t>
          </m:r>
          <m:r>
            <m:rPr>
              <m:sty m:val="b"/>
            </m:rPr>
            <m:t>η</m:t>
          </m:r>
          <m:r>
            <m:rPr>
              <m:sty m:val="p"/>
            </m:rPr>
            <m:t>)</m:t>
          </m:r>
          <m:r>
            <m:rPr>
              <m:sty m:val="p"/>
            </m:rPr>
            <m:t>=</m:t>
          </m:r>
          <m:r>
            <m:t>h</m:t>
          </m:r>
          <m:r>
            <m:rPr>
              <m:sty m:val="p"/>
            </m:rPr>
            <m:t>(</m:t>
          </m:r>
          <m:r>
            <m:rPr>
              <m:sty m:val="b"/>
            </m:rPr>
            <m:t>η</m:t>
          </m:r>
          <m:r>
            <m:rPr>
              <m:sty m:val="p"/>
            </m:rPr>
            <m:t>)</m:t>
          </m:r>
        </m:oMath>
      </m:oMathPara>
    </w:p>
    <w:p>
      <w:pPr>
        <w:pStyle w:val="FirstParagraph"/>
      </w:pPr>
      <w:r>
        <w:t xml:space="preserve">The inverse of a link function back-converts the linear combination of predictors into the original outcome.</w:t>
      </w:r>
    </w:p>
    <w:bookmarkEnd w:id="170"/>
    <w:bookmarkEnd w:id="171"/>
    <w:bookmarkStart w:id="174" w:name="binary-logistic-regression"/>
    <w:p>
      <w:pPr>
        <w:pStyle w:val="Heading2"/>
      </w:pPr>
      <w:r>
        <w:rPr>
          <w:rStyle w:val="SectionNumber"/>
        </w:rPr>
        <w:t xml:space="preserve">7.3</w:t>
      </w:r>
      <w:r>
        <w:tab/>
      </w:r>
      <w:r>
        <w:t xml:space="preserve">Binary Logistic Regression</w:t>
      </w:r>
    </w:p>
    <w:bookmarkStart w:id="172"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r>
            <m:rPr>
              <m:sty m:val="p"/>
            </m:rPr>
            <m:t>(</m:t>
          </m:r>
          <m:r>
            <m:rPr>
              <m:sty m:val="b"/>
            </m:rPr>
            <m:t>Y</m:t>
          </m:r>
          <m:r>
            <m:rPr>
              <m:sty m:val="p"/>
            </m:rPr>
            <m:t>)</m:t>
          </m:r>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r>
                <m:rPr>
                  <m:sty m:val="p"/>
                </m:rPr>
                <m:t>)</m:t>
              </m:r>
            </m:den>
          </m:f>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 </w:t>
      </w:r>
      <w:r>
        <w:t xml:space="preserve">, or equivalently,</w:t>
      </w:r>
      <w:r>
        <w:t xml:space="preserve"> </w:t>
      </w: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172"/>
    <w:bookmarkStart w:id="173"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grow/>
          </m:dPr>
          <m:e>
            <m:f>
              <m:fPr>
                <m:type m:val="bar"/>
              </m:fPr>
              <m:num>
                <m:r>
                  <m:rPr>
                    <m:sty m:val="p"/>
                  </m:rPr>
                  <m:t>(</m:t>
                </m:r>
                <m:sSub>
                  <m:e>
                    <m:r>
                      <m:t>π</m:t>
                    </m:r>
                  </m:e>
                  <m:sub>
                    <m:r>
                      <m:t>i</m:t>
                    </m:r>
                  </m:sub>
                </m:sSub>
                <m:r>
                  <m:rPr>
                    <m:sty m:val="p"/>
                  </m:rPr>
                  <m:t>)</m:t>
                </m:r>
              </m:num>
              <m:den>
                <m:r>
                  <m:t>1</m:t>
                </m:r>
                <m:r>
                  <m:rPr>
                    <m:sty m:val="p"/>
                  </m:rPr>
                  <m:t>−</m:t>
                </m:r>
                <m:r>
                  <m:rPr>
                    <m:sty m:val="p"/>
                  </m:rPr>
                  <m:t>(</m:t>
                </m:r>
                <m:sSub>
                  <m:e>
                    <m:r>
                      <m:t>π</m:t>
                    </m:r>
                  </m:e>
                  <m:sub>
                    <m:r>
                      <m:t>i</m:t>
                    </m:r>
                  </m:sub>
                </m:sSub>
                <m:r>
                  <m:rPr>
                    <m:sty m:val="p"/>
                  </m:rPr>
                  <m:t>)</m:t>
                </m:r>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num>
            <m:den>
              <m:r>
                <m:t>1</m:t>
              </m:r>
              <m:r>
                <m:rPr>
                  <m:sty m:val="p"/>
                </m:rPr>
                <m:t>+</m:t>
              </m:r>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r>
          <m:rPr>
            <m:sty m:val="p"/>
          </m:rPr>
          <m:t>(</m:t>
        </m:r>
        <m:r>
          <m:rPr>
            <m:sty m:val="p"/>
          </m:rPr>
          <m:t>⋅</m:t>
        </m:r>
        <m:r>
          <m:rPr>
            <m:sty m:val="p"/>
          </m:rPr>
          <m:t>)</m:t>
        </m:r>
        <m:r>
          <m:rPr>
            <m:sty m:val="p"/>
          </m:rPr>
          <m:t>=</m:t>
        </m:r>
        <m:f>
          <m:fPr>
            <m:type m:val="bar"/>
          </m:fPr>
          <m:num>
            <m:sSup>
              <m:e>
                <m:r>
                  <m:t>e</m:t>
                </m:r>
              </m:e>
              <m:sup>
                <m:r>
                  <m:rPr>
                    <m:sty m:val="p"/>
                  </m:rPr>
                  <m:t>(</m:t>
                </m:r>
                <m:r>
                  <m:rPr>
                    <m:sty m:val="p"/>
                  </m:rPr>
                  <m:t>⋅</m:t>
                </m:r>
                <m:r>
                  <m:rPr>
                    <m:sty m:val="p"/>
                  </m:rPr>
                  <m:t>)</m:t>
                </m:r>
              </m:sup>
            </m:sSup>
          </m:num>
          <m:den>
            <m:r>
              <m:t>1</m:t>
            </m:r>
            <m:r>
              <m:rPr>
                <m:sty m:val="p"/>
              </m:rPr>
              <m:t>+</m:t>
            </m:r>
            <m:sSup>
              <m:e>
                <m:r>
                  <m:t>e</m:t>
                </m:r>
              </m:e>
              <m:sup>
                <m:r>
                  <m:rPr>
                    <m:sty m:val="p"/>
                  </m:rPr>
                  <m:t>(</m:t>
                </m:r>
                <m:r>
                  <m:rPr>
                    <m:sty m:val="p"/>
                  </m:rPr>
                  <m:t>⋅</m:t>
                </m:r>
                <m:r>
                  <m:rPr>
                    <m:sty m:val="p"/>
                  </m:rPr>
                  <m:t>)</m:t>
                </m:r>
              </m:sup>
            </m:sSup>
          </m:den>
        </m:f>
      </m:oMath>
      <w:r>
        <w:t xml:space="preserve">. In practice, this transformation is what is used for solving the regression equation, and it is called logistic regression:</w:t>
      </w:r>
    </w:p>
    <w:bookmarkEnd w:id="173"/>
    <w:bookmarkEnd w:id="174"/>
    <w:bookmarkStart w:id="176"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175"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175"/>
    <w:bookmarkEnd w:id="176"/>
    <w:bookmarkStart w:id="180"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r>
          <m:rPr>
            <m:sty m:val="p"/>
          </m:rPr>
          <m:t>(</m:t>
        </m:r>
        <m:sSub>
          <m:e>
            <m:r>
              <m:t>Y</m:t>
            </m:r>
          </m:e>
          <m:sub>
            <m:r>
              <m:t>i</m:t>
            </m:r>
          </m:sub>
        </m:sSub>
        <m:r>
          <m:rPr>
            <m:sty m:val="p"/>
          </m:rPr>
          <m:t>=</m:t>
        </m:r>
        <m:r>
          <m:t>1</m:t>
        </m:r>
        <m:r>
          <m:rPr>
            <m:sty m:val="p"/>
          </m:rPr>
          <m:t>)</m:t>
        </m:r>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r>
            <m:rPr>
              <m:sty m:val="p"/>
            </m:rPr>
            <m:t>(</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num>
            <m:den>
              <m:r>
                <m:t>1</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den>
          </m:f>
        </m:oMath>
      </m:oMathPara>
    </w:p>
    <w:bookmarkStart w:id="177"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r>
          <m:rPr>
            <m:sty m:val="p"/>
          </m:rPr>
          <m:t>(</m:t>
        </m:r>
        <m:r>
          <m:t>g</m:t>
        </m:r>
        <m:r>
          <m:t>r</m:t>
        </m:r>
        <m:r>
          <m:t>a</m:t>
        </m:r>
        <m:sSub>
          <m:e>
            <m:r>
              <m:t>d</m:t>
            </m:r>
          </m:e>
          <m:sub>
            <m:r>
              <m:t>i</m:t>
            </m:r>
          </m:sub>
        </m:sSub>
        <m:r>
          <m:rPr>
            <m:sty m:val="p"/>
          </m:rPr>
          <m:t>=</m:t>
        </m:r>
        <m:r>
          <m:t>1</m:t>
        </m:r>
        <m:r>
          <m:rPr>
            <m:sty m:val="p"/>
          </m:rPr>
          <m:t>)</m:t>
        </m:r>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177"/>
    <w:bookmarkStart w:id="179" w:name="interpretation-1"/>
    <w:p>
      <w:pPr>
        <w:pStyle w:val="Heading3"/>
      </w:pPr>
      <w:r>
        <w:rPr>
          <w:rStyle w:val="SectionNumber"/>
        </w:rPr>
        <w:t xml:space="preserve">7.5.2</w:t>
      </w:r>
      <w:r>
        <w:tab/>
      </w:r>
      <w:r>
        <w:t xml:space="preserve">Interpretation</w:t>
      </w:r>
    </w:p>
    <w:bookmarkStart w:id="178"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r>
          <m:rPr>
            <m:sty m:val="p"/>
          </m:rPr>
          <m:t>(</m:t>
        </m:r>
        <m:sSub>
          <m:e>
            <m:r>
              <m:t>b</m:t>
            </m:r>
          </m:e>
          <m:sub>
            <m:r>
              <m:t>0</m:t>
            </m:r>
          </m:sub>
        </m:sSub>
        <m:r>
          <m:rPr>
            <m:sty m:val="p"/>
          </m:rPr>
          <m:t>)</m:t>
        </m:r>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r>
            <m:rPr>
              <m:sty m:val="p"/>
            </m:rPr>
            <m:t>(</m:t>
          </m:r>
          <m:r>
            <m:t>H</m:t>
          </m:r>
          <m:r>
            <m:t>a</m:t>
          </m:r>
          <m:r>
            <m:t>p</m:t>
          </m:r>
          <m:r>
            <m:t>p</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b</m:t>
            </m:r>
          </m:e>
          <m:sub>
            <m:r>
              <m:t>j</m:t>
            </m:r>
          </m:sub>
        </m:sSub>
        <m:r>
          <m:rPr>
            <m:sty m:val="p"/>
          </m:rPr>
          <m:t>)</m:t>
        </m:r>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178"/>
    <w:bookmarkEnd w:id="179"/>
    <w:bookmarkEnd w:id="180"/>
    <w:bookmarkStart w:id="187"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r>
            <m:rPr>
              <m:sty m:val="p"/>
            </m:rPr>
            <m:t>(</m:t>
          </m:r>
          <m:sSub>
            <m:e>
              <m:r>
                <m:t>π</m:t>
              </m:r>
            </m:e>
            <m:sub>
              <m:r>
                <m:t>i</m:t>
              </m:r>
            </m:sub>
          </m:sSub>
          <m:r>
            <m:rPr>
              <m:sty m:val="p"/>
            </m:rPr>
            <m:t>)</m:t>
          </m:r>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r>
          <m:rPr>
            <m:sty m:val="p"/>
          </m:rPr>
          <m:t>(</m:t>
        </m:r>
        <m:r>
          <m:t>H</m:t>
        </m:r>
        <m:r>
          <m:t>a</m:t>
        </m:r>
        <m:r>
          <m:t>p</m:t>
        </m:r>
        <m:r>
          <m:t>p</m:t>
        </m:r>
        <m:sSub>
          <m:e>
            <m:r>
              <m:t>y</m:t>
            </m:r>
          </m:e>
          <m:sub>
            <m:r>
              <m:t>i</m:t>
            </m:r>
          </m:sub>
        </m:sSub>
        <m:r>
          <m:rPr>
            <m:sty m:val="p"/>
          </m:rPr>
          <m:t>=</m:t>
        </m:r>
        <m:r>
          <m:t>1</m:t>
        </m:r>
        <m:r>
          <m:rPr>
            <m:sty m:val="p"/>
          </m:rPr>
          <m:t>)</m:t>
        </m:r>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181"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sSub>
          <m:e>
            <m:r>
              <m:t>n</m:t>
            </m:r>
          </m:e>
          <m:sub>
            <m:r>
              <m:t>i</m:t>
            </m:r>
          </m:sub>
        </m:sSub>
        <m:r>
          <m:rPr>
            <m:sty m:val="p"/>
          </m:rPr>
          <m:t>,</m:t>
        </m:r>
        <m:sSub>
          <m:e>
            <m:r>
              <m:t>π</m:t>
            </m:r>
          </m:e>
          <m:sub>
            <m:r>
              <m:t>i</m:t>
            </m:r>
          </m:sub>
        </m:sSub>
        <m:r>
          <m:rPr>
            <m:sty m:val="p"/>
          </m:rPr>
          <m:t>)</m:t>
        </m:r>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r>
          <m:rPr>
            <m:sty m:val="p"/>
          </m:rPr>
          <m:t>(</m:t>
        </m:r>
        <m:r>
          <m:t>1</m:t>
        </m:r>
        <m:r>
          <m:rPr>
            <m:sty m:val="p"/>
          </m:rPr>
          <m:t>−</m:t>
        </m:r>
        <m:sSub>
          <m:e>
            <m:r>
              <m:t>π</m:t>
            </m:r>
          </m:e>
          <m:sub>
            <m:r>
              <m:t>i</m:t>
            </m:r>
          </m:sub>
        </m:sSub>
        <m:r>
          <m:rPr>
            <m:sty m:val="p"/>
          </m:rPr>
          <m:t>)</m:t>
        </m:r>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181"/>
    <w:bookmarkStart w:id="186"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182"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182"/>
    <w:bookmarkStart w:id="183"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r>
          <m:rPr>
            <m:sty m:val="p"/>
          </m:rPr>
          <m:t>(</m:t>
        </m:r>
        <m:r>
          <m:rPr>
            <m:sty m:val="p"/>
          </m:rPr>
          <m:t>−</m:t>
        </m:r>
        <m:r>
          <m:t>0.690890</m:t>
        </m:r>
        <m:r>
          <m:rPr>
            <m:sty m:val="p"/>
          </m:rPr>
          <m:t>)</m:t>
        </m:r>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personap spending is held at. Note this is not significant and we would not report this interpretation in practice. Essentially, if the odds ratio is equal to one, the predictor did not have an impact on the outcome.</w:t>
      </w:r>
    </w:p>
    <w:bookmarkEnd w:id="183"/>
    <w:bookmarkStart w:id="185"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r>
          <m:rPr>
            <m:sty m:val="p"/>
          </m:rPr>
          <m:t>[</m:t>
        </m:r>
        <m:r>
          <m:t>0</m:t>
        </m:r>
        <m:r>
          <m:rPr>
            <m:sty m:val="p"/>
          </m:rPr>
          <m:t>,</m:t>
        </m:r>
        <m:r>
          <m:t>1</m:t>
        </m:r>
        <m:r>
          <m:rPr>
            <m:sty m:val="p"/>
          </m:rPr>
          <m:t>]</m:t>
        </m:r>
      </m:oMath>
      <w:r>
        <w:t xml:space="preserve">, whereas log-odds (the output from the raw logistic regression equation) can range from</w:t>
      </w:r>
      <w:r>
        <w:t xml:space="preserve"> </w:t>
      </w:r>
      <m:oMath>
        <m:r>
          <m:rPr>
            <m:sty m:val="p"/>
          </m:rPr>
          <m:t>(</m:t>
        </m:r>
        <m:r>
          <m:rPr>
            <m:sty m:val="p"/>
          </m:rPr>
          <m:t>−</m:t>
        </m:r>
        <m:r>
          <m:rPr>
            <m:sty m:val="p"/>
          </m:rPr>
          <m:t>∞</m:t>
        </m:r>
        <m:r>
          <m:rPr>
            <m:sty m:val="p"/>
          </m:rPr>
          <m:t>,</m:t>
        </m:r>
        <m:r>
          <m:rPr>
            <m:sty m:val="p"/>
          </m:rPr>
          <m:t>∞</m:t>
        </m:r>
        <m:r>
          <m:rPr>
            <m:sty m:val="p"/>
          </m:rPr>
          <m:t>)</m:t>
        </m:r>
      </m:oMath>
      <w:r>
        <w:t xml:space="preserve">, and odds and odds ratios can range from</w:t>
      </w:r>
      <w:r>
        <w:t xml:space="preserve"> </w:t>
      </w:r>
      <m:oMath>
        <m:r>
          <m:rPr>
            <m:sty m:val="p"/>
          </m:rPr>
          <m:t>(</m:t>
        </m:r>
        <m:r>
          <m:t>0</m:t>
        </m:r>
        <m:r>
          <m:rPr>
            <m:sty m:val="p"/>
          </m:rPr>
          <m:t>,</m:t>
        </m:r>
        <m:r>
          <m:rPr>
            <m:sty m:val="p"/>
          </m:rPr>
          <m:t>∞</m:t>
        </m:r>
        <m:r>
          <m:rPr>
            <m:sty m:val="p"/>
          </m:rPr>
          <m:t>)</m:t>
        </m:r>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7-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185"/>
    <w:bookmarkEnd w:id="186"/>
    <w:bookmarkEnd w:id="187"/>
    <w:bookmarkStart w:id="202"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189"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1" name="Picture"/>
            <a:graphic>
              <a:graphicData uri="http://schemas.openxmlformats.org/drawingml/2006/picture">
                <pic:pic>
                  <pic:nvPicPr>
                    <pic:cNvPr descr="imgs/marginals.jpg" id="0" name="Picture"/>
                    <pic:cNvPicPr>
                      <a:picLocks noChangeArrowheads="1" noChangeAspect="1"/>
                    </pic:cNvPicPr>
                  </pic:nvPicPr>
                  <pic:blipFill>
                    <a:blip r:embed="rId188"/>
                    <a:stretch>
                      <a:fillRect/>
                    </a:stretch>
                  </pic:blipFill>
                  <pic:spPr bwMode="auto">
                    <a:xfrm>
                      <a:off x="0" y="0"/>
                      <a:ext cx="5334000" cy="3137045"/>
                    </a:xfrm>
                    <a:prstGeom prst="rect">
                      <a:avLst/>
                    </a:prstGeom>
                    <a:noFill/>
                    <a:ln w="9525">
                      <a:noFill/>
                      <a:headEnd/>
                      <a:tailEnd/>
                    </a:ln>
                  </pic:spPr>
                </pic:pic>
              </a:graphicData>
            </a:graphic>
          </wp:inline>
        </w:drawing>
      </w:r>
    </w:p>
    <w:bookmarkEnd w:id="189"/>
    <w:bookmarkStart w:id="193"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192"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190">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1" name="Picture"/>
            <a:graphic>
              <a:graphicData uri="http://schemas.openxmlformats.org/drawingml/2006/picture">
                <pic:pic>
                  <pic:nvPicPr>
                    <pic:cNvPr descr="imgs/marginaleffectsimg.jpg" id="0" name="Picture"/>
                    <pic:cNvPicPr>
                      <a:picLocks noChangeArrowheads="1" noChangeAspect="1"/>
                    </pic:cNvPicPr>
                  </pic:nvPicPr>
                  <pic:blipFill>
                    <a:blip r:embed="rId191"/>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190">
        <w:r>
          <w:rPr>
            <w:rStyle w:val="Hyperlink"/>
          </w:rPr>
          <w:t xml:space="preserve">https://vincentarelbundock.github.io/marginaleffects/articles/mfx.html</w:t>
        </w:r>
      </w:hyperlink>
    </w:p>
    <w:bookmarkEnd w:id="192"/>
    <w:bookmarkEnd w:id="193"/>
    <w:bookmarkStart w:id="194"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194"/>
    <w:bookmarkStart w:id="195"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4.1.2</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195"/>
    <w:bookmarkStart w:id="201"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9-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3-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1"/>
    <w:bookmarkEnd w:id="202"/>
    <w:bookmarkEnd w:id="203"/>
    <w:bookmarkStart w:id="254"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 Poisson regression. Poisson regression is a useful modeling approach for handling count dependent variables. One important consideration when fitting Poisson regression models is</w:t>
      </w:r>
      <w:r>
        <w:rPr>
          <w:iCs/>
          <w:i/>
        </w:rPr>
        <w:t xml:space="preserve">overdispersion</w:t>
      </w:r>
      <w:r>
        <w:t xml:space="preserve">. We will look at how one might assess overdispersion in Poisson rregression and suggest some alternative procedures. As wuth logistic regression we will look to marginal effects and visualization as an aid to help us interpret results from these nonlinear models.</w:t>
      </w:r>
    </w:p>
    <w:bookmarkStart w:id="205" w:name="poisson-regression"/>
    <w:p>
      <w:pPr>
        <w:pStyle w:val="Heading2"/>
      </w:pPr>
      <w:r>
        <w:rPr>
          <w:rStyle w:val="SectionNumber"/>
        </w:rPr>
        <w:t xml:space="preserve">8.1</w:t>
      </w:r>
      <w:r>
        <w:tab/>
      </w:r>
      <w:r>
        <w:t xml:space="preserve">Poisson Regression</w:t>
      </w:r>
    </w:p>
    <w:p>
      <w:pPr>
        <w:pStyle w:val="FirstParagraph"/>
      </w:pPr>
      <w:r>
        <w:t xml:space="preserve">To review, there are three important components to the GLM:</w:t>
      </w:r>
    </w:p>
    <w:p>
      <w:pPr>
        <w:numPr>
          <w:ilvl w:val="0"/>
          <w:numId w:val="102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2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204" w:name="poisson-regression-as-glm-1"/>
    <w:p>
      <w:pPr>
        <w:pStyle w:val="Heading3"/>
      </w:pPr>
      <w:r>
        <w:rPr>
          <w:rStyle w:val="SectionNumber"/>
        </w:rPr>
        <w:t xml:space="preserve">8.1.1</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r>
            <m:t>μ</m:t>
          </m:r>
          <m:r>
            <m:rPr>
              <m:sty m:val="p"/>
            </m:rPr>
            <m:t>)</m:t>
          </m:r>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e</m:t>
          </m:r>
          <m:r>
            <m:rPr>
              <m:sty m:val="p"/>
            </m:rPr>
            <m:t>x</m:t>
          </m:r>
          <m:r>
            <m:rPr>
              <m:sty m:val="p"/>
            </m:rPr>
            <m:t>p</m:t>
          </m:r>
          <m:r>
            <m:rPr>
              <m:sty m:val="p"/>
            </m:rPr>
            <m:t>(</m:t>
          </m:r>
          <m:sSub>
            <m:e>
              <m:r>
                <m:t>β</m:t>
              </m:r>
            </m:e>
            <m:sub>
              <m:r>
                <m:t>0</m:t>
              </m:r>
            </m:sub>
          </m:sSub>
          <m:r>
            <m:rPr>
              <m:sty m:val="p"/>
            </m:rPr>
            <m:t>)</m:t>
          </m:r>
          <m:r>
            <m:rPr>
              <m:sty m:val="p"/>
            </m:rPr>
            <m:t>e</m:t>
          </m:r>
          <m:r>
            <m:rPr>
              <m:sty m:val="p"/>
            </m:rPr>
            <m:t>x</m:t>
          </m:r>
          <m:r>
            <m:rPr>
              <m:sty m:val="p"/>
            </m:rPr>
            <m:t>p</m:t>
          </m:r>
          <m:r>
            <m:rPr>
              <m:sty m:val="p"/>
            </m:rPr>
            <m:t>(</m:t>
          </m:r>
          <m:sSub>
            <m:e>
              <m:r>
                <m:t>β</m:t>
              </m:r>
            </m:e>
            <m:sub>
              <m:r>
                <m:t>1</m:t>
              </m:r>
            </m:sub>
          </m:sSub>
          <m:sSub>
            <m:e>
              <m:r>
                <m:t>x</m:t>
              </m:r>
            </m:e>
            <m:sub>
              <m:r>
                <m:t>1</m:t>
              </m:r>
            </m:sub>
          </m:sSub>
          <m:r>
            <m:rPr>
              <m:sty m:val="p"/>
            </m:rPr>
            <m:t>)</m:t>
          </m:r>
          <m:r>
            <m:rPr>
              <m:sty m:val="p"/>
            </m:rPr>
            <m:t>.</m:t>
          </m:r>
        </m:oMath>
      </m:oMathPara>
    </w:p>
    <w:p>
      <w:pPr>
        <w:numPr>
          <w:ilvl w:val="0"/>
          <w:numId w:val="102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sSub>
          <m:e>
            <m:r>
              <m:t>μ</m:t>
            </m:r>
          </m:e>
          <m:sub>
            <m:r>
              <m:t>i</m:t>
            </m:r>
          </m:sub>
        </m:sSub>
        <m:r>
          <m:rPr>
            <m:sty m:val="p"/>
          </m:rPr>
          <m:t>)</m:t>
        </m:r>
      </m:oMath>
      <w:r>
        <w:t xml:space="preserve">.</w:t>
      </w:r>
    </w:p>
    <w:p>
      <w:pPr>
        <w:numPr>
          <w:ilvl w:val="0"/>
          <w:numId w:val="102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04"/>
    <w:bookmarkEnd w:id="205"/>
    <w:bookmarkStart w:id="208"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r>
            <m:rPr>
              <m:sty m:val="p"/>
            </m:rPr>
            <m:t>(</m:t>
          </m:r>
          <m:r>
            <m:rPr>
              <m:sty m:val="p"/>
            </m:rPr>
            <m:t>y</m:t>
          </m:r>
          <m:r>
            <m:rPr>
              <m:sty m:val="p"/>
            </m:rPr>
            <m:t>|</m:t>
          </m:r>
          <m:r>
            <m:t>μ</m:t>
          </m:r>
          <m:r>
            <m:rPr>
              <m:sty m:val="p"/>
            </m:rPr>
            <m:t>)</m:t>
          </m:r>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4"/>
        </w:numPr>
        <w:pStyle w:val="Compact"/>
      </w:pPr>
      <m:oMath>
        <m:r>
          <m:t>y</m:t>
        </m:r>
      </m:oMath>
      <w:r>
        <w:t xml:space="preserve"> </w:t>
      </w:r>
      <w:r>
        <w:t xml:space="preserve">is a random count variable</w:t>
      </w:r>
    </w:p>
    <w:p>
      <w:pPr>
        <w:numPr>
          <w:ilvl w:val="0"/>
          <w:numId w:val="1024"/>
        </w:numPr>
        <w:pStyle w:val="Compact"/>
      </w:pPr>
      <m:oMath>
        <m:r>
          <m:t>μ</m:t>
        </m:r>
      </m:oMath>
      <w:r>
        <w:t xml:space="preserve"> </w:t>
      </w:r>
      <w:r>
        <w:t xml:space="preserve">is the expected number of times an event ocurrs</w:t>
      </w:r>
    </w:p>
    <w:p>
      <w:pPr>
        <w:numPr>
          <w:ilvl w:val="0"/>
          <w:numId w:val="1024"/>
        </w:numPr>
        <w:pStyle w:val="Compact"/>
      </w:pPr>
      <m:oMath>
        <m:r>
          <m:t>y</m:t>
        </m:r>
        <m:r>
          <m:rPr>
            <m:sty m:val="p"/>
          </m:rPr>
          <m:t>!</m:t>
        </m:r>
        <m:r>
          <m:rPr>
            <m:sty m:val="p"/>
          </m:rPr>
          <m:t>=</m:t>
        </m:r>
        <m:r>
          <m:t>y</m:t>
        </m:r>
        <m:r>
          <m:rPr>
            <m:sty m:val="p"/>
          </m:rPr>
          <m:t>×</m:t>
        </m:r>
        <m:r>
          <m:rPr>
            <m:sty m:val="p"/>
          </m:rPr>
          <m:t>(</m:t>
        </m:r>
        <m:r>
          <m:t>y</m:t>
        </m:r>
        <m:r>
          <m:rPr>
            <m:sty m:val="p"/>
          </m:rPr>
          <m:t>−</m:t>
        </m:r>
        <m:r>
          <m:t>1</m:t>
        </m:r>
        <m:r>
          <m:rPr>
            <m:sty m:val="p"/>
          </m:rPr>
          <m:t>)</m:t>
        </m:r>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1" name="Picture"/>
            <a:graphic>
              <a:graphicData uri="http://schemas.openxmlformats.org/drawingml/2006/picture">
                <pic:pic>
                  <pic:nvPicPr>
                    <pic:cNvPr descr="imgs/poisson.png" id="0" name="Picture"/>
                    <pic:cNvPicPr>
                      <a:picLocks noChangeArrowheads="1" noChangeAspect="1"/>
                    </pic:cNvPicPr>
                  </pic:nvPicPr>
                  <pic:blipFill>
                    <a:blip r:embed="rId206"/>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207">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5"/>
        </w:numPr>
        <w:pStyle w:val="Compact"/>
      </w:pPr>
      <w:r>
        <w:t xml:space="preserve">As</w:t>
      </w:r>
      <w:r>
        <w:t xml:space="preserve"> </w:t>
      </w:r>
      <m:oMath>
        <m:r>
          <m:t>μ</m:t>
        </m:r>
      </m:oMath>
      <w:r>
        <w:t xml:space="preserve"> </w:t>
      </w:r>
      <w:r>
        <w:t xml:space="preserve">grows the center of the distribution shifts to right</w:t>
      </w:r>
    </w:p>
    <w:p>
      <w:pPr>
        <w:numPr>
          <w:ilvl w:val="0"/>
          <w:numId w:val="1025"/>
        </w:numPr>
        <w:pStyle w:val="Compact"/>
      </w:pPr>
      <w:r>
        <w:t xml:space="preserve">Departure of real count data from predictions from Poisson distribution</w:t>
      </w:r>
    </w:p>
    <w:p>
      <w:pPr>
        <w:numPr>
          <w:ilvl w:val="1"/>
          <w:numId w:val="1026"/>
        </w:numPr>
        <w:pStyle w:val="Compact"/>
      </w:pPr>
      <w:r>
        <w:t xml:space="preserve">Variance frequently greater than mean (overdisperion)</w:t>
      </w:r>
    </w:p>
    <w:p>
      <w:pPr>
        <w:numPr>
          <w:ilvl w:val="1"/>
          <w:numId w:val="1026"/>
        </w:numPr>
        <w:pStyle w:val="Compact"/>
      </w:pPr>
      <w:r>
        <w:t xml:space="preserve">Frequency of 0 counts exceed number predicted by Poisson</w:t>
      </w:r>
    </w:p>
    <w:bookmarkEnd w:id="208"/>
    <w:bookmarkStart w:id="209" w:name="notes-on-interpretation"/>
    <w:p>
      <w:pPr>
        <w:pStyle w:val="Heading2"/>
      </w:pPr>
      <w:r>
        <w:rPr>
          <w:rStyle w:val="SectionNumber"/>
        </w:rPr>
        <w:t xml:space="preserve">8.3</w:t>
      </w:r>
      <w:r>
        <w:tab/>
      </w:r>
      <w:r>
        <w:t xml:space="preserve">Notes on Interpretation</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oMath>
      </m:oMathPara>
    </w:p>
    <w:p>
      <w:pPr>
        <w:pStyle w:val="FirstParagraph"/>
      </w:pPr>
      <w:r>
        <w:t xml:space="preserve">Interpretation of the Poisson regression coefficients is similar to logistic regression. For example,</w:t>
      </w:r>
    </w:p>
    <w:p>
      <w:pPr>
        <w:numPr>
          <w:ilvl w:val="0"/>
          <w:numId w:val="1027"/>
        </w:numPr>
        <w:pStyle w:val="Compact"/>
      </w:pPr>
      <m:oMath>
        <m:r>
          <m:rPr>
            <m:sty m:val="p"/>
          </m:rPr>
          <m:t>e</m:t>
        </m:r>
        <m:r>
          <m:rPr>
            <m:sty m:val="p"/>
          </m:rPr>
          <m:t>x</m:t>
        </m:r>
        <m:r>
          <m:rPr>
            <m:sty m:val="p"/>
          </m:rPr>
          <m:t>p</m:t>
        </m:r>
        <m:r>
          <m:rPr>
            <m:sty m:val="p"/>
          </m:rPr>
          <m:t>(</m:t>
        </m:r>
        <m:sSub>
          <m:e>
            <m:r>
              <m:t>β</m:t>
            </m:r>
          </m:e>
          <m:sub>
            <m:r>
              <m:t>0</m:t>
            </m:r>
          </m:sub>
        </m:sSub>
        <m:r>
          <m:rPr>
            <m:sty m:val="p"/>
          </m:rPr>
          <m:t>)</m:t>
        </m:r>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27"/>
        </w:numPr>
        <w:pStyle w:val="Compact"/>
      </w:pP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p>
      <w:pPr>
        <w:pStyle w:val="FirstParagraph"/>
      </w:pPr>
      <w:r>
        <w:t xml:space="preserve">We can also talk about these regression coefficients in terms of percent change as follow,</w:t>
      </w:r>
    </w:p>
    <w:p>
      <w:pPr>
        <w:numPr>
          <w:ilvl w:val="0"/>
          <w:numId w:val="1028"/>
        </w:numPr>
        <w:pStyle w:val="Compact"/>
      </w:pPr>
      <w:r>
        <w:t xml:space="preserve">If</w:t>
      </w:r>
      <w:r>
        <w:t xml:space="preserve"> </w:t>
      </w:r>
      <m:oMath>
        <m:sSub>
          <m:e>
            <m:r>
              <m:t>β</m:t>
            </m:r>
          </m:e>
          <m:sub>
            <m:r>
              <m:t>1</m:t>
            </m:r>
          </m:sub>
        </m:sSub>
      </m:oMath>
      <w:r>
        <w:t xml:space="preserve"> </w:t>
      </w:r>
      <w:r>
        <w:t xml:space="preserve">is negative:</w:t>
      </w:r>
    </w:p>
    <w:p>
      <w:pPr>
        <w:numPr>
          <w:ilvl w:val="1"/>
          <w:numId w:val="1029"/>
        </w:numPr>
        <w:pStyle w:val="Compact"/>
      </w:pPr>
      <w:r>
        <w:t xml:space="preserve">All else being equal, we might expect to see a</w:t>
      </w:r>
      <w:r>
        <w:t xml:space="preserve"> </w:t>
      </w:r>
      <m:oMath>
        <m:r>
          <m:rPr>
            <m:sty m:val="p"/>
          </m:rPr>
          <m:t>(</m:t>
        </m:r>
        <m:r>
          <m:t>1</m:t>
        </m:r>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28"/>
        </w:numPr>
        <w:pStyle w:val="Compact"/>
      </w:pPr>
      <w:r>
        <w:t xml:space="preserve">If</w:t>
      </w:r>
      <w:r>
        <w:t xml:space="preserve"> </w:t>
      </w:r>
      <m:oMath>
        <m:sSub>
          <m:e>
            <m:r>
              <m:t>β</m:t>
            </m:r>
          </m:e>
          <m:sub>
            <m:r>
              <m:t>1</m:t>
            </m:r>
          </m:sub>
        </m:sSub>
      </m:oMath>
      <w:r>
        <w:t xml:space="preserve"> </w:t>
      </w:r>
      <w:r>
        <w:t xml:space="preserve">is positive:</w:t>
      </w:r>
    </w:p>
    <w:p>
      <w:pPr>
        <w:numPr>
          <w:ilvl w:val="1"/>
          <w:numId w:val="1030"/>
        </w:numPr>
        <w:pStyle w:val="Compact"/>
      </w:pPr>
      <w:r>
        <w:t xml:space="preserve">All else being equal, we might expect to see a</w:t>
      </w:r>
      <w:r>
        <w:t xml:space="preserve"> </w:t>
      </w:r>
      <m:oMath>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t>1</m:t>
        </m:r>
        <m:r>
          <m:rPr>
            <m:sty m:val="p"/>
          </m:rPr>
          <m:t>)</m:t>
        </m:r>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r>
          <m:rPr>
            <m:sty m:val="p"/>
          </m:rPr>
          <m:t>=</m:t>
        </m:r>
        <m:r>
          <m:rPr>
            <m:sty m:val="p"/>
          </m:rPr>
          <m:t>e</m:t>
        </m:r>
        <m:r>
          <m:rPr>
            <m:sty m:val="p"/>
          </m:rPr>
          <m:t>x</m:t>
        </m:r>
        <m:r>
          <m:rPr>
            <m:sty m:val="p"/>
          </m:rPr>
          <m:t>p</m:t>
        </m:r>
        <m:r>
          <m:rPr>
            <m:sty m:val="p"/>
          </m:rPr>
          <m:t>(</m:t>
        </m:r>
        <m:sSub>
          <m:e>
            <m:r>
              <m:t>β</m:t>
            </m:r>
          </m:e>
          <m:sub>
            <m:r>
              <m:t>1</m:t>
            </m:r>
          </m:sub>
        </m:sSub>
        <m:r>
          <m:rPr>
            <m:sty m:val="p"/>
          </m:rPr>
          <m:t>)</m:t>
        </m:r>
      </m:oMath>
      <w:r>
        <w:t xml:space="preserve">, and</w:t>
      </w:r>
      <w:r>
        <w:t xml:space="preserve"> </w:t>
      </w: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&gt;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&lt;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will then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209"/>
    <w:bookmarkStart w:id="214"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 In this case study,</w:t>
      </w:r>
      <w:r>
        <w:t xml:space="preserve"> </w:t>
      </w:r>
      <w:hyperlink w:anchor="ref-ferraro2016">
        <w:r>
          <w:rPr>
            <w:rStyle w:val="Hyperlink"/>
          </w:rPr>
          <w:t xml:space="preserve">Ferraro, Schafer, and Wilkinson</w:t>
        </w:r>
      </w:hyperlink>
      <w:r>
        <w:t xml:space="preserve"> </w:t>
      </w:r>
      <w:r>
        <w:t xml:space="preserve">(</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 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210"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 (</w:t>
      </w:r>
      <w:r>
        <w:rPr>
          <w:rStyle w:val="VerbatimChar"/>
        </w:rPr>
        <w:t xml:space="preserve">morbidityw1</w:t>
      </w:r>
      <w:r>
        <w:t xml:space="preserve">). Here, adult health problems are measured by the self-reported occurrence of 31 diseases or health conditions. For 29 of these items respondents were asked</w:t>
      </w:r>
      <w:r>
        <w:t xml:space="preserve"> </w:t>
      </w:r>
      <w:r>
        <w:t xml:space="preserve">“</w:t>
      </w:r>
      <w:r>
        <w:t xml:space="preserve">In the past 12 month have you experienced or been treated for any of the following?</w:t>
      </w:r>
      <w:r>
        <w:t xml:space="preserve">”</w:t>
      </w:r>
      <w:r>
        <w:t xml:space="preserve"> </w:t>
      </w: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210"/>
    <w:bookmarkStart w:id="213" w:name="explanatory-variables"/>
    <w:p>
      <w:pPr>
        <w:pStyle w:val="Heading3"/>
      </w:pPr>
      <w:r>
        <w:rPr>
          <w:rStyle w:val="SectionNumber"/>
        </w:rPr>
        <w:t xml:space="preserve">8.4.2</w:t>
      </w:r>
      <w:r>
        <w:tab/>
      </w:r>
      <w:r>
        <w:t xml:space="preserve">Explanatory Variables</w:t>
      </w:r>
    </w:p>
    <w:bookmarkStart w:id="211" w:name="early-life-disadvantage"/>
    <w:p>
      <w:pPr>
        <w:pStyle w:val="Heading4"/>
      </w:pPr>
      <w:r>
        <w:rPr>
          <w:rStyle w:val="SectionNumber"/>
        </w:rPr>
        <w:t xml:space="preserve">8.4.2.1</w:t>
      </w:r>
      <w:r>
        <w:tab/>
      </w:r>
      <w:r>
        <w:t xml:space="preserve">Early Life Disadvantage</w:t>
      </w:r>
    </w:p>
    <w:p>
      <w:pPr>
        <w:pStyle w:val="FirstParagraph"/>
      </w:pPr>
      <w:r>
        <w:rPr>
          <w:iCs/>
          <w:i/>
        </w:rPr>
        <w:t xml:space="preserve">ses</w:t>
      </w:r>
      <w:r>
        <w:t xml:space="preserve">: Childhood SES is a sum score based on standardized measures of (1) the education for the head of household, (2) financial strain and (3) receipt of welfare.</w:t>
      </w:r>
      <w:r>
        <w:t xml:space="preserve"> </w:t>
      </w:r>
      <w:r>
        <w:rPr>
          <w:iCs/>
          <w:i/>
        </w:rPr>
        <w:t xml:space="preserve">family</w:t>
      </w:r>
      <w:r>
        <w:t xml:space="preserve">: Family composition is a sum score based on (1) the presence of a male in the household, (2) parental divorce, and (3) death of parent prior to age 16,</w:t>
      </w:r>
      <w:r>
        <w:t xml:space="preserve"> </w:t>
      </w: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r>
        <w:t xml:space="preserve"> </w:t>
      </w: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r>
        <w:t xml:space="preserve"> </w:t>
      </w:r>
      <w:r>
        <w:rPr>
          <w:iCs/>
          <w:i/>
        </w:rPr>
        <w:t xml:space="preserve">abuse_frequency2</w:t>
      </w:r>
      <w:r>
        <w:t xml:space="preserve">: abuse_frequency2 indicates respondents frequently experienced both types of abuse during childhood. The reference category is never having experienced emotional or physical abuse.</w:t>
      </w:r>
      <w:r>
        <w:t xml:space="preserve"> </w:t>
      </w:r>
      <w:r>
        <w:rPr>
          <w:iCs/>
          <w:i/>
        </w:rPr>
        <w:t xml:space="preserve">health</w:t>
      </w:r>
      <w:r>
        <w:t xml:space="preserve">: Adolescent health problems are measured by self-rated physical and mental health at age 16.</w:t>
      </w:r>
    </w:p>
    <w:bookmarkEnd w:id="211"/>
    <w:bookmarkStart w:id="212" w:name="adult-characteristics"/>
    <w:p>
      <w:pPr>
        <w:pStyle w:val="Heading4"/>
      </w:pPr>
      <w:r>
        <w:rPr>
          <w:rStyle w:val="SectionNumber"/>
        </w:rPr>
        <w:t xml:space="preserve">8.4.2.2</w:t>
      </w:r>
      <w:r>
        <w:tab/>
      </w:r>
      <w:r>
        <w:t xml:space="preserve">Adult Characteristics</w:t>
      </w:r>
    </w:p>
    <w:p>
      <w:pPr>
        <w:pStyle w:val="FirstParagraph"/>
      </w:pPr>
      <w:r>
        <w:rPr>
          <w:iCs/>
          <w:i/>
        </w:rPr>
        <w:t xml:space="preserve">age</w:t>
      </w:r>
      <w:r>
        <w:t xml:space="preserve">: Age at time of Wave 1 interview.</w:t>
      </w:r>
      <w:r>
        <w:t xml:space="preserve"> </w:t>
      </w:r>
      <w:r>
        <w:rPr>
          <w:iCs/>
          <w:i/>
        </w:rPr>
        <w:t xml:space="preserve">nonwhite</w:t>
      </w:r>
      <w:r>
        <w:t xml:space="preserve">: Race (white or nonwhite).</w:t>
      </w:r>
      <w:r>
        <w:t xml:space="preserve"> </w:t>
      </w:r>
      <w:r>
        <w:rPr>
          <w:iCs/>
          <w:i/>
        </w:rPr>
        <w:t xml:space="preserve">female</w:t>
      </w:r>
      <w:r>
        <w:t xml:space="preserve">: Gender (female or male).</w:t>
      </w:r>
      <w:r>
        <w:t xml:space="preserve"> </w:t>
      </w:r>
      <w:r>
        <w:rPr>
          <w:iCs/>
          <w:i/>
        </w:rPr>
        <w:t xml:space="preserve">educate</w:t>
      </w:r>
      <w:r>
        <w:t xml:space="preserve">: Number of years of completed education.</w:t>
      </w:r>
      <w:r>
        <w:t xml:space="preserve"> </w:t>
      </w:r>
      <w:r>
        <w:rPr>
          <w:iCs/>
          <w:i/>
        </w:rPr>
        <w:t xml:space="preserve">catincome</w:t>
      </w:r>
      <w:r>
        <w:t xml:space="preserve">: Household income adjusted by household size and recoded into five percentile categories (&lt; 21st</w:t>
      </w:r>
      <w:r>
        <w:t xml:space="preserve"> </w:t>
      </w:r>
      <w:r>
        <w:rPr>
          <w:iCs/>
          <w:i/>
        </w:rPr>
        <w:t xml:space="preserve">percentile, 21st to 40th percentile41st to 60th percentile, 61st to 80th percentile, and &gt; 80th percentile.).</w:t>
      </w:r>
      <w:r>
        <w:rPr>
          <w:iCs/>
          <w:i/>
        </w:rPr>
        <w:t xml:space="preserve"> </w:t>
      </w:r>
      <w:r>
        <w:t xml:space="preserve">a1sj6</w:t>
      </w:r>
      <w:r>
        <w:rPr>
          <w:iCs/>
          <w:i/>
        </w:rPr>
        <w:t xml:space="preserve">: Financial strain during adulthood; responses range from 1 (no difficulty paying monthly bills) to 3 (very difficult to pay monthly bills).</w:t>
      </w:r>
      <w:r>
        <w:rPr>
          <w:iCs/>
          <w:i/>
        </w:rPr>
        <w:t xml:space="preserve"> </w:t>
      </w:r>
      <w:r>
        <w:t xml:space="preserve">smoke_dose</w:t>
      </w:r>
      <w:r>
        <w:rPr>
          <w:iCs/>
          <w:i/>
        </w:rP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r>
        <w:rPr>
          <w:iCs/>
          <w:i/>
        </w:rPr>
        <w:t xml:space="preserve"> </w:t>
      </w:r>
      <w:r>
        <w:t xml:space="preserve">heavydr2</w:t>
      </w:r>
      <w:r>
        <w:rPr>
          <w:iCs/>
          <w:i/>
        </w:rPr>
        <w:t xml:space="preserve">: The measurement of heavy drinking is sex differentiated and tapped respondents’ period of greatest lifetime consumption: five or more drinks per day for men and four or more drinks for women.</w:t>
      </w:r>
      <w:r>
        <w:rPr>
          <w:iCs/>
          <w:i/>
        </w:rPr>
        <w:t xml:space="preserve"> </w:t>
      </w:r>
      <w:r>
        <w:t xml:space="preserve">obese</w:t>
      </w:r>
      <w:r>
        <w:rPr>
          <w:iCs/>
          <w:i/>
        </w:rPr>
        <w:t xml:space="preserve">: Obesity, dummy variable coded 1 if body mass index [kg/m2] &gt; 30.</w:t>
      </w:r>
      <w:r>
        <w:rPr>
          <w:iCs/>
          <w:i/>
        </w:rPr>
        <w:t xml:space="preserve"> </w:t>
      </w:r>
      <w:r>
        <w:t xml:space="preserve">fampos</w:t>
      </w:r>
      <w:r>
        <w:rPr>
          <w:iCs/>
          <w:i/>
        </w:rPr>
        <w:t xml:space="preserve">: Family support as measured by four items reflecting the presence of positive relationship characteristics.</w:t>
      </w:r>
      <w:r>
        <w:rPr>
          <w:iCs/>
          <w:i/>
        </w:rPr>
        <w:t xml:space="preserve"> </w:t>
      </w:r>
      <w:r>
        <w:t xml:space="preserve">friendpos</w:t>
      </w:r>
      <w:r>
        <w:rPr>
          <w:iCs/>
          <w:i/>
        </w:rPr>
        <w:t xml:space="preserve">: Friend support as measured by four items reflecting the presence of positive relationship characteristics.</w:t>
      </w:r>
      <w:r>
        <w:rPr>
          <w:iCs/>
          <w:i/>
        </w:rPr>
        <w:t xml:space="preserve"> </w:t>
      </w:r>
      <w:r>
        <w:t xml:space="preserve">famneg</w:t>
      </w:r>
      <w:r>
        <w:rPr>
          <w:iCs/>
          <w:i/>
        </w:rPr>
        <w:t xml:space="preserve">: Family strain as measured by four items reflecting the presence of difficult relationship characteristics.</w:t>
      </w:r>
      <w:r>
        <w:rPr>
          <w:iCs/>
          <w:i/>
        </w:rPr>
        <w:t xml:space="preserve"> </w:t>
      </w:r>
      <w:r>
        <w:t xml:space="preserve">friendneg</w:t>
      </w:r>
      <w:r>
        <w:rPr>
          <w:iCs/>
          <w:i/>
        </w:rPr>
        <w:t xml:space="preserve">: Friend strain as measured by four items reflecting the presence of difficult relationship characteristics.</w:t>
      </w:r>
      <w:r>
        <w:rPr>
          <w:iCs/>
          <w:i/>
        </w:rPr>
        <w:t xml:space="preserve"> </w:t>
      </w:r>
      <w:r>
        <w:t xml:space="preserve">integration</w:t>
      </w:r>
      <w:r>
        <w:rPr>
          <w:iCs/>
          <w:i/>
        </w:rPr>
        <w:t xml:space="preserve">: Social integration as measured by three 7-item Likert–type questions.</w:t>
      </w:r>
      <w:r>
        <w:rPr>
          <w:iCs/>
          <w:i/>
        </w:rPr>
        <w:t xml:space="preserve"> </w:t>
      </w:r>
      <w:r>
        <w:t xml:space="preserve">ever_divor</w:t>
      </w:r>
      <w:r>
        <w:rPr>
          <w:iCs/>
          <w:i/>
        </w:rPr>
        <w:t xml:space="preserve">: Ever divorced, a dummy variable coded 1 if the respondent reported having been divorced.</w:t>
      </w:r>
      <w:r>
        <w:rPr>
          <w:iCs/>
          <w:i/>
        </w:rPr>
        <w:t xml:space="preserve"> </w:t>
      </w:r>
      <w:r>
        <w:t xml:space="preserve">controlw1*: Average score for a 12-item index of the respondent’s feelings of personal control.</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212"/>
    <w:bookmarkEnd w:id="213"/>
    <w:bookmarkEnd w:id="214"/>
    <w:bookmarkStart w:id="220" w:name="single-predictor-model-1"/>
    <w:p>
      <w:pPr>
        <w:pStyle w:val="Heading2"/>
      </w:pPr>
      <w:r>
        <w:rPr>
          <w:rStyle w:val="SectionNumber"/>
        </w:rPr>
        <w:t xml:space="preserve">8.5</w:t>
      </w:r>
      <w:r>
        <w:tab/>
      </w:r>
      <w:r>
        <w:t xml:space="preserve">Single Predictor Model</w:t>
      </w:r>
    </w:p>
    <w:p>
      <w:pPr>
        <w:pStyle w:val="FirstParagraph"/>
      </w:pPr>
      <w:r>
        <w:t xml:space="preserve">Let’s fit a single predictor Poisson regression model for morbidity at Wave 1 using income bracket as our predictor. For now let’s treat income bracket as a continuous predictor.</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Start w:id="215" w:name="overdispersion-1"/>
    <w:p>
      <w:pPr>
        <w:pStyle w:val="Heading3"/>
      </w:pPr>
      <w:r>
        <w:rPr>
          <w:rStyle w:val="SectionNumber"/>
        </w:rPr>
        <w:t xml:space="preserve">8.5.1</w:t>
      </w:r>
      <w:r>
        <w:tab/>
      </w:r>
      <w:r>
        <w:t xml:space="preserve">Overdispersion</w:t>
      </w:r>
    </w:p>
    <w:p>
      <w:pPr>
        <w:pStyle w:val="FirstParagraph"/>
      </w:pPr>
      <w:r>
        <w:t xml:space="preserve">We can think about the deviance as a measure of how well the model fits the data. 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 If this value greatly exceeds one it may be indicative of overdispersion.</w:t>
      </w:r>
    </w:p>
    <w:p>
      <w:pPr>
        <w:pStyle w:val="BodyText"/>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GOF test indicates that the Poisson model fits does not fit the data</w:t>
      </w:r>
      <w:r>
        <w:t xml:space="preserve"> </w:t>
      </w:r>
      <m:oMath>
        <m:r>
          <m:rPr>
            <m:sty m:val="p"/>
          </m:rPr>
          <m:t>(</m:t>
        </m:r>
        <m:r>
          <m:t>p</m:t>
        </m:r>
        <m:r>
          <m:rPr>
            <m:sty m:val="p"/>
          </m:rPr>
          <m:t>&gt;</m:t>
        </m:r>
        <m:r>
          <m:t>0.05</m:t>
        </m:r>
        <m:r>
          <m:rPr>
            <m:sty m:val="p"/>
          </m:rPr>
          <m:t>)</m:t>
        </m:r>
      </m:oMath>
      <w:r>
        <w:t xml:space="preserve">. This suggests there may be a problem with overdispersion.</w:t>
      </w:r>
      <w:r>
        <w:t xml:space="preserve"> </w:t>
      </w:r>
      <w:r>
        <w:rPr>
          <w:iCs/>
          <w:i/>
        </w:rPr>
        <w:t xml:space="preserve">Overdispersion indicates there is greater variability in the data than would be expected based on the model.</w:t>
      </w:r>
      <w:r>
        <w:t xml:space="preserve"> </w:t>
      </w:r>
      <w:r>
        <w:t xml:space="preserve">Overdispersion is often encountered when fitting simple Poisson regression models. The Poisson distribution has one free parameter and does not allow for the variance to be adjusted independently of the mean. If overdispersion is present the resultant model may yield biased parameter estimates and underestimated standard errors, possibly leading to invalid conclusions.</w:t>
      </w:r>
    </w:p>
    <w:bookmarkEnd w:id="215"/>
    <w:bookmarkStart w:id="219" w:name="interpretation-2"/>
    <w:p>
      <w:pPr>
        <w:pStyle w:val="Heading3"/>
      </w:pPr>
      <w:r>
        <w:rPr>
          <w:rStyle w:val="SectionNumber"/>
        </w:rPr>
        <w:t xml:space="preserve">8.5.2</w:t>
      </w:r>
      <w:r>
        <w:tab/>
      </w:r>
      <w:r>
        <w:t xml:space="preserve">Interpretation</w:t>
      </w:r>
    </w:p>
    <w:bookmarkStart w:id="216" w:name="intercept"/>
    <w:p>
      <w:pPr>
        <w:pStyle w:val="Heading4"/>
      </w:pPr>
      <w:r>
        <w:rPr>
          <w:rStyle w:val="SectionNumber"/>
        </w:rPr>
        <w:t xml:space="preserve">8.5.2.1</w:t>
      </w:r>
      <w:r>
        <w:tab/>
      </w:r>
      <w:r>
        <w:t xml:space="preserve">Intercept</w:t>
      </w:r>
    </w:p>
    <w:p>
      <w:pPr>
        <w:pStyle w:val="FirstParagraph"/>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t xml:space="preserve">We can also exponentiate the intercept,</w:t>
      </w:r>
      <w:r>
        <w:t xml:space="preserve"> </w:t>
      </w:r>
      <m:oMath>
        <m:r>
          <m:t>e</m:t>
        </m:r>
        <m:r>
          <m:t>x</m:t>
        </m:r>
        <m:r>
          <m:t>p</m:t>
        </m:r>
        <m:r>
          <m:rPr>
            <m:sty m:val="p"/>
          </m:rPr>
          <m:t>(</m:t>
        </m:r>
        <m:r>
          <m:t>1.007</m:t>
        </m:r>
        <m:r>
          <m:rPr>
            <m:sty m:val="p"/>
          </m:rPr>
          <m:t>)</m:t>
        </m:r>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End w:id="216"/>
    <w:bookmarkStart w:id="218" w:name="slope"/>
    <w:p>
      <w:pPr>
        <w:pStyle w:val="Heading4"/>
      </w:pPr>
      <w:r>
        <w:rPr>
          <w:rStyle w:val="SectionNumber"/>
        </w:rPr>
        <w:t xml:space="preserve">8.5.2.2</w:t>
      </w:r>
      <w:r>
        <w:tab/>
      </w:r>
      <w:r>
        <w:t xml:space="preserve">Slope</w:t>
      </w:r>
    </w:p>
    <w:p>
      <w:pPr>
        <w:pStyle w:val="FirstParagraph"/>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 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9-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End w:id="219"/>
    <w:bookmarkEnd w:id="220"/>
    <w:bookmarkStart w:id="222"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r>
            <m:rPr>
              <m:sty m:val="p"/>
            </m:rPr>
            <m:t>(</m:t>
          </m:r>
          <m:r>
            <m:t>m</m:t>
          </m:r>
          <m:r>
            <m:t>o</m:t>
          </m:r>
          <m:r>
            <m:t>r</m:t>
          </m:r>
          <m:r>
            <m:t>b</m:t>
          </m:r>
          <m:r>
            <m:t>i</m:t>
          </m:r>
          <m:r>
            <m:t>d</m:t>
          </m:r>
          <m:r>
            <m:t>i</m:t>
          </m:r>
          <m:r>
            <m:t>t</m:t>
          </m:r>
          <m:sSub>
            <m:e>
              <m:r>
                <m:t>y</m:t>
              </m:r>
            </m:e>
            <m:sub>
              <m:r>
                <m:t>i</m:t>
              </m:r>
            </m:sub>
          </m:sSub>
          <m:r>
            <m:rPr>
              <m:sty m:val="p"/>
            </m:rPr>
            <m:t>)</m:t>
          </m:r>
          <m:r>
            <m:rPr>
              <m:sty m:val="p"/>
            </m:rPr>
            <m:t>=</m:t>
          </m:r>
          <m:sSub>
            <m:e>
              <m:r>
                <m:t>b</m:t>
              </m:r>
            </m:e>
            <m:sub>
              <m:r>
                <m:t>0</m:t>
              </m:r>
            </m:sub>
          </m:sSub>
          <m:r>
            <m:rPr>
              <m:sty m:val="p"/>
            </m:rPr>
            <m:t>+</m:t>
          </m:r>
          <m:sSub>
            <m:e>
              <m:r>
                <m:t>b</m:t>
              </m:r>
            </m:e>
            <m:sub>
              <m:r>
                <m:t>1</m:t>
              </m:r>
            </m:sub>
          </m:sSub>
          <m:r>
            <m:rPr>
              <m:sty m:val="p"/>
            </m:rPr>
            <m:t>(</m:t>
          </m:r>
          <m:r>
            <m:t>a</m:t>
          </m:r>
          <m:r>
            <m:t>b</m:t>
          </m:r>
          <m:r>
            <m:t>u</m:t>
          </m:r>
          <m:r>
            <m:t>s</m:t>
          </m:r>
          <m:r>
            <m:t>e</m:t>
          </m:r>
          <m:r>
            <m:rPr>
              <m:sty m:val="p"/>
            </m:rPr>
            <m:t>_</m:t>
          </m:r>
          <m:r>
            <m:t>r</m:t>
          </m:r>
          <m:r>
            <m:t>a</m:t>
          </m:r>
          <m:r>
            <m:t>r</m:t>
          </m:r>
          <m:sSub>
            <m:e>
              <m:r>
                <m:t>e</m:t>
              </m:r>
            </m:e>
            <m:sub>
              <m:r>
                <m:t>i</m:t>
              </m:r>
            </m:sub>
          </m:sSub>
          <m:r>
            <m:rPr>
              <m:sty m:val="p"/>
            </m:rPr>
            <m:t>)</m:t>
          </m:r>
          <m:r>
            <m:rPr>
              <m:sty m:val="p"/>
            </m:rPr>
            <m:t>+</m:t>
          </m:r>
          <m:sSub>
            <m:e>
              <m:r>
                <m:t>b</m:t>
              </m:r>
            </m:e>
            <m:sub>
              <m:r>
                <m:t>2</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sSub>
            <m:e>
              <m:r>
                <m:t>b</m:t>
              </m:r>
            </m:e>
            <m:sub>
              <m:r>
                <m:t>3</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r>
            <m:t>a</m:t>
          </m:r>
          <m:r>
            <m:t>b</m:t>
          </m:r>
          <m:r>
            <m:t>u</m:t>
          </m:r>
          <m:r>
            <m:t>s</m:t>
          </m:r>
          <m:r>
            <m:t>e</m:t>
          </m:r>
          <m:r>
            <m:rPr>
              <m:sty m:val="p"/>
            </m:rPr>
            <m:t>_</m:t>
          </m:r>
          <m:r>
            <m:t>r</m:t>
          </m:r>
          <m:r>
            <m:t>a</m:t>
          </m:r>
          <m:r>
            <m:t>r</m:t>
          </m:r>
          <m:sSub>
            <m:e>
              <m:r>
                <m:t>e</m:t>
              </m:r>
            </m:e>
            <m:sub>
              <m:r>
                <m:t>i</m:t>
              </m:r>
            </m:sub>
          </m:sSub>
          <m:r>
            <m:rPr>
              <m:sty m:val="p"/>
            </m:rPr>
            <m:t>)</m:t>
          </m:r>
        </m:oMath>
      </m:oMathPara>
    </w:p>
    <w:p>
      <w:pPr>
        <w:pStyle w:val="FirstParagraph"/>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0</m:t>
        </m:r>
        <m:r>
          <m:rPr>
            <m:sty m:val="p"/>
          </m:rPr>
          <m:t>)</m:t>
        </m:r>
      </m:oMath>
      <w:r>
        <w:t xml:space="preserve">.</w:t>
      </w:r>
    </w:p>
    <w:p>
      <w:pPr>
        <w:pStyle w:val="BodyText"/>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1</m:t>
        </m:r>
        <m:r>
          <m:rPr>
            <m:sty m:val="p"/>
          </m:rPr>
          <m:t>)</m:t>
        </m:r>
      </m:oMath>
      <w:r>
        <w:t xml:space="preserve">. Note that neither</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2"/>
    <w:bookmarkStart w:id="253"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224"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224"/>
    <w:bookmarkStart w:id="252"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r>
          <m:rPr>
            <m:sty m:val="p"/>
          </m:rPr>
          <m:t>(</m:t>
        </m:r>
        <m:r>
          <m:t>l</m:t>
        </m:r>
        <m:r>
          <m:t>o</m:t>
        </m:r>
        <m:r>
          <m:t>g</m:t>
        </m:r>
        <m:r>
          <m:t>L</m:t>
        </m:r>
        <m:r>
          <m:t>i</m:t>
        </m:r>
        <m:r>
          <m:t>k</m:t>
        </m:r>
        <m:r>
          <m:rPr>
            <m:sty m:val="p"/>
          </m:rPr>
          <m:t>(</m:t>
        </m:r>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r>
          <m:rPr>
            <m:sty m:val="p"/>
          </m:rPr>
          <m:t>–</m:t>
        </m:r>
        <m:r>
          <m:t>l</m:t>
        </m:r>
        <m:r>
          <m:t>o</m:t>
        </m:r>
        <m:r>
          <m:t>g</m:t>
        </m:r>
        <m:r>
          <m:t>L</m:t>
        </m:r>
        <m:r>
          <m:t>i</m:t>
        </m:r>
        <m:r>
          <m:t>k</m:t>
        </m:r>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r>
          <m:rPr>
            <m:sty m:val="p"/>
          </m:rPr>
          <m:t>)</m:t>
        </m:r>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Start w:id="251" w:name="refs"/>
    <w:bookmarkStart w:id="226"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225">
        <w:r>
          <w:rPr>
            <w:rStyle w:val="Hyperlink"/>
          </w:rPr>
          <w:t xml:space="preserve">https://CRAN.R-project.org/package=marginaleffects</w:t>
        </w:r>
      </w:hyperlink>
      <w:r>
        <w:t xml:space="preserve">.</w:t>
      </w:r>
    </w:p>
    <w:bookmarkEnd w:id="226"/>
    <w:bookmarkStart w:id="228"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227">
        <w:r>
          <w:rPr>
            <w:rStyle w:val="Hyperlink"/>
          </w:rPr>
          <w:t xml:space="preserve">https://doi.org/10.1177/0003122415619617</w:t>
        </w:r>
      </w:hyperlink>
      <w:r>
        <w:t xml:space="preserve">.</w:t>
      </w:r>
    </w:p>
    <w:bookmarkEnd w:id="228"/>
    <w:bookmarkStart w:id="230"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229">
        <w:r>
          <w:rPr>
            <w:rStyle w:val="Hyperlink"/>
          </w:rPr>
          <w:t xml:space="preserve">https://socialsciences.mcmaster.ca/jfox/Books/Companion/</w:t>
        </w:r>
      </w:hyperlink>
      <w:r>
        <w:t xml:space="preserve">.</w:t>
      </w:r>
    </w:p>
    <w:bookmarkEnd w:id="230"/>
    <w:bookmarkStart w:id="232"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231">
        <w:r>
          <w:rPr>
            <w:rStyle w:val="Hyperlink"/>
          </w:rPr>
          <w:t xml:space="preserve">https://doi.org/10.1007/978-1-4613-0893-5_17</w:t>
        </w:r>
      </w:hyperlink>
      <w:r>
        <w:t xml:space="preserve">.</w:t>
      </w:r>
    </w:p>
    <w:bookmarkEnd w:id="232"/>
    <w:bookmarkStart w:id="234"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233">
        <w:r>
          <w:rPr>
            <w:rStyle w:val="Hyperlink"/>
          </w:rPr>
          <w:t xml:space="preserve">https://doi.org/10.1016/B978-0-12-724960-5.50010-X</w:t>
        </w:r>
      </w:hyperlink>
      <w:r>
        <w:t xml:space="preserve">.</w:t>
      </w:r>
    </w:p>
    <w:bookmarkEnd w:id="234"/>
    <w:bookmarkStart w:id="236"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235">
        <w:r>
          <w:rPr>
            <w:rStyle w:val="Hyperlink"/>
          </w:rPr>
          <w:t xml:space="preserve">https://doi.org/10.2307/1130295</w:t>
        </w:r>
      </w:hyperlink>
      <w:r>
        <w:t xml:space="preserve">.</w:t>
      </w:r>
    </w:p>
    <w:bookmarkEnd w:id="236"/>
    <w:bookmarkStart w:id="237"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237"/>
    <w:bookmarkStart w:id="239"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238">
        <w:r>
          <w:rPr>
            <w:rStyle w:val="Hyperlink"/>
          </w:rPr>
          <w:t xml:space="preserve">https://doi.org/10.1080/00221325.1972.10533131</w:t>
        </w:r>
      </w:hyperlink>
      <w:r>
        <w:t xml:space="preserve">.</w:t>
      </w:r>
    </w:p>
    <w:bookmarkEnd w:id="239"/>
    <w:bookmarkStart w:id="241"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240">
        <w:r>
          <w:rPr>
            <w:rStyle w:val="Hyperlink"/>
          </w:rPr>
          <w:t xml:space="preserve">https://CRAN.R-project.org/package=psych</w:t>
        </w:r>
      </w:hyperlink>
      <w:r>
        <w:t xml:space="preserve">.</w:t>
      </w:r>
    </w:p>
    <w:bookmarkEnd w:id="241"/>
    <w:bookmarkStart w:id="243"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242">
        <w:r>
          <w:rPr>
            <w:rStyle w:val="Hyperlink"/>
          </w:rPr>
          <w:t xml:space="preserve">https://CRAN.R-project.org/package=naniar</w:t>
        </w:r>
      </w:hyperlink>
      <w:r>
        <w:t xml:space="preserve">.</w:t>
      </w:r>
    </w:p>
    <w:bookmarkEnd w:id="243"/>
    <w:bookmarkStart w:id="245"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244">
        <w:r>
          <w:rPr>
            <w:rStyle w:val="Hyperlink"/>
          </w:rPr>
          <w:t xml:space="preserve">https://www.stats.ox.ac.uk/pub/MASS4/</w:t>
        </w:r>
      </w:hyperlink>
      <w:r>
        <w:t xml:space="preserve">.</w:t>
      </w:r>
    </w:p>
    <w:bookmarkEnd w:id="245"/>
    <w:bookmarkStart w:id="246"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246"/>
    <w:bookmarkStart w:id="24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247">
        <w:r>
          <w:rPr>
            <w:rStyle w:val="Hyperlink"/>
          </w:rPr>
          <w:t xml:space="preserve">https://ggplot2.tidyverse.org</w:t>
        </w:r>
      </w:hyperlink>
      <w:r>
        <w:t xml:space="preserve">.</w:t>
      </w:r>
    </w:p>
    <w:bookmarkEnd w:id="248"/>
    <w:bookmarkStart w:id="250" w:name="ref-tidyr"/>
    <w:p>
      <w:pPr>
        <w:pStyle w:val="Bibliography"/>
      </w:pPr>
      <w:r>
        <w:t xml:space="preserve">———. 2021.</w:t>
      </w:r>
      <w:r>
        <w:t xml:space="preserve"> </w:t>
      </w:r>
      <w:r>
        <w:rPr>
          <w:iCs/>
          <w:i/>
        </w:rPr>
        <w:t xml:space="preserve">Tidyr: Tidy Messy Data</w:t>
      </w:r>
      <w:r>
        <w:t xml:space="preserve">.</w:t>
      </w:r>
      <w:r>
        <w:t xml:space="preserve"> </w:t>
      </w:r>
      <w:hyperlink r:id="rId249">
        <w:r>
          <w:rPr>
            <w:rStyle w:val="Hyperlink"/>
          </w:rPr>
          <w:t xml:space="preserve">https://CRAN.R-project.org/package=tidyr</w:t>
        </w:r>
      </w:hyperlink>
      <w:r>
        <w:t xml:space="preserve">.</w:t>
      </w:r>
    </w:p>
    <w:bookmarkEnd w:id="250"/>
    <w:bookmarkEnd w:id="251"/>
    <w:bookmarkEnd w:id="252"/>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206" Target="media/rId206.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25" Target="https://CRAN.R-project.org/package=marginaleffects" TargetMode="External" /><Relationship Type="http://schemas.openxmlformats.org/officeDocument/2006/relationships/hyperlink" Id="rId242" Target="https://CRAN.R-project.org/package=naniar" TargetMode="External" /><Relationship Type="http://schemas.openxmlformats.org/officeDocument/2006/relationships/hyperlink" Id="rId240" Target="https://CRAN.R-project.org/package=psych" TargetMode="External" /><Relationship Type="http://schemas.openxmlformats.org/officeDocument/2006/relationships/hyperlink" Id="rId249"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31" Target="https://doi.org/10.1007/978-1-4613-0893-5_17" TargetMode="External" /><Relationship Type="http://schemas.openxmlformats.org/officeDocument/2006/relationships/hyperlink" Id="rId233" Target="https://doi.org/10.1016/B978-0-12-724960-5.50010-X" TargetMode="External" /><Relationship Type="http://schemas.openxmlformats.org/officeDocument/2006/relationships/hyperlink" Id="rId238" Target="https://doi.org/10.1080/00221325.1972.10533131" TargetMode="External" /><Relationship Type="http://schemas.openxmlformats.org/officeDocument/2006/relationships/hyperlink" Id="rId227" Target="https://doi.org/10.1177/0003122415619617" TargetMode="External" /><Relationship Type="http://schemas.openxmlformats.org/officeDocument/2006/relationships/hyperlink" Id="rId235"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247"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29"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244" Target="https://www.stats.ox.ac.uk/pub/MASS4/"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25" Target="https://CRAN.R-project.org/package=marginaleffects" TargetMode="External" /><Relationship Type="http://schemas.openxmlformats.org/officeDocument/2006/relationships/hyperlink" Id="rId242" Target="https://CRAN.R-project.org/package=naniar" TargetMode="External" /><Relationship Type="http://schemas.openxmlformats.org/officeDocument/2006/relationships/hyperlink" Id="rId240" Target="https://CRAN.R-project.org/package=psych" TargetMode="External" /><Relationship Type="http://schemas.openxmlformats.org/officeDocument/2006/relationships/hyperlink" Id="rId249"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31" Target="https://doi.org/10.1007/978-1-4613-0893-5_17" TargetMode="External" /><Relationship Type="http://schemas.openxmlformats.org/officeDocument/2006/relationships/hyperlink" Id="rId233" Target="https://doi.org/10.1016/B978-0-12-724960-5.50010-X" TargetMode="External" /><Relationship Type="http://schemas.openxmlformats.org/officeDocument/2006/relationships/hyperlink" Id="rId238" Target="https://doi.org/10.1080/00221325.1972.10533131" TargetMode="External" /><Relationship Type="http://schemas.openxmlformats.org/officeDocument/2006/relationships/hyperlink" Id="rId227" Target="https://doi.org/10.1177/0003122415619617" TargetMode="External" /><Relationship Type="http://schemas.openxmlformats.org/officeDocument/2006/relationships/hyperlink" Id="rId235"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247"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29"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244"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2022-02-03T17:43:32Z</dcterms:created>
  <dcterms:modified xsi:type="dcterms:W3CDTF">2022-02-03T17:43:32Z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2022-02-03</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yes</vt:lpwstr>
  </property>
  <property fmtid="{D5CDD505-2E9C-101B-9397-08002B2CF9AE}" pid="11" name="site">
    <vt:lpwstr>bookdown::bookdown_site</vt:lpwstr>
  </property>
</Properties>
</file>