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51.png" ContentType="image/png"/>
  <Override PartName="/word/media/rId55.png" ContentType="image/png"/>
  <Override PartName="/word/media/rId59.png" ContentType="image/png"/>
  <Override PartName="/word/media/rId62.png" ContentType="image/png"/>
  <Override PartName="/word/media/rId67.png" ContentType="image/png"/>
  <Override PartName="/word/media/rId70.png" ContentType="image/png"/>
  <Override PartName="/word/media/rId73.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118.png" ContentType="image/png"/>
  <Override PartName="/word/media/rId121.png" ContentType="image/png"/>
  <Override PartName="/word/media/rId112.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2023-01-23</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the original R markdown files for the course were developed by Nilam Ram and Zita Oravecz.</w:t>
      </w:r>
    </w:p>
    <w:bookmarkEnd w:id="25"/>
    <w:bookmarkEnd w:id="26"/>
    <w:bookmarkStart w:id="49"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2"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1"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SourceCode"/>
      </w:pPr>
      <w:r>
        <w:rPr>
          <w:rStyle w:val="VerbatimChar"/>
        </w:rPr>
        <w:t xml:space="preserve">## Warning: `gather_()` was deprecated in tidyr 1.2.0.</w:t>
      </w:r>
      <w:r>
        <w:br/>
      </w:r>
      <w:r>
        <w:rPr>
          <w:rStyle w:val="VerbatimChar"/>
        </w:rPr>
        <w:t xml:space="preserve">## ℹ Please use `gather()` instead.</w:t>
      </w:r>
      <w:r>
        <w:br/>
      </w:r>
      <w:r>
        <w:rPr>
          <w:rStyle w:val="VerbatimChar"/>
        </w:rPr>
        <w:t xml:space="preserve">## ℹ The deprecated feature was likely used in the visdat package.</w:t>
      </w:r>
      <w:r>
        <w:br/>
      </w:r>
      <w:r>
        <w:rPr>
          <w:rStyle w:val="VerbatimChar"/>
        </w:rPr>
        <w:t xml:space="preserve">##   Please report the issue at &lt;]8;;https://github.com/ropensci/visdat/issueshttps://github.com/ropensci/visdat/issues]8;;&gt;.</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0">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1"/>
    <w:bookmarkEnd w:id="42"/>
    <w:bookmarkStart w:id="44"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3">
        <w:r>
          <w:rPr>
            <w:rStyle w:val="Hyperlink"/>
          </w:rPr>
          <w:t xml:space="preserve">http://www.statmethods.net/input/exportingdata.html</w:t>
        </w:r>
      </w:hyperlink>
      <w:r>
        <w:t xml:space="preserve">.</w:t>
      </w:r>
    </w:p>
    <w:bookmarkEnd w:id="44"/>
    <w:bookmarkStart w:id="48"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45"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45"/>
    <w:bookmarkStart w:id="47"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46">
        <w:r>
          <w:rPr>
            <w:rStyle w:val="Hyperlink"/>
          </w:rPr>
          <w:t xml:space="preserve">tidyr vignette on pivoting</w:t>
        </w:r>
      </w:hyperlink>
      <w:r>
        <w:t xml:space="preserve">.</w:t>
      </w:r>
    </w:p>
    <w:bookmarkEnd w:id="47"/>
    <w:bookmarkEnd w:id="48"/>
    <w:bookmarkEnd w:id="49"/>
    <w:bookmarkStart w:id="98"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0"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0"/>
    <w:bookmarkStart w:id="66"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54"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p>
    <w:p>
      <w:pPr>
        <w:pStyle w:val="FirstParagraph"/>
      </w:pPr>
      <w:r>
        <w:drawing>
          <wp:inline>
            <wp:extent cx="5334000" cy="4267200"/>
            <wp:effectExtent b="0" l="0" r="0" t="0"/>
            <wp:docPr descr="" title="" id="52" name="Picture"/>
            <a:graphic>
              <a:graphicData uri="http://schemas.openxmlformats.org/drawingml/2006/picture">
                <pic:pic>
                  <pic:nvPicPr>
                    <pic:cNvPr descr="_main_files/figure-docx/unnamed-chunk-23-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65"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56" name="Picture"/>
            <a:graphic>
              <a:graphicData uri="http://schemas.openxmlformats.org/drawingml/2006/picture">
                <pic:pic>
                  <pic:nvPicPr>
                    <pic:cNvPr descr="_main_files/figure-docx/unnamed-chunk-26-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58">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0" name="Picture"/>
            <a:graphic>
              <a:graphicData uri="http://schemas.openxmlformats.org/drawingml/2006/picture">
                <pic:pic>
                  <pic:nvPicPr>
                    <pic:cNvPr descr="_main_files/figure-docx/unnamed-chunk-2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3" name="Picture"/>
            <a:graphic>
              <a:graphicData uri="http://schemas.openxmlformats.org/drawingml/2006/picture">
                <pic:pic>
                  <pic:nvPicPr>
                    <pic:cNvPr descr="_main_files/figure-docx/unnamed-chunk-28-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65"/>
    <w:bookmarkEnd w:id="66"/>
    <w:bookmarkStart w:id="76"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_main_files/figure-docx/unnamed-chunk-30-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_main_files/figure-docx/unnamed-chunk-31-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76"/>
    <w:bookmarkStart w:id="96"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78" name="Picture"/>
            <a:graphic>
              <a:graphicData uri="http://schemas.openxmlformats.org/drawingml/2006/picture">
                <pic:pic>
                  <pic:nvPicPr>
                    <pic:cNvPr descr="_main_files/figure-docx/unnamed-chunk-33-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1" name="Picture"/>
            <a:graphic>
              <a:graphicData uri="http://schemas.openxmlformats.org/drawingml/2006/picture">
                <pic:pic>
                  <pic:nvPicPr>
                    <pic:cNvPr descr="_main_files/figure-docx/unnamed-chunk-34-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95">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96"/>
    <w:bookmarkStart w:id="97" w:name="references"/>
    <w:p>
      <w:pPr>
        <w:pStyle w:val="Heading2"/>
      </w:pPr>
      <w:r>
        <w:rPr>
          <w:rStyle w:val="SectionNumber"/>
        </w:rPr>
        <w:t xml:space="preserve">3.5</w:t>
      </w:r>
      <w:r>
        <w:tab/>
      </w:r>
      <w:r>
        <w:t xml:space="preserve">References</w:t>
      </w:r>
    </w:p>
    <w:bookmarkEnd w:id="97"/>
    <w:bookmarkEnd w:id="98"/>
    <w:bookmarkStart w:id="149" w:name="chapter-4"/>
    <w:p>
      <w:pPr>
        <w:pStyle w:val="Heading1"/>
      </w:pPr>
      <w:r>
        <w:rPr>
          <w:rStyle w:val="SectionNumber"/>
        </w:rPr>
        <w:t xml:space="preserve">4</w:t>
      </w:r>
      <w:r>
        <w:tab/>
      </w:r>
      <w:r>
        <w:t xml:space="preserve">Matrix Algebra</w:t>
      </w:r>
    </w:p>
    <w:p>
      <w:pPr>
        <w:pStyle w:val="FirstParagraph"/>
      </w:pPr>
      <w:r>
        <w:t xml:space="preserve">In Chapter 4 we will briefly review some basic algebra results useful for this course. Those needing a reliable reference for basic results in matrix algebra should consult the</w:t>
      </w:r>
      <w:r>
        <w:t xml:space="preserve"> </w:t>
      </w:r>
      <w:r>
        <w:rPr>
          <w:iCs/>
          <w:i/>
        </w:rPr>
        <w:t xml:space="preserve">The Matrix Cookbook</w:t>
      </w:r>
      <w:r>
        <w:t xml:space="preserve"> </w:t>
      </w:r>
      <w:r>
        <w:t xml:space="preserve">at</w:t>
      </w:r>
      <w:r>
        <w:t xml:space="preserve"> </w:t>
      </w:r>
      <w:hyperlink r:id="rId99">
        <w:r>
          <w:rPr>
            <w:rStyle w:val="Hyperlink"/>
          </w:rPr>
          <w:t xml:space="preserve">https://www.math.uwaterloo.ca/~hwolkowi/matrixcookbook.pdf</w:t>
        </w:r>
      </w:hyperlink>
      <w:r>
        <w:t xml:space="preserve">.</w:t>
      </w:r>
    </w:p>
    <w:bookmarkStart w:id="108" w:name="types-of-matrices"/>
    <w:p>
      <w:pPr>
        <w:pStyle w:val="Heading2"/>
      </w:pPr>
      <w:r>
        <w:rPr>
          <w:rStyle w:val="SectionNumber"/>
        </w:rPr>
        <w:t xml:space="preserve">4.1</w:t>
      </w:r>
      <w:r>
        <w:tab/>
      </w:r>
      <w:r>
        <w:t xml:space="preserve">Types of matrices</w:t>
      </w:r>
    </w:p>
    <w:p>
      <w:pPr>
        <w:pStyle w:val="FirstParagraph"/>
      </w:pPr>
      <w:r>
        <w:t xml:space="preserve">Remember that matrices are defined by rows (the first dimension) and columns (the second dimension):</w:t>
      </w:r>
    </w:p>
    <w:p>
      <w:pPr>
        <w:pStyle w:val="BodyText"/>
      </w:pPr>
      <m:oMathPara>
        <m:oMathParaPr>
          <m:jc m:val="center"/>
        </m:oMathParaPr>
        <m:oMath>
          <m:limLow>
            <m:e>
              <m:r>
                <m:rPr>
                  <m:sty m:val="b"/>
                </m:rPr>
                <m:t>A</m:t>
              </m:r>
            </m:e>
            <m:lim>
              <m:r>
                <m:t>m</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r>
                  <m:e>
                    <m:sSub>
                      <m:e>
                        <m:r>
                          <m:t>a</m:t>
                        </m:r>
                      </m:e>
                      <m:sub>
                        <m:r>
                          <m:t>41</m:t>
                        </m:r>
                      </m:sub>
                    </m:sSub>
                  </m:e>
                  <m:e>
                    <m:sSub>
                      <m:e>
                        <m:r>
                          <m:t>a</m:t>
                        </m:r>
                      </m:e>
                      <m:sub>
                        <m:r>
                          <m:t>42</m:t>
                        </m:r>
                      </m:sub>
                    </m:sSub>
                  </m:e>
                  <m:e>
                    <m:sSub>
                      <m:e>
                        <m:r>
                          <m:t>a</m:t>
                        </m:r>
                      </m:e>
                      <m:sub>
                        <m:r>
                          <m:t>43</m:t>
                        </m:r>
                      </m:sub>
                    </m:sSub>
                  </m:e>
                </m:mr>
              </m:m>
            </m:e>
          </m:d>
        </m:oMath>
      </m:oMathPara>
    </w:p>
    <w:p>
      <w:pPr>
        <w:pStyle w:val="FirstParagraph"/>
      </w:pPr>
      <w:r>
        <w:t xml:space="preserve">You can refer to a specific element in matrix using a subscript of the row and column index (e.g. </w:t>
      </w:r>
      <m:oMath>
        <m:sSub>
          <m:e>
            <m:r>
              <m:t>a</m:t>
            </m:r>
          </m:e>
          <m:sub>
            <m:r>
              <m:t>31</m:t>
            </m:r>
          </m:sub>
        </m:sSub>
      </m:oMath>
      <w:r>
        <w:t xml:space="preserve">). For our purposes there are a few</w:t>
      </w:r>
      <w:r>
        <w:t xml:space="preserve"> </w:t>
      </w:r>
      <w:r>
        <w:rPr>
          <w:iCs/>
          <w:i/>
        </w:rPr>
        <w:t xml:space="preserve">special</w:t>
      </w:r>
      <w:r>
        <w:t xml:space="preserve"> </w:t>
      </w:r>
      <w:r>
        <w:t xml:space="preserve">matrices worth mentioning,</w:t>
      </w:r>
    </w:p>
    <w:bookmarkStart w:id="100" w:name="square"/>
    <w:p>
      <w:pPr>
        <w:pStyle w:val="Heading3"/>
      </w:pPr>
      <w:r>
        <w:rPr>
          <w:rStyle w:val="SectionNumber"/>
        </w:rPr>
        <w:t xml:space="preserve">4.1.1</w:t>
      </w:r>
      <w:r>
        <w:tab/>
      </w:r>
      <w:r>
        <w:t xml:space="preserve">Square</w:t>
      </w:r>
    </w:p>
    <w:p>
      <w:pPr>
        <w:pStyle w:val="FirstParagraph"/>
      </w:pPr>
      <w:r>
        <w:t xml:space="preserve">A square matrix has the same number of rows and columns. Covariance and correlation matrices are square.</w:t>
      </w:r>
    </w:p>
    <w:p>
      <w:pPr>
        <w:pStyle w:val="BodyText"/>
      </w:pPr>
      <m:oMathPara>
        <m:oMathParaPr>
          <m:jc m:val="center"/>
        </m:oMathParaPr>
        <m:oMath>
          <m:limLow>
            <m:e>
              <m:r>
                <m:rPr>
                  <m:sty m:val="b"/>
                </m:rPr>
                <m:t>A</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oMath>
      </m:oMathPara>
    </w:p>
    <w:bookmarkEnd w:id="100"/>
    <w:bookmarkStart w:id="105" w:name="symmetric"/>
    <w:p>
      <w:pPr>
        <w:pStyle w:val="Heading3"/>
      </w:pPr>
      <w:r>
        <w:rPr>
          <w:rStyle w:val="SectionNumber"/>
        </w:rPr>
        <w:t xml:space="preserve">4.1.2</w:t>
      </w:r>
      <w:r>
        <w:tab/>
      </w:r>
      <w:r>
        <w:t xml:space="preserve">Symmetric</w:t>
      </w:r>
    </w:p>
    <w:p>
      <w:pPr>
        <w:pStyle w:val="FirstParagraph"/>
      </w:pPr>
      <w:r>
        <w:t xml:space="preserve">A symmetric matrix is a square matrix that equals its transpose. This means that corresponding entries on either side of the main diagonal are equal.</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rPr>
          <w:bCs/>
          <w:b/>
        </w:rPr>
        <w:t xml:space="preserve">Matrix Transpose</w:t>
      </w:r>
    </w:p>
    <w:p>
      <w:pPr>
        <w:pStyle w:val="BodyText"/>
      </w:pPr>
      <w:r>
        <w:t xml:space="preserve">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w:t>
      </w:r>
    </w:p>
    <w:p>
      <w:pPr>
        <w:pStyle w:val="BodyText"/>
      </w:pPr>
      <w:r>
        <w:rPr>
          <w:bCs/>
          <w:b/>
        </w:rPr>
        <w:t xml:space="preserve">Graphical Depiction of a Matrix Transpose</w:t>
      </w:r>
    </w:p>
    <w:p>
      <w:pPr>
        <w:pStyle w:val="CaptionedFigure"/>
      </w:pPr>
      <w:r>
        <w:drawing>
          <wp:inline>
            <wp:extent cx="5334000" cy="1750637"/>
            <wp:effectExtent b="0" l="0" r="0" t="0"/>
            <wp:docPr descr="https://leetcode.com/problems/transpose-matrix/" title="" id="102" name="Picture"/>
            <a:graphic>
              <a:graphicData uri="http://schemas.openxmlformats.org/drawingml/2006/picture">
                <pic:pic>
                  <pic:nvPicPr>
                    <pic:cNvPr descr="imgs/transpose.png" id="103" name="Picture"/>
                    <pic:cNvPicPr>
                      <a:picLocks noChangeArrowheads="1" noChangeAspect="1"/>
                    </pic:cNvPicPr>
                  </pic:nvPicPr>
                  <pic:blipFill>
                    <a:blip r:embed="rId101"/>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04">
        <w:r>
          <w:rPr>
            <w:rStyle w:val="Hyperlink"/>
          </w:rPr>
          <w:t xml:space="preserve">https://leetcode.com/problems/transpose-matrix/</w:t>
        </w:r>
      </w:hyperlink>
    </w:p>
    <w:bookmarkEnd w:id="105"/>
    <w:bookmarkStart w:id="106" w:name="diagonal"/>
    <w:p>
      <w:pPr>
        <w:pStyle w:val="Heading3"/>
      </w:pPr>
      <w:r>
        <w:rPr>
          <w:rStyle w:val="SectionNumber"/>
        </w:rPr>
        <w:t xml:space="preserve">4.1.3</w:t>
      </w:r>
      <w:r>
        <w:tab/>
      </w:r>
      <w:r>
        <w:t xml:space="preserve">Diagonal</w:t>
      </w:r>
    </w:p>
    <w:p>
      <w:pPr>
        <w:pStyle w:val="FirstParagraph"/>
      </w:pPr>
      <w:r>
        <w:t xml:space="preserve">A diagonal matrix is a special case of a square symmetric matrix in which there are values along the diagonal, but zeros elsewhere:</w:t>
      </w:r>
    </w:p>
    <w:p>
      <w:pPr>
        <w:pStyle w:val="BodyText"/>
      </w:pPr>
      <m:oMathPara>
        <m:oMathParaPr>
          <m:jc m:val="center"/>
        </m:oMathParaPr>
        <m:oMath/>
      </m:oMathPara>
    </w:p>
    <w:p>
      <w:pPr>
        <w:pStyle w:val="FirstParagraph"/>
      </w:pPr>
    </w:p>
    <w:p>
      <w:pPr>
        <w:pStyle w:val="BodyText"/>
      </w:pPr>
      <m:oMathPara>
        <m:oMathParaPr>
          <m:jc m:val="center"/>
        </m:oMathParaPr>
        <m:oMath/>
      </m:oMathPara>
    </w:p>
    <w:bookmarkEnd w:id="106"/>
    <w:bookmarkStart w:id="107" w:name="identity"/>
    <w:p>
      <w:pPr>
        <w:pStyle w:val="Heading3"/>
      </w:pPr>
      <w:r>
        <w:rPr>
          <w:rStyle w:val="SectionNumber"/>
        </w:rPr>
        <w:t xml:space="preserve">4.1.4</w:t>
      </w:r>
      <w:r>
        <w:tab/>
      </w:r>
      <w:r>
        <w:t xml:space="preserve">Identity</w:t>
      </w:r>
    </w:p>
    <w:p>
      <w:pPr>
        <w:pStyle w:val="FirstParagraph"/>
      </w:pPr>
      <w:r>
        <w:t xml:space="preserve">An identity matrix is a special case of a diagonal matrix in which the elements of the diagonal are all 1:</w:t>
      </w:r>
    </w:p>
    <w:p>
      <w:pPr>
        <w:pStyle w:val="BodyText"/>
      </w:pPr>
      <m:oMathPara>
        <m:oMathParaPr>
          <m:jc m:val="center"/>
        </m:oMathParaPr>
        <m:oMath>
          <m:limLow>
            <m:e>
              <m:r>
                <m:rPr>
                  <m:sty m:val="b"/>
                </m:rPr>
                <m:t>I</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oMath>
      </m:oMathPara>
    </w:p>
    <w:p>
      <w:pPr>
        <w:pStyle w:val="FirstParagraph"/>
      </w:pPr>
      <w:r>
        <w:t xml:space="preserve">Any matrix multiplied by an identity matrix is unchanged.</w:t>
      </w:r>
    </w:p>
    <w:bookmarkEnd w:id="107"/>
    <w:bookmarkEnd w:id="108"/>
    <w:bookmarkStart w:id="148" w:name="operations-on-matrices"/>
    <w:p>
      <w:pPr>
        <w:pStyle w:val="Heading2"/>
      </w:pPr>
      <w:r>
        <w:rPr>
          <w:rStyle w:val="SectionNumber"/>
        </w:rPr>
        <w:t xml:space="preserve">4.2</w:t>
      </w:r>
      <w:r>
        <w:tab/>
      </w:r>
      <w:r>
        <w:t xml:space="preserve">Operations on Matrices</w:t>
      </w:r>
    </w:p>
    <w:bookmarkStart w:id="111" w:name="matrix-transpose"/>
    <w:p>
      <w:pPr>
        <w:pStyle w:val="Heading3"/>
      </w:pPr>
      <w:r>
        <w:rPr>
          <w:rStyle w:val="SectionNumber"/>
        </w:rPr>
        <w:t xml:space="preserve">4.2.1</w:t>
      </w:r>
      <w:r>
        <w:tab/>
      </w:r>
      <w:r>
        <w:t xml:space="preserve">Matrix Transpose</w:t>
      </w:r>
    </w:p>
    <w:p>
      <w:pPr>
        <w:pStyle w:val="FirstParagraph"/>
      </w:pPr>
      <w:r>
        <w:t xml:space="preserve">As stated earlier 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 Some useful properties of the matrix transpose include:</w:t>
      </w:r>
    </w:p>
    <w:p>
      <w:pPr>
        <w:pStyle w:val="BodyText"/>
      </w:pPr>
      <w:r>
        <w:t xml:space="preserve">$$
(\mathbf{A + B})' = \mathbf{A' + B'}\\
(c\mathbf{A'}) = c(\mathbf{A'}) = (\mathbf{A'})c \\
(\mathbf{A'B}) = \mathbf{B'A}\\ 
(\mathbf{AB})' = \mathbf{B'A'}\\
(\mathbf{A'})' = \mathbf{A}
$$</w:t>
      </w:r>
    </w:p>
    <w:p>
      <w:pPr>
        <w:pStyle w:val="FirstParagraph"/>
      </w:pPr>
      <w:r>
        <w:rPr>
          <w:bCs/>
          <w:b/>
        </w:rPr>
        <w:t xml:space="preserve">Graphical Depiction of a Matrix Transpose</w:t>
      </w:r>
    </w:p>
    <w:p>
      <w:pPr>
        <w:pStyle w:val="CaptionedFigure"/>
      </w:pPr>
      <w:r>
        <w:drawing>
          <wp:inline>
            <wp:extent cx="5334000" cy="1750637"/>
            <wp:effectExtent b="0" l="0" r="0" t="0"/>
            <wp:docPr descr="https://leetcode.com/problems/transpose-matrix/" title="" id="109" name="Picture"/>
            <a:graphic>
              <a:graphicData uri="http://schemas.openxmlformats.org/drawingml/2006/picture">
                <pic:pic>
                  <pic:nvPicPr>
                    <pic:cNvPr descr="imgs/transpose.png" id="110" name="Picture"/>
                    <pic:cNvPicPr>
                      <a:picLocks noChangeArrowheads="1" noChangeAspect="1"/>
                    </pic:cNvPicPr>
                  </pic:nvPicPr>
                  <pic:blipFill>
                    <a:blip r:embed="rId101"/>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04">
        <w:r>
          <w:rPr>
            <w:rStyle w:val="Hyperlink"/>
          </w:rPr>
          <w:t xml:space="preserve">https://leetcode.com/problems/transpose-matrix/</w:t>
        </w:r>
      </w:hyperlink>
    </w:p>
    <w:bookmarkEnd w:id="111"/>
    <w:bookmarkStart w:id="115" w:name="matrix-trace"/>
    <w:p>
      <w:pPr>
        <w:pStyle w:val="Heading3"/>
      </w:pPr>
      <w:r>
        <w:rPr>
          <w:rStyle w:val="SectionNumber"/>
        </w:rPr>
        <w:t xml:space="preserve">4.2.2</w:t>
      </w:r>
      <w:r>
        <w:tab/>
      </w:r>
      <w:r>
        <w:t xml:space="preserve">Matrix Trace</w:t>
      </w:r>
    </w:p>
    <w:p>
      <w:pPr>
        <w:pStyle w:val="FirstParagraph"/>
      </w:pPr>
      <w:r>
        <w:t xml:space="preserve">The</w:t>
      </w:r>
      <w:r>
        <w:t xml:space="preserve"> </w:t>
      </w:r>
      <w:r>
        <w:rPr>
          <w:iCs/>
          <w:i/>
        </w:rPr>
        <w:t xml:space="preserve">trace</w:t>
      </w:r>
      <w:r>
        <w:t xml:space="preserve"> </w:t>
      </w:r>
      <w:r>
        <w:t xml:space="preserve">of a square matrix is the sum of elements along the diagonal. The trace is only defined for a square matrix. For an</w:t>
      </w:r>
      <w:r>
        <w:t xml:space="preserve"> </w:t>
      </w:r>
      <m:oMath>
        <m:r>
          <m:t>n</m:t>
        </m:r>
        <m:r>
          <m:rPr>
            <m:sty m:val="p"/>
          </m:rPr>
          <m:t>×</m:t>
        </m:r>
        <m:r>
          <m:t>n</m:t>
        </m:r>
      </m:oMath>
      <w:r>
        <w:t xml:space="preserve"> </w:t>
      </w:r>
      <w:r>
        <w:t xml:space="preserve">matrix the trace is defined as follows:</w:t>
      </w:r>
    </w:p>
    <w:p>
      <w:pPr>
        <w:pStyle w:val="BodyText"/>
      </w:pPr>
      <m:oMathPara>
        <m:oMathParaPr>
          <m:jc m:val="center"/>
        </m:oMathParaPr>
        <m:oMath>
          <m:r>
            <m:t>t</m:t>
          </m:r>
          <m:r>
            <m:t>r</m:t>
          </m:r>
          <m:d>
            <m:dPr>
              <m:begChr m:val="("/>
              <m:endChr m:val=")"/>
              <m:sepChr m:val=""/>
              <m:grow/>
            </m:dPr>
            <m:e>
              <m:r>
                <m:rPr>
                  <m:sty m:val="b"/>
                </m:rPr>
                <m:t>A</m:t>
              </m:r>
            </m:e>
          </m:d>
          <m:r>
            <m:rPr>
              <m:sty m:val="p"/>
            </m:rPr>
            <m:t>=</m:t>
          </m:r>
          <m:nary>
            <m:naryPr>
              <m:chr m:val="∑"/>
              <m:limLoc m:val="undOvr"/>
              <m:subHide m:val="0"/>
              <m:supHide m:val="0"/>
            </m:naryPr>
            <m:sub>
              <m:r>
                <m:t>i</m:t>
              </m:r>
              <m:r>
                <m:rPr>
                  <m:sty m:val="p"/>
                </m:rPr>
                <m:t>=</m:t>
              </m:r>
              <m:r>
                <m:t>1</m:t>
              </m:r>
            </m:sub>
            <m:sup>
              <m:r>
                <m:t>n</m:t>
              </m:r>
            </m:sup>
            <m:e>
              <m:sSub>
                <m:e>
                  <m:r>
                    <m:t>a</m:t>
                  </m:r>
                </m:e>
                <m:sub>
                  <m:r>
                    <m:t>i</m:t>
                  </m:r>
                  <m:r>
                    <m:t>i</m:t>
                  </m:r>
                </m:sub>
              </m:sSub>
            </m:e>
          </m:nary>
          <m:r>
            <m:rPr>
              <m:sty m:val="p"/>
            </m:rPr>
            <m:t>=</m:t>
          </m:r>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m:oMathPara>
    </w:p>
    <w:p>
      <w:pPr>
        <w:pStyle w:val="FirstParagraph"/>
      </w:pPr>
      <w:r>
        <w:rPr>
          <w:bCs/>
          <w:b/>
        </w:rPr>
        <w:t xml:space="preserve">Graphical Depiction of a Matrix Trace</w:t>
      </w:r>
    </w:p>
    <w:p>
      <w:pPr>
        <w:pStyle w:val="BodyText"/>
      </w:pPr>
      <w:r>
        <w:drawing>
          <wp:inline>
            <wp:extent cx="4838700" cy="1676400"/>
            <wp:effectExtent b="0" l="0" r="0" t="0"/>
            <wp:docPr descr="" title="" id="113" name="Picture"/>
            <a:graphic>
              <a:graphicData uri="http://schemas.openxmlformats.org/drawingml/2006/picture">
                <pic:pic>
                  <pic:nvPicPr>
                    <pic:cNvPr descr="imgs/trace.png" id="114" name="Picture"/>
                    <pic:cNvPicPr>
                      <a:picLocks noChangeArrowheads="1" noChangeAspect="1"/>
                    </pic:cNvPicPr>
                  </pic:nvPicPr>
                  <pic:blipFill>
                    <a:blip r:embed="rId112"/>
                    <a:stretch>
                      <a:fillRect/>
                    </a:stretch>
                  </pic:blipFill>
                  <pic:spPr bwMode="auto">
                    <a:xfrm>
                      <a:off x="0" y="0"/>
                      <a:ext cx="4838700" cy="1676400"/>
                    </a:xfrm>
                    <a:prstGeom prst="rect">
                      <a:avLst/>
                    </a:prstGeom>
                    <a:noFill/>
                    <a:ln w="9525">
                      <a:noFill/>
                      <a:headEnd/>
                      <a:tailEnd/>
                    </a:ln>
                  </pic:spPr>
                </pic:pic>
              </a:graphicData>
            </a:graphic>
          </wp:inline>
        </w:drawing>
      </w:r>
    </w:p>
    <w:p>
      <w:pPr>
        <w:pStyle w:val="BodyText"/>
      </w:pPr>
      <w:r>
        <w:t xml:space="preserve">Some useful properties of the matrix trace include:</w:t>
      </w:r>
    </w:p>
    <w:p>
      <w:pPr>
        <w:pStyle w:val="BodyText"/>
      </w:pPr>
      <w:r>
        <w:t xml:space="preserve">$$
tr(\mathbf{A + B}) = tr(\mathbf{A}) + tr(\mathbf{B})\\
tr(c\mathbf{A}) = c(tr(\mathbf{A})) \\
tr(\mathbf{A}) = tr(\mathbf{A'})\\ 
tr(\mathbf{AB}) = tr(\mathbf{BA})\\
tr(\mathbf{ABC}) = tr(\mathbf{CAB})=tr(\mathbf{BCA})
$$</w:t>
      </w:r>
    </w:p>
    <w:bookmarkEnd w:id="115"/>
    <w:bookmarkStart w:id="116" w:name="addition"/>
    <w:p>
      <w:pPr>
        <w:pStyle w:val="Heading3"/>
      </w:pPr>
      <w:r>
        <w:rPr>
          <w:rStyle w:val="SectionNumber"/>
        </w:rPr>
        <w:t xml:space="preserve">4.2.3</w:t>
      </w:r>
      <w:r>
        <w:tab/>
      </w:r>
      <w:r>
        <w:t xml:space="preserve">Addition</w:t>
      </w:r>
    </w:p>
    <w:p>
      <w:pPr>
        <w:pStyle w:val="FirstParagraph"/>
      </w:pPr>
      <w:r>
        <w:t xml:space="preserve">For addition, matrices must be of the same order. Addition of two matrices is accomplished by adding corresponding elements,</w:t>
      </w:r>
      <w:r>
        <w:t xml:space="preserve"> </w:t>
      </w:r>
      <m:oMath>
        <m:sSub>
          <m:e>
            <m:r>
              <m:t>c</m:t>
            </m:r>
          </m:e>
          <m:sub>
            <m:r>
              <m:t>i</m:t>
            </m:r>
            <m:r>
              <m:t>j</m:t>
            </m:r>
          </m:sub>
        </m:sSub>
        <m:r>
          <m:rPr>
            <m:sty m:val="p"/>
          </m:rPr>
          <m:t>=</m:t>
        </m:r>
        <m:sSub>
          <m:e>
            <m:r>
              <m:t>a</m:t>
            </m:r>
          </m:e>
          <m:sub>
            <m:r>
              <m:t>i</m:t>
            </m:r>
            <m:r>
              <m:t>j</m:t>
            </m:r>
          </m:sub>
        </m:sSub>
        <m:r>
          <m:rPr>
            <m:sty m:val="p"/>
          </m:rPr>
          <m:t>+</m:t>
        </m:r>
        <m:sSub>
          <m:e>
            <m:r>
              <m:t>b</m:t>
            </m:r>
          </m:e>
          <m:sub>
            <m:r>
              <m:t>i</m:t>
            </m:r>
            <m:r>
              <m:t>j</m:t>
            </m:r>
          </m:sub>
        </m:sSub>
      </m:oMath>
    </w:p>
    <w:p>
      <w:pPr>
        <w:pStyle w:val="BodyText"/>
      </w:pPr>
      <w:r>
        <w:t xml:space="preserve">$$
\mathbf{A} = \begin{bmatrix} 
10 &amp; 5 \\
9 &amp; 1
\end{bmatrix}
, \enspace
\mathbf{B} = \begin{bmatrix} 
2 &amp; 1 \\
20 &amp; 0
\end{bmatrix}, \enspace
\textrm{then }
\mathbf{A}+\mathbf{B}=
\begin{bmatrix} 
12 &amp; 6 \\
29 &amp; 1
\end{bmatrix}
$$</w:t>
      </w:r>
    </w:p>
    <w:p>
      <w:pPr>
        <w:pStyle w:val="FirstParagraph"/>
      </w:pPr>
      <w:r>
        <w:t xml:space="preserve">Matrix addition is</w:t>
      </w:r>
      <w:r>
        <w:t xml:space="preserve"> </w:t>
      </w:r>
      <w:r>
        <w:rPr>
          <w:iCs/>
          <w:i/>
        </w:rPr>
        <w:t xml:space="preserve">commutative</w:t>
      </w:r>
      <w:r>
        <w:t xml:space="preserve"> </w:t>
      </w:r>
      <w:r>
        <w:t xml:space="preserve">(gives the same result whatever the order of the quantities involved),</w:t>
      </w:r>
    </w:p>
    <w:p>
      <w:pPr>
        <w:pStyle w:val="BodyText"/>
      </w:pPr>
      <m:oMathPara>
        <m:oMathParaPr>
          <m:jc m:val="center"/>
        </m:oMathParaPr>
        <m:oMath>
          <m:r>
            <m:rPr>
              <m:sty m:val="b"/>
            </m:rPr>
            <m:t>A</m:t>
          </m:r>
          <m:r>
            <m:rPr>
              <m:sty m:val="b"/>
            </m:rPr>
            <m:t>+</m:t>
          </m:r>
          <m:r>
            <m:rPr>
              <m:sty m:val="b"/>
            </m:rPr>
            <m:t>B</m:t>
          </m:r>
          <m:r>
            <m:rPr>
              <m:sty m:val="p"/>
            </m:rPr>
            <m:t>=</m:t>
          </m:r>
          <m:r>
            <m:rPr>
              <m:sty m:val="b"/>
            </m:rPr>
            <m:t>B</m:t>
          </m:r>
          <m:r>
            <m:rPr>
              <m:sty m:val="b"/>
            </m:rPr>
            <m:t>+</m:t>
          </m:r>
          <m:r>
            <m:rPr>
              <m:sty m:val="b"/>
            </m:rPr>
            <m:t>A</m:t>
          </m:r>
        </m:oMath>
      </m:oMathPara>
    </w:p>
    <w:p>
      <w:pPr>
        <w:pStyle w:val="FirstParagraph"/>
      </w:pPr>
      <w:r>
        <w:t xml:space="preserve">and</w:t>
      </w:r>
      <w:r>
        <w:t xml:space="preserve"> </w:t>
      </w:r>
      <w:r>
        <w:rPr>
          <w:iCs/>
          <w:i/>
        </w:rPr>
        <w:t xml:space="preserve">associative</w:t>
      </w:r>
      <w:r>
        <w:t xml:space="preserve"> </w:t>
      </w:r>
      <w:r>
        <w:t xml:space="preserve">(gives the same result whatever grouping their is, as long as order remains the same),</w:t>
      </w:r>
    </w:p>
    <w:p>
      <w:pPr>
        <w:pStyle w:val="BodyText"/>
      </w:pPr>
      <m:oMathPara>
        <m:oMathParaPr>
          <m:jc m:val="center"/>
        </m:oMathParaPr>
        <m:oMath>
          <m:r>
            <m:rPr>
              <m:sty m:val="b"/>
            </m:rPr>
            <m:t>A</m:t>
          </m:r>
          <m:r>
            <m:rPr>
              <m:sty m:val="b"/>
            </m:rPr>
            <m:t>+</m:t>
          </m:r>
          <m:d>
            <m:dPr>
              <m:begChr m:val="("/>
              <m:endChr m:val=")"/>
              <m:sepChr m:val=""/>
              <m:grow/>
            </m:dPr>
            <m:e>
              <m:r>
                <m:rPr>
                  <m:sty m:val="b"/>
                </m:rPr>
                <m:t>B</m:t>
              </m:r>
              <m:r>
                <m:rPr>
                  <m:sty m:val="b"/>
                </m:rPr>
                <m:t>+</m:t>
              </m:r>
              <m:r>
                <m:rPr>
                  <m:sty m:val="b"/>
                </m:rPr>
                <m:t>C</m:t>
              </m:r>
            </m:e>
          </m:d>
          <m:r>
            <m:rPr>
              <m:sty m:val="p"/>
            </m:rPr>
            <m:t>=</m:t>
          </m:r>
          <m:d>
            <m:dPr>
              <m:begChr m:val="("/>
              <m:endChr m:val=")"/>
              <m:sepChr m:val=""/>
              <m:grow/>
            </m:dPr>
            <m:e>
              <m:r>
                <m:rPr>
                  <m:sty m:val="b"/>
                </m:rPr>
                <m:t>A</m:t>
              </m:r>
              <m:r>
                <m:rPr>
                  <m:sty m:val="b"/>
                </m:rPr>
                <m:t>+</m:t>
              </m:r>
              <m:r>
                <m:rPr>
                  <m:sty m:val="b"/>
                </m:rPr>
                <m:t>B</m:t>
              </m:r>
            </m:e>
          </m:d>
          <m:r>
            <m:rPr>
              <m:sty m:val="b"/>
            </m:rPr>
            <m:t>+</m:t>
          </m:r>
          <m:r>
            <m:rPr>
              <m:sty m:val="b"/>
            </m:rPr>
            <m:t>C</m:t>
          </m:r>
        </m:oMath>
      </m:oMathPara>
    </w:p>
    <w:p>
      <w:pPr>
        <w:pStyle w:val="FirstParagraph"/>
      </w:pPr>
      <w:r>
        <w:t xml:space="preserve">and</w:t>
      </w:r>
    </w:p>
    <w:p>
      <w:pPr>
        <w:pStyle w:val="BodyText"/>
      </w:pPr>
      <m:oMathPara>
        <m:oMathParaPr>
          <m:jc m:val="center"/>
        </m:oMathParaPr>
        <m:oMath>
          <m:r>
            <m:rPr>
              <m:sty m:val="b"/>
            </m:rPr>
            <m:t>A</m:t>
          </m:r>
          <m:r>
            <m:rPr>
              <m:sty m:val="b"/>
            </m:rPr>
            <m:t>+</m:t>
          </m:r>
          <m:d>
            <m:dPr>
              <m:begChr m:val="("/>
              <m:endChr m:val=")"/>
              <m:sepChr m:val=""/>
              <m:grow/>
            </m:dPr>
            <m:e>
              <m:r>
                <m:rPr>
                  <m:sty m:val="b"/>
                </m:rPr>
                <m:t>−</m:t>
              </m:r>
              <m:r>
                <m:rPr>
                  <m:sty m:val="b"/>
                </m:rPr>
                <m:t>B</m:t>
              </m:r>
            </m:e>
          </m:d>
          <m:r>
            <m:rPr>
              <m:sty m:val="p"/>
            </m:rPr>
            <m:t>=</m:t>
          </m:r>
          <m:d>
            <m:dPr>
              <m:begChr m:val="("/>
              <m:endChr m:val=")"/>
              <m:sepChr m:val=""/>
              <m:grow/>
            </m:dPr>
            <m:e>
              <m:r>
                <m:rPr>
                  <m:sty m:val="b"/>
                </m:rPr>
                <m:t>A</m:t>
              </m:r>
              <m:r>
                <m:rPr>
                  <m:sty m:val="b"/>
                </m:rPr>
                <m:t>−</m:t>
              </m:r>
              <m:r>
                <m:rPr>
                  <m:sty m:val="b"/>
                </m:rPr>
                <m:t>B</m:t>
              </m:r>
            </m:e>
          </m:d>
          <m:r>
            <m:rPr>
              <m:sty m:val="p"/>
            </m:rPr>
            <m:t>.</m:t>
          </m:r>
        </m:oMath>
      </m:oMathPara>
    </w:p>
    <w:bookmarkEnd w:id="116"/>
    <w:bookmarkStart w:id="117" w:name="subtraction"/>
    <w:p>
      <w:pPr>
        <w:pStyle w:val="Heading3"/>
      </w:pPr>
      <w:r>
        <w:rPr>
          <w:rStyle w:val="SectionNumber"/>
        </w:rPr>
        <w:t xml:space="preserve">4.2.4</w:t>
      </w:r>
      <w:r>
        <w:tab/>
      </w:r>
      <w:r>
        <w:t xml:space="preserve">Subtraction</w:t>
      </w:r>
    </w:p>
    <w:p>
      <w:pPr>
        <w:pStyle w:val="FirstParagraph"/>
      </w:pPr>
      <w:r>
        <w:t xml:space="preserve">Like addition, subtraction requires matrices of the same order. Elements in the difference matrix are given by the algebraic difference between corresponding elements in matrices being subtracted:</w:t>
      </w:r>
    </w:p>
    <w:p>
      <w:pPr>
        <w:pStyle w:val="BodyText"/>
      </w:pPr>
      <w:r>
        <w:t xml:space="preserve">$$
\mathbf{A} = \begin{bmatrix} 
10 &amp; 5 \\
9 &amp; 1
\end{bmatrix}
, \enspace
\mathbf{B} = \begin{bmatrix} 
2 &amp; 1 \\
20 &amp; 0
\end{bmatrix}, \enspace
\textrm{then }
\mathbf{A}-\mathbf{B}=
\begin{bmatrix} 
8 &amp; 4 \\
-11 &amp; 1
\end{bmatrix}
$$</w:t>
      </w:r>
    </w:p>
    <w:bookmarkEnd w:id="117"/>
    <w:bookmarkStart w:id="125" w:name="matrix-multiplication"/>
    <w:p>
      <w:pPr>
        <w:pStyle w:val="Heading3"/>
      </w:pPr>
      <w:r>
        <w:rPr>
          <w:rStyle w:val="SectionNumber"/>
        </w:rPr>
        <w:t xml:space="preserve">4.2.5</w:t>
      </w:r>
      <w:r>
        <w:tab/>
      </w:r>
      <w:r>
        <w:t xml:space="preserve">Matrix Multiplication</w:t>
      </w:r>
    </w:p>
    <w:p>
      <w:pPr>
        <w:pStyle w:val="FirstParagraph"/>
      </w:pPr>
      <w:r>
        <w:t xml:space="preserve">Three useful</w:t>
      </w:r>
      <w:r>
        <w:t xml:space="preserve"> </w:t>
      </w:r>
      <w:r>
        <w:rPr>
          <w:iCs/>
          <w:i/>
        </w:rPr>
        <w:t xml:space="preserve">rules</w:t>
      </w:r>
      <w:r>
        <w:t xml:space="preserve"> </w:t>
      </w:r>
      <w:r>
        <w:t xml:space="preserve">to keep in mind regarding matrix multiplication:</w:t>
      </w:r>
    </w:p>
    <w:p>
      <w:pPr>
        <w:numPr>
          <w:ilvl w:val="0"/>
          <w:numId w:val="1001"/>
        </w:numPr>
      </w:pPr>
      <w:r>
        <w:t xml:space="preserve">Only matrices of the form</w:t>
      </w:r>
      <w:r>
        <w:t xml:space="preserve"> </w:t>
      </w:r>
      <m:oMath>
        <m:d>
          <m:dPr>
            <m:begChr m:val="("/>
            <m:endChr m:val=")"/>
            <m:sepChr m:val=""/>
            <m:grow/>
          </m:dPr>
          <m:e>
            <m:r>
              <m:t>m</m:t>
            </m:r>
            <m:r>
              <m:rPr>
                <m:sty m:val="p"/>
              </m:rPr>
              <m:t>×</m:t>
            </m:r>
            <m:r>
              <m:t>n</m:t>
            </m:r>
          </m:e>
        </m:d>
        <m:r>
          <m:rPr>
            <m:sty m:val="p"/>
          </m:rPr>
          <m:t>*</m:t>
        </m:r>
        <m:d>
          <m:dPr>
            <m:begChr m:val="("/>
            <m:endChr m:val=")"/>
            <m:sepChr m:val=""/>
            <m:grow/>
          </m:dPr>
          <m:e>
            <m:r>
              <m:t>n</m:t>
            </m:r>
            <m:r>
              <m:rPr>
                <m:sty m:val="p"/>
              </m:rPr>
              <m:t>×</m:t>
            </m:r>
            <m:r>
              <m:t>p</m:t>
            </m:r>
          </m:e>
        </m:d>
      </m:oMath>
      <w:r>
        <w:t xml:space="preserve"> </w:t>
      </w:r>
      <w:r>
        <w:t xml:space="preserve">are conformable for multiplication. The number of columns in the premultiplier must equal the number of rows in the post multiplier.</w:t>
      </w:r>
    </w:p>
    <w:p>
      <w:pPr>
        <w:numPr>
          <w:ilvl w:val="0"/>
          <w:numId w:val="1001"/>
        </w:numPr>
      </w:pPr>
      <w:r>
        <w:t xml:space="preserve">The product matrix will have the following order:</w:t>
      </w:r>
      <w:r>
        <w:t xml:space="preserve"> </w:t>
      </w:r>
      <m:oMath>
        <m:sSub>
          <m:e>
            <m:r>
              <m:rPr>
                <m:sty m:val="b"/>
              </m:rPr>
              <m:t>A</m:t>
            </m:r>
          </m:e>
          <m:sub>
            <m:r>
              <m:t>m</m:t>
            </m:r>
            <m:r>
              <m:rPr>
                <m:sty m:val="p"/>
              </m:rPr>
              <m:t>×</m:t>
            </m:r>
            <m:r>
              <m:t>n</m:t>
            </m:r>
          </m:sub>
        </m:sSub>
        <m:sSub>
          <m:e>
            <m:r>
              <m:rPr>
                <m:sty m:val="b"/>
              </m:rPr>
              <m:t>B</m:t>
            </m:r>
          </m:e>
          <m:sub>
            <m:r>
              <m:t>n</m:t>
            </m:r>
            <m:r>
              <m:rPr>
                <m:sty m:val="p"/>
              </m:rPr>
              <m:t>×</m:t>
            </m:r>
            <m:r>
              <m:t>p</m:t>
            </m:r>
          </m:sub>
        </m:sSub>
        <m:r>
          <m:rPr>
            <m:sty m:val="p"/>
          </m:rPr>
          <m:t>=</m:t>
        </m:r>
        <m:sSub>
          <m:e>
            <m:r>
              <m:rPr>
                <m:sty m:val="b"/>
              </m:rPr>
              <m:t>C</m:t>
            </m:r>
          </m:e>
          <m:sub>
            <m:r>
              <m:t>m</m:t>
            </m:r>
            <m:r>
              <m:rPr>
                <m:sty m:val="p"/>
              </m:rPr>
              <m:t>×</m:t>
            </m:r>
            <m:r>
              <m:t>p</m:t>
            </m:r>
          </m:sub>
        </m:sSub>
      </m:oMath>
      <w:r>
        <w:t xml:space="preserve">.</w:t>
      </w:r>
    </w:p>
    <w:p>
      <w:pPr>
        <w:pStyle w:val="FirstParagraph"/>
      </w:pPr>
      <w:r>
        <w:rPr>
          <w:bCs/>
          <w:b/>
        </w:rPr>
        <w:t xml:space="preserve">Graphical Depiction of Rules 1 and 2</w:t>
      </w:r>
    </w:p>
    <w:p>
      <w:pPr>
        <w:pStyle w:val="BodyText"/>
      </w:pPr>
      <w:r>
        <w:drawing>
          <wp:inline>
            <wp:extent cx="3722254" cy="2567709"/>
            <wp:effectExtent b="0" l="0" r="0" t="0"/>
            <wp:docPr descr="" title="" id="119" name="Picture"/>
            <a:graphic>
              <a:graphicData uri="http://schemas.openxmlformats.org/drawingml/2006/picture">
                <pic:pic>
                  <pic:nvPicPr>
                    <pic:cNvPr descr="imgs/matmult.png" id="120" name="Picture"/>
                    <pic:cNvPicPr>
                      <a:picLocks noChangeArrowheads="1" noChangeAspect="1"/>
                    </pic:cNvPicPr>
                  </pic:nvPicPr>
                  <pic:blipFill>
                    <a:blip r:embed="rId118"/>
                    <a:stretch>
                      <a:fillRect/>
                    </a:stretch>
                  </pic:blipFill>
                  <pic:spPr bwMode="auto">
                    <a:xfrm>
                      <a:off x="0" y="0"/>
                      <a:ext cx="3722254" cy="2567709"/>
                    </a:xfrm>
                    <a:prstGeom prst="rect">
                      <a:avLst/>
                    </a:prstGeom>
                    <a:noFill/>
                    <a:ln w="9525">
                      <a:noFill/>
                      <a:headEnd/>
                      <a:tailEnd/>
                    </a:ln>
                  </pic:spPr>
                </pic:pic>
              </a:graphicData>
            </a:graphic>
          </wp:inline>
        </w:drawing>
      </w:r>
    </w:p>
    <w:p>
      <w:pPr>
        <w:numPr>
          <w:ilvl w:val="0"/>
          <w:numId w:val="1002"/>
        </w:numPr>
        <w:pStyle w:val="Compact"/>
      </w:pPr>
      <w:r>
        <w:t xml:space="preserve">The element</w:t>
      </w:r>
      <w:r>
        <w:t xml:space="preserve"> </w:t>
      </w:r>
      <m:oMath>
        <m:sSub>
          <m:e>
            <m:r>
              <m:t>c</m:t>
            </m:r>
          </m:e>
          <m:sub>
            <m:r>
              <m:t>i</m:t>
            </m:r>
            <m:r>
              <m:t>j</m:t>
            </m:r>
          </m:sub>
        </m:sSub>
      </m:oMath>
      <w:r>
        <w:t xml:space="preserve"> </w:t>
      </w:r>
      <w:r>
        <w:t xml:space="preserve">in the product matrix is the result of multiplying row</w:t>
      </w:r>
      <w:r>
        <w:t xml:space="preserve"> </w:t>
      </w:r>
      <m:oMath>
        <m:r>
          <m:t>i</m:t>
        </m:r>
      </m:oMath>
      <w:r>
        <w:t xml:space="preserve"> </w:t>
      </w:r>
      <w:r>
        <w:t xml:space="preserve">of the premultiplier matrix, and row</w:t>
      </w:r>
      <w:r>
        <w:t xml:space="preserve"> </w:t>
      </w:r>
      <m:oMath>
        <m:r>
          <m:t>j</m:t>
        </m:r>
      </m:oMath>
      <w:r>
        <w:t xml:space="preserve"> </w:t>
      </w:r>
      <w:r>
        <w:t xml:space="preserve">of the post multiplier matrix (e.g. (</w:t>
      </w:r>
      <m:oMath>
        <m:sSub>
          <m:e>
            <m:r>
              <m:t>c</m:t>
            </m:r>
          </m:e>
          <m:sub>
            <m:r>
              <m:t>i</m:t>
            </m:r>
            <m:r>
              <m:t>j</m:t>
            </m:r>
          </m:sub>
        </m:sSub>
        <m:r>
          <m:rPr>
            <m:sty m:val="p"/>
          </m:rPr>
          <m:t>=</m:t>
        </m:r>
        <m:sSub>
          <m:e>
            <m:r>
              <m:t>a</m:t>
            </m:r>
          </m:e>
          <m:sub>
            <m:r>
              <m:t>i</m:t>
            </m:r>
            <m:r>
              <m:t>1</m:t>
            </m:r>
          </m:sub>
        </m:sSub>
        <m:sSub>
          <m:e>
            <m:r>
              <m:t>b</m:t>
            </m:r>
          </m:e>
          <m:sub>
            <m:r>
              <m:t>1</m:t>
            </m:r>
            <m:r>
              <m:t>j</m:t>
            </m:r>
          </m:sub>
        </m:sSub>
        <m:r>
          <m:rPr>
            <m:sty m:val="p"/>
          </m:rPr>
          <m:t>+</m:t>
        </m:r>
        <m:sSub>
          <m:e>
            <m:r>
              <m:t>a</m:t>
            </m:r>
          </m:e>
          <m:sub>
            <m:r>
              <m:t>i</m:t>
            </m:r>
            <m:r>
              <m:t>2</m:t>
            </m:r>
          </m:sub>
        </m:sSub>
        <m:sSub>
          <m:e>
            <m:r>
              <m:t>b</m:t>
            </m:r>
          </m:e>
          <m:sub>
            <m:r>
              <m:t>2</m:t>
            </m:r>
            <m:r>
              <m:t>j</m:t>
            </m:r>
          </m:sub>
        </m:sSub>
        <m:r>
          <m:rPr>
            <m:sty m:val="p"/>
          </m:rPr>
          <m:t>+</m:t>
        </m:r>
        <m:sSub>
          <m:e>
            <m:r>
              <m:t>a</m:t>
            </m:r>
          </m:e>
          <m:sub>
            <m:r>
              <m:t>i</m:t>
            </m:r>
            <m:r>
              <m:t>3</m:t>
            </m:r>
          </m:sub>
        </m:sSub>
        <m:sSub>
          <m:e>
            <m:r>
              <m:t>b</m:t>
            </m:r>
          </m:e>
          <m:sub>
            <m:r>
              <m:t>3</m:t>
            </m:r>
            <m:r>
              <m:t>j</m:t>
            </m:r>
          </m:sub>
        </m:sSub>
      </m:oMath>
      <w:r>
        <w:t xml:space="preserve">)).</w:t>
      </w:r>
    </w:p>
    <w:p>
      <w:pPr>
        <w:pStyle w:val="FirstParagraph"/>
      </w:pPr>
      <w:r>
        <w:rPr>
          <w:bCs/>
          <w:b/>
        </w:rPr>
        <w:t xml:space="preserve">Graphical Depiction of Rule 3</w:t>
      </w:r>
    </w:p>
    <w:p>
      <w:pPr>
        <w:pStyle w:val="CaptionedFigure"/>
      </w:pPr>
      <w:r>
        <w:drawing>
          <wp:inline>
            <wp:extent cx="3975100" cy="3492500"/>
            <wp:effectExtent b="0" l="0" r="0" t="0"/>
            <wp:docPr descr="https://code.kx.com/q/ref/mmu/" title="" id="122" name="Picture"/>
            <a:graphic>
              <a:graphicData uri="http://schemas.openxmlformats.org/drawingml/2006/picture">
                <pic:pic>
                  <pic:nvPicPr>
                    <pic:cNvPr descr="imgs/multiplication.png" id="123" name="Picture"/>
                    <pic:cNvPicPr>
                      <a:picLocks noChangeArrowheads="1" noChangeAspect="1"/>
                    </pic:cNvPicPr>
                  </pic:nvPicPr>
                  <pic:blipFill>
                    <a:blip r:embed="rId121"/>
                    <a:stretch>
                      <a:fillRect/>
                    </a:stretch>
                  </pic:blipFill>
                  <pic:spPr bwMode="auto">
                    <a:xfrm>
                      <a:off x="0" y="0"/>
                      <a:ext cx="3975100" cy="3492500"/>
                    </a:xfrm>
                    <a:prstGeom prst="rect">
                      <a:avLst/>
                    </a:prstGeom>
                    <a:noFill/>
                    <a:ln w="9525">
                      <a:noFill/>
                      <a:headEnd/>
                      <a:tailEnd/>
                    </a:ln>
                  </pic:spPr>
                </pic:pic>
              </a:graphicData>
            </a:graphic>
          </wp:inline>
        </w:drawing>
      </w:r>
    </w:p>
    <w:p>
      <w:pPr>
        <w:pStyle w:val="ImageCaption"/>
      </w:pPr>
      <w:hyperlink r:id="rId124">
        <w:r>
          <w:rPr>
            <w:rStyle w:val="Hyperlink"/>
          </w:rPr>
          <w:t xml:space="preserve">https://code.kx.com/q/ref/mmu/</w:t>
        </w:r>
      </w:hyperlink>
    </w:p>
    <w:p>
      <w:pPr>
        <w:pStyle w:val="BodyText"/>
      </w:pPr>
      <w:r>
        <w:t xml:space="preserve">Matrix multiplication is associative (i.e. rearranging the parentheses in an expression will not change the result). That is,</w:t>
      </w:r>
    </w:p>
    <w:p>
      <w:pPr>
        <w:pStyle w:val="BodyText"/>
      </w:pPr>
      <m:oMathPara>
        <m:oMathParaPr>
          <m:jc m:val="center"/>
        </m:oMathParaPr>
        <m:oMath>
          <m:d>
            <m:dPr>
              <m:begChr m:val="("/>
              <m:endChr m:val=")"/>
              <m:sepChr m:val=""/>
              <m:grow/>
            </m:dPr>
            <m:e>
              <m:r>
                <m:rPr>
                  <m:sty m:val="b"/>
                </m:rPr>
                <m:t>A</m:t>
              </m:r>
              <m:r>
                <m:rPr>
                  <m:sty m:val="b"/>
                </m:rPr>
                <m:t>B</m:t>
              </m:r>
            </m:e>
          </m:d>
          <m:r>
            <m:rPr>
              <m:sty m:val="b"/>
            </m:rPr>
            <m:t>C</m:t>
          </m:r>
          <m:r>
            <m:rPr>
              <m:sty m:val="p"/>
            </m:rPr>
            <m:t>=</m:t>
          </m:r>
          <m:r>
            <m:rPr>
              <m:sty m:val="b"/>
            </m:rPr>
            <m:t>A</m:t>
          </m:r>
          <m:d>
            <m:dPr>
              <m:begChr m:val="("/>
              <m:endChr m:val=")"/>
              <m:sepChr m:val=""/>
              <m:grow/>
            </m:dPr>
            <m:e>
              <m:r>
                <m:rPr>
                  <m:sty m:val="b"/>
                </m:rPr>
                <m:t>B</m:t>
              </m:r>
              <m:r>
                <m:rPr>
                  <m:sty m:val="b"/>
                </m:rPr>
                <m:t>C</m:t>
              </m:r>
            </m:e>
          </m:d>
        </m:oMath>
      </m:oMathPara>
    </w:p>
    <w:p>
      <w:pPr>
        <w:pStyle w:val="FirstParagraph"/>
      </w:pPr>
      <w:r>
        <w:t xml:space="preserve">and is distributive with respect to addition,</w:t>
      </w:r>
    </w:p>
    <w:p>
      <w:pPr>
        <w:pStyle w:val="BodyText"/>
      </w:pPr>
      <w:r>
        <w:t xml:space="preserve">$$
\mathbf{A(B+C)} = \mathbf{AB + AC} \\
\mathbf{(B+C)A} = \mathbf{BA + CA} \\
$$</w:t>
      </w:r>
    </w:p>
    <w:p>
      <w:pPr>
        <w:pStyle w:val="FirstParagraph"/>
      </w:pPr>
      <w:r>
        <w:t xml:space="preserve">If</w:t>
      </w:r>
      <w:r>
        <w:t xml:space="preserve"> </w:t>
      </w:r>
      <m:oMath>
        <m:r>
          <m:t>c</m:t>
        </m:r>
      </m:oMath>
      <w:r>
        <w:t xml:space="preserve"> </w:t>
      </w:r>
      <w:r>
        <w:t xml:space="preserve">is a scalar, then</w:t>
      </w:r>
    </w:p>
    <w:p>
      <w:pPr>
        <w:pStyle w:val="BodyText"/>
      </w:pPr>
      <m:oMathPara>
        <m:oMathParaPr>
          <m:jc m:val="center"/>
        </m:oMathParaPr>
        <m:oMath>
          <m:r>
            <m:t>c</m:t>
          </m:r>
          <m:d>
            <m:dPr>
              <m:begChr m:val="("/>
              <m:endChr m:val=")"/>
              <m:sepChr m:val=""/>
              <m:grow/>
            </m:dPr>
            <m:e>
              <m:r>
                <m:rPr>
                  <m:sty m:val="b"/>
                </m:rPr>
                <m:t>A</m:t>
              </m:r>
              <m:r>
                <m:rPr>
                  <m:sty m:val="b"/>
                </m:rPr>
                <m:t>B</m:t>
              </m:r>
            </m:e>
          </m:d>
          <m:r>
            <m:rPr>
              <m:sty m:val="p"/>
            </m:rPr>
            <m:t>=</m:t>
          </m:r>
          <m:r>
            <m:t>c</m:t>
          </m:r>
          <m:d>
            <m:dPr>
              <m:begChr m:val="("/>
              <m:endChr m:val=")"/>
              <m:sepChr m:val=""/>
              <m:grow/>
            </m:dPr>
            <m:e>
              <m:r>
                <m:rPr>
                  <m:sty m:val="b"/>
                </m:rPr>
                <m:t>A</m:t>
              </m:r>
            </m:e>
          </m:d>
          <m:r>
            <m:rPr>
              <m:sty m:val="b"/>
            </m:rPr>
            <m:t>B</m:t>
          </m:r>
          <m:r>
            <m:rPr>
              <m:sty m:val="p"/>
            </m:rPr>
            <m:t>=</m:t>
          </m:r>
          <m:r>
            <m:rPr>
              <m:sty m:val="b"/>
            </m:rPr>
            <m:t>A</m:t>
          </m:r>
          <m:d>
            <m:dPr>
              <m:begChr m:val="("/>
              <m:endChr m:val=")"/>
              <m:sepChr m:val=""/>
              <m:grow/>
            </m:dPr>
            <m:e>
              <m:r>
                <m:t>c</m:t>
              </m:r>
              <m:r>
                <m:rPr>
                  <m:sty m:val="b"/>
                </m:rPr>
                <m:t>B</m:t>
              </m:r>
            </m:e>
          </m:d>
          <m:r>
            <m:rPr>
              <m:sty m:val="p"/>
            </m:rPr>
            <m:t>=</m:t>
          </m:r>
          <m:d>
            <m:dPr>
              <m:begChr m:val="("/>
              <m:endChr m:val=")"/>
              <m:sepChr m:val=""/>
              <m:grow/>
            </m:dPr>
            <m:e>
              <m:r>
                <m:rPr>
                  <m:sty m:val="b"/>
                </m:rPr>
                <m:t>A</m:t>
              </m:r>
              <m:r>
                <m:rPr>
                  <m:sty m:val="b"/>
                </m:rPr>
                <m:t>B</m:t>
              </m:r>
            </m:e>
          </m:d>
          <m:r>
            <m:t>c</m:t>
          </m:r>
        </m:oMath>
      </m:oMathPara>
    </w:p>
    <w:p>
      <w:pPr>
        <w:pStyle w:val="FirstParagraph"/>
      </w:pPr>
      <w:r>
        <w:t xml:space="preserve">or equivalently,</w:t>
      </w:r>
    </w:p>
    <w:p>
      <w:pPr>
        <w:pStyle w:val="BodyText"/>
      </w:pPr>
      <w:r>
        <w:t xml:space="preserve">$$
\mathbf{A} = \begin{bmatrix} 
10 &amp; 5 \\
9 &amp; 1
\end{bmatrix}, \enspace
k=2, \enspace
k\mathbf{A} = \begin{bmatrix} 
20 &amp; 10 \\
18 &amp; 2
\end{bmatrix}.
$$</w:t>
      </w:r>
    </w:p>
    <w:p>
      <w:pPr>
        <w:pStyle w:val="FirstParagraph"/>
      </w:pPr>
      <w:r>
        <w:t xml:space="preserve">In general, matrices that can be multiplied are called</w:t>
      </w:r>
      <w:r>
        <w:t xml:space="preserve"> </w:t>
      </w:r>
      <w:r>
        <w:t xml:space="preserve">‘</w:t>
      </w:r>
      <w:r>
        <w:t xml:space="preserve">compatible</w:t>
      </w:r>
      <w:r>
        <w:t xml:space="preserve">’</w:t>
      </w:r>
      <w:r>
        <w:t xml:space="preserve"> </w:t>
      </w:r>
      <w:r>
        <w:t xml:space="preserve">or</w:t>
      </w:r>
      <w:r>
        <w:t xml:space="preserve"> </w:t>
      </w:r>
      <w:r>
        <w:t xml:space="preserve">‘</w:t>
      </w:r>
      <w:r>
        <w:t xml:space="preserve">comformable.</w:t>
      </w:r>
      <w:r>
        <w:t xml:space="preserve">’</w:t>
      </w:r>
      <w:r>
        <w:t xml:space="preserve"> </w:t>
      </w:r>
      <w:r>
        <w:t xml:space="preserve">Matrices in which the</w:t>
      </w:r>
      <w:r>
        <w:t xml:space="preserve"> </w:t>
      </w:r>
      <w:r>
        <w:rPr>
          <w:iCs/>
          <w:i/>
        </w:rPr>
        <w:t xml:space="preserve">inner dimensions</w:t>
      </w:r>
      <w:r>
        <w:t xml:space="preserve"> </w:t>
      </w:r>
      <w:r>
        <w:t xml:space="preserve">(i.e., columns of</w:t>
      </w:r>
      <w:r>
        <w:t xml:space="preserve"> </w:t>
      </w:r>
      <m:oMath>
        <m:r>
          <m:rPr>
            <m:sty m:val="b"/>
          </m:rPr>
          <m:t>A</m:t>
        </m:r>
      </m:oMath>
      <w:r>
        <w:t xml:space="preserve">, rows of</w:t>
      </w:r>
      <w:r>
        <w:t xml:space="preserve"> </w:t>
      </w:r>
      <m:oMath>
        <m:r>
          <m:rPr>
            <m:sty m:val="b"/>
          </m:rPr>
          <m:t>B</m:t>
        </m:r>
      </m:oMath>
      <w:r>
        <w:t xml:space="preserve">) do not match are called</w:t>
      </w:r>
      <w:r>
        <w:t xml:space="preserve"> </w:t>
      </w:r>
      <w:r>
        <w:t xml:space="preserve">‘</w:t>
      </w:r>
      <w:r>
        <w:t xml:space="preserve">incompatible</w:t>
      </w:r>
      <w:r>
        <w:t xml:space="preserve">’</w:t>
      </w:r>
      <w:r>
        <w:t xml:space="preserve"> </w:t>
      </w:r>
      <w:r>
        <w:t xml:space="preserve">or</w:t>
      </w:r>
      <w:r>
        <w:t xml:space="preserve"> </w:t>
      </w:r>
      <w:r>
        <w:t xml:space="preserve">‘</w:t>
      </w:r>
      <w:r>
        <w:t xml:space="preserve">non-conformable.</w:t>
      </w:r>
      <w:r>
        <w:t xml:space="preserve">’</w:t>
      </w:r>
      <w:r>
        <w:t xml:space="preserve"> </w:t>
      </w:r>
      <w:r>
        <w:t xml:space="preserve">These cannot be multiplied.</w:t>
      </w:r>
    </w:p>
    <w:bookmarkEnd w:id="125"/>
    <w:bookmarkStart w:id="147" w:name="matrix-division"/>
    <w:p>
      <w:pPr>
        <w:pStyle w:val="Heading3"/>
      </w:pPr>
      <w:r>
        <w:rPr>
          <w:rStyle w:val="SectionNumber"/>
        </w:rPr>
        <w:t xml:space="preserve">4.2.6</w:t>
      </w:r>
      <w:r>
        <w:tab/>
      </w:r>
      <w:r>
        <w:t xml:space="preserve">Matrix Division</w:t>
      </w:r>
    </w:p>
    <w:p>
      <w:pPr>
        <w:pStyle w:val="FirstParagraph"/>
      </w:pPr>
      <w:r>
        <w:t xml:space="preserve">Division is not defined for matrix operations, but may be accomplished by multiplication by the inverse matrix. In algebra, the reciprocal of a scalar is, by definition, the scalar raised to the minus one power (e.g. </w:t>
      </w:r>
      <m:oMath>
        <m:sSup>
          <m:e>
            <m:r>
              <m:t>5</m:t>
            </m:r>
          </m:e>
          <m:sup>
            <m:r>
              <m:rPr>
                <m:sty m:val="p"/>
              </m:rPr>
              <m:t>−</m:t>
            </m:r>
            <m:r>
              <m:t>1</m:t>
            </m:r>
          </m:sup>
        </m:sSup>
        <m:r>
          <m:rPr>
            <m:sty m:val="p"/>
          </m:rPr>
          <m:t>=</m:t>
        </m:r>
        <m:r>
          <m:t>1</m:t>
        </m:r>
        <m:r>
          <m:rPr>
            <m:sty m:val="p"/>
          </m:rPr>
          <m:t>/</m:t>
        </m:r>
        <m:r>
          <m:t>5</m:t>
        </m:r>
      </m:oMath>
      <w:r>
        <w:t xml:space="preserve">), and equations may be solved by multiplication by reciprocals.</w:t>
      </w:r>
    </w:p>
    <w:p>
      <w:pPr>
        <w:pStyle w:val="BodyText"/>
      </w:pPr>
      <w:r>
        <w:t xml:space="preserve">For example:</w:t>
      </w:r>
    </w:p>
    <w:p>
      <w:pPr>
        <w:pStyle w:val="BodyText"/>
      </w:pPr>
      <w:r>
        <w:t xml:space="preserve">$$
5^{-1} = 1/5\\
5x=35\\
5^{-1}(5x)=5^{-1}(35)\\
x = 7
$$</w:t>
      </w:r>
    </w:p>
    <w:p>
      <w:pPr>
        <w:pStyle w:val="FirstParagraph"/>
      </w:pPr>
      <w:r>
        <w:t xml:space="preserve">Now consider the following equation where the vector</w:t>
      </w:r>
      <w:r>
        <w:t xml:space="preserve"> </w:t>
      </w:r>
      <m:oMath>
        <m:r>
          <m:rPr>
            <m:sty m:val="b"/>
          </m:rPr>
          <m:t>x</m:t>
        </m:r>
      </m:oMath>
      <w:r>
        <w:t xml:space="preserve"> </w:t>
      </w:r>
      <w:r>
        <w:t xml:space="preserve">is unknown,</w:t>
      </w:r>
    </w:p>
    <w:p>
      <w:pPr>
        <w:pStyle w:val="BodyText"/>
      </w:pPr>
      <m:oMathPara>
        <m:oMathParaPr>
          <m:jc m:val="center"/>
        </m:oMathParaPr>
        <m:oMath>
          <m:sSub>
            <m:e>
              <m:r>
                <m:rPr>
                  <m:sty m:val="b"/>
                </m:rPr>
                <m:t>A</m:t>
              </m:r>
            </m:e>
            <m:sub>
              <m:r>
                <m:t>p</m:t>
              </m:r>
              <m:r>
                <m:rPr>
                  <m:sty m:val="p"/>
                </m:rPr>
                <m:t>×</m:t>
              </m:r>
              <m:r>
                <m:t>p</m:t>
              </m:r>
            </m:sub>
          </m:sSub>
          <m:sSub>
            <m:e>
              <m:r>
                <m:rPr>
                  <m:sty m:val="b"/>
                </m:rPr>
                <m:t>x</m:t>
              </m:r>
            </m:e>
            <m:sub>
              <m:r>
                <m:t>p</m:t>
              </m:r>
              <m:r>
                <m:rPr>
                  <m:sty m:val="p"/>
                </m:rPr>
                <m:t>×</m:t>
              </m:r>
              <m:r>
                <m:t>1</m:t>
              </m:r>
            </m:sub>
          </m:sSub>
          <m:r>
            <m:rPr>
              <m:sty m:val="p"/>
            </m:rPr>
            <m:t>=</m:t>
          </m:r>
          <m:sSub>
            <m:e>
              <m:r>
                <m:rPr>
                  <m:sty m:val="b"/>
                </m:rPr>
                <m:t>b</m:t>
              </m:r>
            </m:e>
            <m:sub>
              <m:r>
                <m:t>p</m:t>
              </m:r>
              <m:r>
                <m:rPr>
                  <m:sty m:val="p"/>
                </m:rPr>
                <m:t>×</m:t>
              </m:r>
              <m:r>
                <m:t>1</m:t>
              </m:r>
            </m:sub>
          </m:sSub>
        </m:oMath>
      </m:oMathPara>
    </w:p>
    <w:p>
      <w:pPr>
        <w:pStyle w:val="FirstParagraph"/>
      </w:pPr>
      <w:r>
        <w:t xml:space="preserve">Each element in the column vector</w:t>
      </w:r>
      <w:r>
        <w:t xml:space="preserve"> </w:t>
      </w:r>
      <m:oMath>
        <m:r>
          <m:rPr>
            <m:sty m:val="b"/>
          </m:rPr>
          <m:t>x</m:t>
        </m:r>
      </m:oMath>
      <w:r>
        <w:t xml:space="preserve"> </w:t>
      </w:r>
      <w:r>
        <w:t xml:space="preserve">is unknown and the solution involves solving a set of simultaneous equations for the unknown element of</w:t>
      </w:r>
      <w:r>
        <w:t xml:space="preserve"> </w:t>
      </w:r>
      <m:oMath>
        <m:r>
          <m:rPr>
            <m:sty m:val="b"/>
          </m:rPr>
          <m:t>x</m:t>
        </m:r>
      </m:oMath>
      <w:r>
        <w:t xml:space="preserve">,</w:t>
      </w:r>
    </w:p>
    <w:p>
      <w:pPr>
        <w:pStyle w:val="BodyText"/>
      </w:pPr>
      <w:r>
        <w:t xml:space="preserve">$$
a_{11}x_{1} + a_{12}x_{2} + \dots + a_{1p}x_{p} = b1 \\
a_{21}x_{1} + a_{22}x_{2} + \dots + a_{2p}x_{p} = b2 \\
\vdots \\
a_{p1}x_{1} + a_{p2}x_{2} + \dots + a_{pp}x_{p} = bp
$$</w:t>
      </w:r>
    </w:p>
    <w:p>
      <w:pPr>
        <w:pStyle w:val="FirstParagraph"/>
      </w:pPr>
      <w:r>
        <w:t xml:space="preserve">A solution analogous to the scalar equations above would give the following solution for the elements of the vector</w:t>
      </w:r>
      <w:r>
        <w:t xml:space="preserve"> </w:t>
      </w:r>
      <m:oMath>
        <m:r>
          <m:rPr>
            <m:sty m:val="b"/>
          </m:rPr>
          <m:t>x</m:t>
        </m:r>
      </m:oMath>
      <w:r>
        <w:t xml:space="preserve">:</w:t>
      </w:r>
    </w:p>
    <w:p>
      <w:pPr>
        <w:pStyle w:val="BodyText"/>
      </w:pPr>
      <w:r>
        <w:t xml:space="preserve">$$
\mathbf{A}_{p \times p} \mathbf{x}_{p \times 1} = \mathbf{b}_{p \times 1} \\
\mathbf{A}^{-1}_{p \times p}\mathbf{A}_{p \times p} \mathbf{x}_{p \times 1} = \mathbf{A}^{-1}_{p \times p}\mathbf{b}_{p \times 1} \\
\mathbf{I}_{p \times p}\mathbf{x}_{p \times 1} = \mathbf{A}^{-1}_{p \times p}\mathbf{b}_{p \times 1} \\
\mathbf{x}_{p \times 1} = \mathbf{A}^{-1}_{p \times p}\mathbf{b}_{p \times 1}
$$</w:t>
      </w:r>
    </w:p>
    <w:p>
      <w:pPr>
        <w:pStyle w:val="FirstParagraph"/>
      </w:pPr>
      <w:r>
        <w:t xml:space="preserve">The inverse of a matrix must satisfy the following properties:</w:t>
      </w:r>
    </w:p>
    <w:p>
      <w:pPr>
        <w:pStyle w:val="BodyText"/>
      </w:pPr>
      <m:oMathPara>
        <m:oMathParaPr>
          <m:jc m:val="center"/>
        </m:oMathParaPr>
        <m:oMath>
          <m:r>
            <m:rPr>
              <m:sty m:val="b"/>
            </m:rPr>
            <m:t>A</m:t>
          </m:r>
          <m:sSup>
            <m:e>
              <m:r>
                <m:rPr>
                  <m:sty m:val="b"/>
                </m:rPr>
                <m:t>A</m:t>
              </m:r>
            </m:e>
            <m:sup>
              <m:r>
                <m:rPr>
                  <m:sty m:val="b"/>
                </m:rPr>
                <m:t>−</m:t>
              </m:r>
              <m:r>
                <m:rPr>
                  <m:sty m:val="b"/>
                </m:rPr>
                <m:t>1</m:t>
              </m:r>
            </m:sup>
          </m:sSup>
          <m:r>
            <m:rPr>
              <m:sty m:val="p"/>
            </m:rPr>
            <m:t>=</m:t>
          </m:r>
          <m:sSup>
            <m:e>
              <m:r>
                <m:rPr>
                  <m:sty m:val="b"/>
                </m:rPr>
                <m:t>A</m:t>
              </m:r>
            </m:e>
            <m:sup>
              <m:r>
                <m:rPr>
                  <m:sty m:val="b"/>
                </m:rPr>
                <m:t>−</m:t>
              </m:r>
              <m:r>
                <m:rPr>
                  <m:sty m:val="b"/>
                </m:rPr>
                <m:t>1</m:t>
              </m:r>
            </m:sup>
          </m:sSup>
          <m:r>
            <m:rPr>
              <m:sty m:val="b"/>
            </m:rPr>
            <m:t>A</m:t>
          </m:r>
          <m:r>
            <m:rPr>
              <m:sty m:val="p"/>
            </m:rPr>
            <m:t>=</m:t>
          </m:r>
          <m:r>
            <m:rPr>
              <m:sty m:val="b"/>
            </m:rPr>
            <m:t>I</m:t>
          </m:r>
        </m:oMath>
      </m:oMathPara>
    </w:p>
    <w:p>
      <w:pPr>
        <w:pStyle w:val="FirstParagraph"/>
      </w:pPr>
      <w:r>
        <w:t xml:space="preserve">where</w:t>
      </w:r>
      <w:r>
        <w:t xml:space="preserve"> </w:t>
      </w:r>
      <m:oMath>
        <m:r>
          <m:t>I</m:t>
        </m:r>
      </m:oMath>
      <w:r>
        <w:t xml:space="preserve"> </w:t>
      </w:r>
      <w:r>
        <w:t xml:space="preserve">is the identity matrix with 1’s along the diagonal and 0’s elsewhere.</w:t>
      </w:r>
    </w:p>
    <w:bookmarkStart w:id="146" w:name="refs"/>
    <w:bookmarkStart w:id="127"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26">
        <w:r>
          <w:rPr>
            <w:rStyle w:val="Hyperlink"/>
          </w:rPr>
          <w:t xml:space="preserve">https://socialsciences.mcmaster.ca/jfox/Books/Companion/</w:t>
        </w:r>
      </w:hyperlink>
      <w:r>
        <w:t xml:space="preserve">.</w:t>
      </w:r>
    </w:p>
    <w:bookmarkEnd w:id="127"/>
    <w:bookmarkStart w:id="129"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28">
        <w:r>
          <w:rPr>
            <w:rStyle w:val="Hyperlink"/>
          </w:rPr>
          <w:t xml:space="preserve">https://doi.org/10.1007/978-1-4613-0893-5_17</w:t>
        </w:r>
      </w:hyperlink>
      <w:r>
        <w:t xml:space="preserve">.</w:t>
      </w:r>
    </w:p>
    <w:bookmarkEnd w:id="129"/>
    <w:bookmarkStart w:id="131"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30">
        <w:r>
          <w:rPr>
            <w:rStyle w:val="Hyperlink"/>
          </w:rPr>
          <w:t xml:space="preserve">https://doi.org/10.1016/B978-0-12-724960-5.50010-X</w:t>
        </w:r>
      </w:hyperlink>
      <w:r>
        <w:t xml:space="preserve">.</w:t>
      </w:r>
    </w:p>
    <w:bookmarkEnd w:id="131"/>
    <w:bookmarkStart w:id="133"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32">
        <w:r>
          <w:rPr>
            <w:rStyle w:val="Hyperlink"/>
          </w:rPr>
          <w:t xml:space="preserve">https://doi.org/10.2307/1130295</w:t>
        </w:r>
      </w:hyperlink>
      <w:r>
        <w:t xml:space="preserve">.</w:t>
      </w:r>
    </w:p>
    <w:bookmarkEnd w:id="133"/>
    <w:bookmarkStart w:id="134"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34"/>
    <w:bookmarkStart w:id="136"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35">
        <w:r>
          <w:rPr>
            <w:rStyle w:val="Hyperlink"/>
          </w:rPr>
          <w:t xml:space="preserve">https://doi.org/10.1080/00221325.1972.10533131</w:t>
        </w:r>
      </w:hyperlink>
      <w:r>
        <w:t xml:space="preserve">.</w:t>
      </w:r>
    </w:p>
    <w:bookmarkEnd w:id="136"/>
    <w:bookmarkStart w:id="138"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37">
        <w:r>
          <w:rPr>
            <w:rStyle w:val="Hyperlink"/>
          </w:rPr>
          <w:t xml:space="preserve">https://CRAN.R-project.org/package=psych</w:t>
        </w:r>
      </w:hyperlink>
      <w:r>
        <w:t xml:space="preserve">.</w:t>
      </w:r>
    </w:p>
    <w:bookmarkEnd w:id="138"/>
    <w:bookmarkStart w:id="140"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39">
        <w:r>
          <w:rPr>
            <w:rStyle w:val="Hyperlink"/>
          </w:rPr>
          <w:t xml:space="preserve">https://CRAN.R-project.org/package=naniar</w:t>
        </w:r>
      </w:hyperlink>
      <w:r>
        <w:t xml:space="preserve">.</w:t>
      </w:r>
    </w:p>
    <w:bookmarkEnd w:id="140"/>
    <w:bookmarkStart w:id="141"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41"/>
    <w:bookmarkStart w:id="143"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42">
        <w:r>
          <w:rPr>
            <w:rStyle w:val="Hyperlink"/>
          </w:rPr>
          <w:t xml:space="preserve">https://ggplot2.tidyverse.org</w:t>
        </w:r>
      </w:hyperlink>
      <w:r>
        <w:t xml:space="preserve">.</w:t>
      </w:r>
    </w:p>
    <w:bookmarkEnd w:id="143"/>
    <w:bookmarkStart w:id="145" w:name="ref-tidyr"/>
    <w:p>
      <w:pPr>
        <w:pStyle w:val="Bibliography"/>
      </w:pPr>
      <w:r>
        <w:t xml:space="preserve">———. 2021.</w:t>
      </w:r>
      <w:r>
        <w:t xml:space="preserve"> </w:t>
      </w:r>
      <w:r>
        <w:rPr>
          <w:iCs/>
          <w:i/>
        </w:rPr>
        <w:t xml:space="preserve">Tidyr: Tidy Messy Data</w:t>
      </w:r>
      <w:r>
        <w:t xml:space="preserve">.</w:t>
      </w:r>
      <w:r>
        <w:t xml:space="preserve"> </w:t>
      </w:r>
      <w:hyperlink r:id="rId144">
        <w:r>
          <w:rPr>
            <w:rStyle w:val="Hyperlink"/>
          </w:rPr>
          <w:t xml:space="preserve">https://CRAN.R-project.org/package=tidyr</w:t>
        </w:r>
      </w:hyperlink>
      <w:r>
        <w:t xml:space="preserve">.</w:t>
      </w:r>
    </w:p>
    <w:bookmarkEnd w:id="145"/>
    <w:bookmarkEnd w:id="146"/>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12" Target="media/rId112.png" /><Relationship Type="http://schemas.openxmlformats.org/officeDocument/2006/relationships/image" Id="rId101" Target="media/rId101.png" /><Relationship Type="http://schemas.openxmlformats.org/officeDocument/2006/relationships/hyperlink" Id="rId95" Target="http://www.cookbook-r.com/Graphs/Output_to_a_file/" TargetMode="External" /><Relationship Type="http://schemas.openxmlformats.org/officeDocument/2006/relationships/hyperlink" Id="rId43"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39" Target="https://CRAN.R-project.org/package=naniar" TargetMode="External" /><Relationship Type="http://schemas.openxmlformats.org/officeDocument/2006/relationships/hyperlink" Id="rId137" Target="https://CRAN.R-project.org/package=psych" TargetMode="External" /><Relationship Type="http://schemas.openxmlformats.org/officeDocument/2006/relationships/hyperlink" Id="rId144" Target="https://CRAN.R-project.org/package=tidyr" TargetMode="External" /><Relationship Type="http://schemas.openxmlformats.org/officeDocument/2006/relationships/hyperlink" Id="rId124" Target="https://code.kx.com/q/ref/mmu/" TargetMode="External" /><Relationship Type="http://schemas.openxmlformats.org/officeDocument/2006/relationships/hyperlink" Id="rId40"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46" Target="https://cran.r-project.org/web/packages/tidyr/vignettes/pivot.html" TargetMode="External" /><Relationship Type="http://schemas.openxmlformats.org/officeDocument/2006/relationships/hyperlink" Id="rId128" Target="https://doi.org/10.1007/978-1-4613-0893-5_17" TargetMode="External" /><Relationship Type="http://schemas.openxmlformats.org/officeDocument/2006/relationships/hyperlink" Id="rId130" Target="https://doi.org/10.1016/B978-0-12-724960-5.50010-X" TargetMode="External" /><Relationship Type="http://schemas.openxmlformats.org/officeDocument/2006/relationships/hyperlink" Id="rId135" Target="https://doi.org/10.1080/00221325.1972.10533131" TargetMode="External" /><Relationship Type="http://schemas.openxmlformats.org/officeDocument/2006/relationships/hyperlink" Id="rId132" Target="https://doi.org/10.2307/1130295" TargetMode="External" /><Relationship Type="http://schemas.openxmlformats.org/officeDocument/2006/relationships/hyperlink" Id="rId58" Target="https://en.wikipedia.org/wiki/Box_plot" TargetMode="External" /><Relationship Type="http://schemas.openxmlformats.org/officeDocument/2006/relationships/hyperlink" Id="rId142" Target="https://ggplot2.tidyverse.org" TargetMode="External" /><Relationship Type="http://schemas.openxmlformats.org/officeDocument/2006/relationships/hyperlink" Id="rId104"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26" Target="https://socialsciences.mcmaster.ca/jfox/Books/Companion/" TargetMode="External" /><Relationship Type="http://schemas.openxmlformats.org/officeDocument/2006/relationships/hyperlink" Id="rId99"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95" Target="http://www.cookbook-r.com/Graphs/Output_to_a_file/" TargetMode="External" /><Relationship Type="http://schemas.openxmlformats.org/officeDocument/2006/relationships/hyperlink" Id="rId43"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39" Target="https://CRAN.R-project.org/package=naniar" TargetMode="External" /><Relationship Type="http://schemas.openxmlformats.org/officeDocument/2006/relationships/hyperlink" Id="rId137" Target="https://CRAN.R-project.org/package=psych" TargetMode="External" /><Relationship Type="http://schemas.openxmlformats.org/officeDocument/2006/relationships/hyperlink" Id="rId144" Target="https://CRAN.R-project.org/package=tidyr" TargetMode="External" /><Relationship Type="http://schemas.openxmlformats.org/officeDocument/2006/relationships/hyperlink" Id="rId124" Target="https://code.kx.com/q/ref/mmu/" TargetMode="External" /><Relationship Type="http://schemas.openxmlformats.org/officeDocument/2006/relationships/hyperlink" Id="rId40"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46" Target="https://cran.r-project.org/web/packages/tidyr/vignettes/pivot.html" TargetMode="External" /><Relationship Type="http://schemas.openxmlformats.org/officeDocument/2006/relationships/hyperlink" Id="rId128" Target="https://doi.org/10.1007/978-1-4613-0893-5_17" TargetMode="External" /><Relationship Type="http://schemas.openxmlformats.org/officeDocument/2006/relationships/hyperlink" Id="rId130" Target="https://doi.org/10.1016/B978-0-12-724960-5.50010-X" TargetMode="External" /><Relationship Type="http://schemas.openxmlformats.org/officeDocument/2006/relationships/hyperlink" Id="rId135" Target="https://doi.org/10.1080/00221325.1972.10533131" TargetMode="External" /><Relationship Type="http://schemas.openxmlformats.org/officeDocument/2006/relationships/hyperlink" Id="rId132" Target="https://doi.org/10.2307/1130295" TargetMode="External" /><Relationship Type="http://schemas.openxmlformats.org/officeDocument/2006/relationships/hyperlink" Id="rId58" Target="https://en.wikipedia.org/wiki/Box_plot" TargetMode="External" /><Relationship Type="http://schemas.openxmlformats.org/officeDocument/2006/relationships/hyperlink" Id="rId142" Target="https://ggplot2.tidyverse.org" TargetMode="External" /><Relationship Type="http://schemas.openxmlformats.org/officeDocument/2006/relationships/hyperlink" Id="rId104"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26" Target="https://socialsciences.mcmaster.ca/jfox/Books/Companion/" TargetMode="External" /><Relationship Type="http://schemas.openxmlformats.org/officeDocument/2006/relationships/hyperlink" Id="rId99"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2023-01-23T17:55:31Z</dcterms:created>
  <dcterms:modified xsi:type="dcterms:W3CDTF">2023-01-23T17:55:31Z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2023-01-23</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