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2025-01-30</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6"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33"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off"/>
              <m:supHide m:val="off"/>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s>
                </m:mPr>
                <m:mr>
                  <m:e>
                    <m:r>
                      <m:t>10</m:t>
                    </m:r>
                  </m:e>
                  <m:e>
                    <m:r>
                      <m:t>5</m:t>
                    </m:r>
                  </m:e>
                </m:mr>
                <m:mr>
                  <m:e>
                    <m:r>
                      <m:t>9</m:t>
                    </m:r>
                  </m:e>
                  <m:e>
                    <m:r>
                      <m:t>1</m:t>
                    </m:r>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
                      <m:mcPr>
                        <m:mcJc m:val="center"/>
                        <m:count m:val="1"/>
                      </m:mcPr>
                    </m:mc>
                  </m:mcs>
                </m:mPr>
                <m:mr>
                  <m:e>
                    <m:r>
                      <m:t>2</m:t>
                    </m:r>
                  </m:e>
                  <m:e>
                    <m:r>
                      <m:t>1</m:t>
                    </m:r>
                  </m:e>
                </m:mr>
                <m:mr>
                  <m:e>
                    <m:r>
                      <m:t>20</m:t>
                    </m:r>
                  </m:e>
                  <m:e>
                    <m:r>
                      <m:t>0</m:t>
                    </m:r>
                  </m:e>
                </m:mr>
              </m:m>
            </m:e>
          </m:d>
          <m:r>
            <m:rPr>
              <m:sty m:val="p"/>
            </m:rPr>
            <m:t>,</m:t>
          </m:r>
          <m:r>
            <m:t> </m:t>
          </m:r>
          <m:r>
            <m:rPr>
              <m:nor/>
              <m:sty m:val="p"/>
            </m:rPr>
            <m:t>then </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6</m:t>
                    </m:r>
                  </m:e>
                </m:mr>
                <m:mr>
                  <m:e>
                    <m:r>
                      <m:t>29</m:t>
                    </m:r>
                  </m:e>
                  <m:e>
                    <m:r>
                      <m:t>1</m:t>
                    </m:r>
                  </m:e>
                </m:mr>
              </m:m>
            </m:e>
          </m:d>
        </m:oMath>
      </m:oMathPara>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s>
                </m:mPr>
                <m:mr>
                  <m:e>
                    <m:r>
                      <m:t>10</m:t>
                    </m:r>
                  </m:e>
                  <m:e>
                    <m:r>
                      <m:t>5</m:t>
                    </m:r>
                  </m:e>
                </m:mr>
                <m:mr>
                  <m:e>
                    <m:r>
                      <m:t>9</m:t>
                    </m:r>
                  </m:e>
                  <m:e>
                    <m:r>
                      <m:t>1</m:t>
                    </m:r>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
                      <m:mcPr>
                        <m:mcJc m:val="center"/>
                        <m:count m:val="1"/>
                      </m:mcPr>
                    </m:mc>
                  </m:mcs>
                </m:mPr>
                <m:mr>
                  <m:e>
                    <m:r>
                      <m:t>2</m:t>
                    </m:r>
                  </m:e>
                  <m:e>
                    <m:r>
                      <m:t>1</m:t>
                    </m:r>
                  </m:e>
                </m:mr>
                <m:mr>
                  <m:e>
                    <m:r>
                      <m:t>20</m:t>
                    </m:r>
                  </m:e>
                  <m:e>
                    <m:r>
                      <m:t>0</m:t>
                    </m:r>
                  </m:e>
                </m:mr>
              </m:m>
            </m:e>
          </m:d>
          <m:r>
            <m:rPr>
              <m:sty m:val="p"/>
            </m:rPr>
            <m:t>,</m:t>
          </m:r>
          <m:r>
            <m:t> </m:t>
          </m:r>
          <m:r>
            <m:rPr>
              <m:nor/>
              <m:sty m:val="p"/>
            </m:rPr>
            <m:t>then </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
                      <m:mcPr>
                        <m:mcJc m:val="center"/>
                        <m:count m:val="1"/>
                      </m:mcPr>
                    </m:mc>
                  </m:mcs>
                </m:mPr>
                <m:mr>
                  <m:e>
                    <m:r>
                      <m:t>8</m:t>
                    </m:r>
                  </m:e>
                  <m:e>
                    <m:r>
                      <m:t>4</m:t>
                    </m:r>
                  </m:e>
                </m:mr>
                <m:mr>
                  <m:e>
                    <m:r>
                      <m:rPr>
                        <m:sty m:val="p"/>
                      </m:rPr>
                      <m:t>−</m:t>
                    </m:r>
                    <m:r>
                      <m:t>11</m:t>
                    </m:r>
                  </m:e>
                  <m:e>
                    <m:r>
                      <m:t>1</m:t>
                    </m:r>
                  </m:e>
                </m:mr>
              </m:m>
            </m:e>
          </m:d>
        </m:oMath>
      </m:oMathPara>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s>
                </m:mPr>
                <m:mr>
                  <m:e>
                    <m:r>
                      <m:t>10</m:t>
                    </m:r>
                  </m:e>
                  <m:e>
                    <m:r>
                      <m:t>5</m:t>
                    </m:r>
                  </m:e>
                </m:mr>
                <m:mr>
                  <m:e>
                    <m:r>
                      <m:t>9</m:t>
                    </m:r>
                  </m:e>
                  <m:e>
                    <m:r>
                      <m:t>1</m:t>
                    </m:r>
                  </m:e>
                </m:mr>
              </m:m>
            </m:e>
          </m:d>
          <m:r>
            <m:rPr>
              <m:sty m:val="p"/>
            </m:rPr>
            <m:t>,</m:t>
          </m:r>
          <m:r>
            <m:t> </m:t>
          </m:r>
          <m:r>
            <m:t>k</m:t>
          </m:r>
          <m:r>
            <m:rPr>
              <m:sty m:val="p"/>
            </m:rPr>
            <m:t>=</m:t>
          </m:r>
          <m:r>
            <m:t>2</m:t>
          </m:r>
          <m:r>
            <m:rPr>
              <m:sty m:val="p"/>
            </m:rPr>
            <m:t>,</m:t>
          </m:r>
          <m:r>
            <m:t> </m:t>
          </m:r>
          <m:r>
            <m:t>k</m:t>
          </m:r>
          <m:r>
            <m:rPr>
              <m:sty m:val="b"/>
            </m:rPr>
            <m:t>A</m:t>
          </m:r>
          <m:r>
            <m:rPr>
              <m:sty m:val="p"/>
            </m:rPr>
            <m:t>=</m:t>
          </m:r>
          <m:d>
            <m:dPr>
              <m:begChr m:val="["/>
              <m:endChr m:val="]"/>
              <m:sepChr m:val=""/>
              <m:grow/>
            </m:dPr>
            <m:e>
              <m:m>
                <m:mPr>
                  <m:baseJc m:val="center"/>
                  <m:plcHide m:val="on"/>
                  <m:mcs>
                    <m:mc>
                      <m:mcPr>
                        <m:mcJc m:val="center"/>
                        <m:count m:val="1"/>
                      </m:mcPr>
                    </m:mc>
                    <m:mc>
                      <m:mcPr>
                        <m:mcJc m:val="center"/>
                        <m:count m:val="1"/>
                      </m:mcPr>
                    </m:mc>
                  </m:mcs>
                </m:mPr>
                <m:mr>
                  <m:e>
                    <m:r>
                      <m:t>20</m:t>
                    </m:r>
                  </m:e>
                  <m:e>
                    <m:r>
                      <m:t>10</m:t>
                    </m:r>
                  </m:e>
                </m:mr>
                <m:mr>
                  <m:e>
                    <m:r>
                      <m:t>18</m:t>
                    </m:r>
                  </m:e>
                  <m:e>
                    <m:r>
                      <m:t>2</m:t>
                    </m:r>
                  </m:e>
                </m:mr>
              </m:m>
            </m:e>
          </m:d>
          <m:r>
            <m:rPr>
              <m:sty m:val="p"/>
            </m:rPr>
            <m:t>.</m:t>
          </m:r>
        </m:oMath>
      </m:oMathPara>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32"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p>
      <w:pPr>
        <w:pStyle w:val="BodyText"/>
      </w:pPr>
      <w:r>
        <w:t xml:space="preserve">So, why is division undefined for matrices. Here is a quick example. Suppose,</w:t>
      </w:r>
      <w:r>
        <w:t xml:space="preserve"> </w:t>
      </w:r>
      <m:oMath>
        <m:r>
          <m:rPr>
            <m:sty m:val="b"/>
          </m:rPr>
          <m:t>A</m:t>
        </m:r>
      </m:oMath>
      <w:r>
        <w:t xml:space="preserve"> </w:t>
      </w:r>
      <w:r>
        <w:t xml:space="preserve">is a matrix and</w:t>
      </w:r>
      <w:r>
        <w:t xml:space="preserve"> </w:t>
      </w:r>
      <m:oMath>
        <m:r>
          <m:rPr>
            <m:sty m:val="b"/>
          </m:rPr>
          <m:t>B</m:t>
        </m:r>
      </m:oMath>
      <w:r>
        <w:t xml:space="preserve"> </w:t>
      </w:r>
      <w:r>
        <w:t xml:space="preserve">is the inverse of</w:t>
      </w:r>
      <w:r>
        <w:t xml:space="preserve"> </w:t>
      </w:r>
      <m:oMath>
        <m:r>
          <m:rPr>
            <m:sty m:val="b"/>
          </m:rPr>
          <m:t>A</m:t>
        </m:r>
      </m:oMath>
      <w:r>
        <w:t xml:space="preserve">, such that</w:t>
      </w:r>
    </w:p>
    <w:p>
      <w:pPr>
        <w:pStyle w:val="BodyText"/>
      </w:pPr>
      <m:oMathPara>
        <m:oMathParaPr>
          <m:jc m:val="center"/>
        </m:oMathParaPr>
        <m:oMath>
          <m:r>
            <m:rPr>
              <m:sty m:val="b"/>
            </m:rPr>
            <m:t>A</m:t>
          </m:r>
          <m:r>
            <m:rPr>
              <m:sty m:val="b"/>
            </m:rPr>
            <m:t>B</m:t>
          </m:r>
          <m:r>
            <m:rPr>
              <m:sty m:val="p"/>
            </m:rPr>
            <m:t>=</m:t>
          </m:r>
          <m:r>
            <m:rPr>
              <m:sty m:val="b"/>
            </m:rPr>
            <m:t>B</m:t>
          </m:r>
          <m:r>
            <m:rPr>
              <m:sty m:val="b"/>
            </m:rPr>
            <m:t>A</m:t>
          </m:r>
          <m:r>
            <m:rPr>
              <m:sty m:val="p"/>
            </m:rPr>
            <m:t>=</m:t>
          </m:r>
          <m:r>
            <m:rPr>
              <m:sty m:val="b"/>
            </m:rPr>
            <m:t>I</m:t>
          </m:r>
        </m:oMath>
      </m:oMathPara>
    </w:p>
    <w:p>
      <w:pPr>
        <w:pStyle w:val="FirstParagraph"/>
      </w:pPr>
      <w:r>
        <w:t xml:space="preserve">Now, let</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1</m:t>
                    </m:r>
                  </m:e>
                  <m:e>
                    <m:r>
                      <m:t>2</m:t>
                    </m:r>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rPr>
              <m:sty m:val="p"/>
            </m:rPr>
            <m:t>,</m:t>
          </m:r>
        </m:oMath>
      </m:oMathPara>
    </w:p>
    <w:p>
      <w:pPr>
        <w:pStyle w:val="FirstParagraph"/>
      </w:pPr>
      <w:r>
        <w:t xml:space="preserve">Then,</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a</m:t>
                    </m:r>
                  </m:e>
                  <m:e>
                    <m:r>
                      <m:t>b</m:t>
                    </m:r>
                  </m:e>
                </m:mr>
                <m:mr>
                  <m:e>
                    <m:r>
                      <m:t>c</m:t>
                    </m:r>
                  </m:e>
                  <m:e>
                    <m:r>
                      <m:t>d</m:t>
                    </m:r>
                  </m:e>
                </m:mr>
              </m:m>
            </m:e>
          </m:d>
          <m:d>
            <m:dPr>
              <m:begChr m:val="["/>
              <m:endChr m:val="]"/>
              <m:sepChr m:val=""/>
              <m:grow/>
            </m:dPr>
            <m:e>
              <m:m>
                <m:mPr>
                  <m:baseJc m:val="center"/>
                  <m:plcHide m:val="on"/>
                  <m:mcs>
                    <m:mc>
                      <m:mcPr>
                        <m:mcJc m:val="center"/>
                        <m:count m:val="1"/>
                      </m:mcPr>
                    </m:mc>
                    <m:mc>
                      <m:mcPr>
                        <m:mcJc m:val="center"/>
                        <m:count m:val="1"/>
                      </m:mcPr>
                    </m:mc>
                  </m:mcs>
                </m:mPr>
                <m:mr>
                  <m:e>
                    <m:r>
                      <m:t>1</m:t>
                    </m:r>
                  </m:e>
                  <m:e>
                    <m:r>
                      <m:t>2</m:t>
                    </m:r>
                  </m:e>
                </m:mr>
                <m:mr>
                  <m:e>
                    <m:r>
                      <m:t>1</m:t>
                    </m:r>
                  </m:e>
                  <m:e>
                    <m:r>
                      <m:t>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0</m:t>
                    </m:r>
                  </m:e>
                </m:mr>
                <m:mr>
                  <m:e>
                    <m:r>
                      <m:t>0</m:t>
                    </m:r>
                  </m:e>
                  <m:e>
                    <m:r>
                      <m:t>1</m:t>
                    </m:r>
                  </m:e>
                </m:mr>
              </m:m>
            </m:e>
          </m:d>
          <m:r>
            <m:rPr>
              <m:sty m:val="p"/>
            </m:rPr>
            <m:t>.</m:t>
          </m:r>
        </m:oMath>
      </m:oMathPara>
    </w:p>
    <w:p>
      <w:pPr>
        <w:pStyle w:val="FirstParagraph"/>
      </w:pPr>
      <w:r>
        <w:t xml:space="preserve">This means that</w:t>
      </w:r>
      <w:r>
        <w:t xml:space="preserve"> </w:t>
      </w:r>
      <m:oMath>
        <m:r>
          <m:t>a</m:t>
        </m:r>
        <m:r>
          <m:rPr>
            <m:sty m:val="p"/>
          </m:rPr>
          <m:t>+</m:t>
        </m:r>
        <m:r>
          <m:t>b</m:t>
        </m:r>
        <m:r>
          <m:rPr>
            <m:sty m:val="p"/>
          </m:rPr>
          <m:t>=</m:t>
        </m:r>
        <m:r>
          <m:t>1</m:t>
        </m:r>
      </m:oMath>
      <w:r>
        <w:t xml:space="preserve"> </w:t>
      </w:r>
      <w:r>
        <w:t xml:space="preserve">and</w:t>
      </w:r>
      <w:r>
        <w:t xml:space="preserve"> </w:t>
      </w:r>
      <m:oMath>
        <m:r>
          <m:t>2</m:t>
        </m:r>
        <m:r>
          <m:t>a</m:t>
        </m:r>
        <m:r>
          <m:rPr>
            <m:sty m:val="p"/>
          </m:rPr>
          <m:t>+</m:t>
        </m:r>
        <m:r>
          <m:t>2</m:t>
        </m:r>
        <m:r>
          <m:t>b</m:t>
        </m:r>
        <m:r>
          <m:rPr>
            <m:sty m:val="p"/>
          </m:rPr>
          <m:t>=</m:t>
        </m:r>
        <m:r>
          <m:t>0</m:t>
        </m:r>
      </m:oMath>
      <w:r>
        <w:t xml:space="preserve">, which is a contradiction, suggesting A does not have an inverse.</w:t>
      </w:r>
    </w:p>
    <w:bookmarkEnd w:id="132"/>
    <w:bookmarkEnd w:id="133"/>
    <w:bookmarkStart w:id="155" w:name="references-1"/>
    <w:p>
      <w:pPr>
        <w:pStyle w:val="Heading2"/>
      </w:pPr>
      <w:r>
        <w:rPr>
          <w:rStyle w:val="SectionNumber"/>
        </w:rPr>
        <w:t xml:space="preserve">4.3</w:t>
      </w:r>
      <w:r>
        <w:tab/>
      </w:r>
      <w:r>
        <w:t xml:space="preserve">References</w:t>
      </w:r>
    </w:p>
    <w:bookmarkStart w:id="154" w:name="refs"/>
    <w:bookmarkStart w:id="135"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4">
        <w:r>
          <w:rPr>
            <w:rStyle w:val="Hyperlink"/>
          </w:rPr>
          <w:t xml:space="preserve">https://socialsciences.mcmaster.ca/jfox/Books/Companion/</w:t>
        </w:r>
      </w:hyperlink>
      <w:r>
        <w:t xml:space="preserve">.</w:t>
      </w:r>
    </w:p>
    <w:bookmarkEnd w:id="135"/>
    <w:bookmarkStart w:id="137"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6">
        <w:r>
          <w:rPr>
            <w:rStyle w:val="Hyperlink"/>
          </w:rPr>
          <w:t xml:space="preserve">https://doi.org/10.1007/978-1-4613-0893-5_17</w:t>
        </w:r>
      </w:hyperlink>
      <w:r>
        <w:t xml:space="preserve">.</w:t>
      </w:r>
    </w:p>
    <w:bookmarkEnd w:id="137"/>
    <w:bookmarkStart w:id="139"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8">
        <w:r>
          <w:rPr>
            <w:rStyle w:val="Hyperlink"/>
          </w:rPr>
          <w:t xml:space="preserve">https://doi.org/10.1016/B978-0-12-724960-5.50010-X</w:t>
        </w:r>
      </w:hyperlink>
      <w:r>
        <w:t xml:space="preserve">.</w:t>
      </w:r>
    </w:p>
    <w:bookmarkEnd w:id="139"/>
    <w:bookmarkStart w:id="141"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40">
        <w:r>
          <w:rPr>
            <w:rStyle w:val="Hyperlink"/>
          </w:rPr>
          <w:t xml:space="preserve">https://doi.org/10.2307/1130295</w:t>
        </w:r>
      </w:hyperlink>
      <w:r>
        <w:t xml:space="preserve">.</w:t>
      </w:r>
    </w:p>
    <w:bookmarkEnd w:id="141"/>
    <w:bookmarkStart w:id="142"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2"/>
    <w:bookmarkStart w:id="144"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3">
        <w:r>
          <w:rPr>
            <w:rStyle w:val="Hyperlink"/>
          </w:rPr>
          <w:t xml:space="preserve">https://doi.org/10.1080/00221325.1972.10533131</w:t>
        </w:r>
      </w:hyperlink>
      <w:r>
        <w:t xml:space="preserve">.</w:t>
      </w:r>
    </w:p>
    <w:bookmarkEnd w:id="144"/>
    <w:bookmarkStart w:id="146"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5">
        <w:r>
          <w:rPr>
            <w:rStyle w:val="Hyperlink"/>
          </w:rPr>
          <w:t xml:space="preserve">https://CRAN.R-project.org/package=psych</w:t>
        </w:r>
      </w:hyperlink>
      <w:r>
        <w:t xml:space="preserve">.</w:t>
      </w:r>
    </w:p>
    <w:bookmarkEnd w:id="146"/>
    <w:bookmarkStart w:id="148"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7">
        <w:r>
          <w:rPr>
            <w:rStyle w:val="Hyperlink"/>
          </w:rPr>
          <w:t xml:space="preserve">https://CRAN.R-project.org/package=naniar</w:t>
        </w:r>
      </w:hyperlink>
      <w:r>
        <w:t xml:space="preserve">.</w:t>
      </w:r>
    </w:p>
    <w:bookmarkEnd w:id="148"/>
    <w:bookmarkStart w:id="149"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9"/>
    <w:bookmarkStart w:id="151"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50">
        <w:r>
          <w:rPr>
            <w:rStyle w:val="Hyperlink"/>
          </w:rPr>
          <w:t xml:space="preserve">https://ggplot2.tidyverse.org</w:t>
        </w:r>
      </w:hyperlink>
      <w:r>
        <w:t xml:space="preserve">.</w:t>
      </w:r>
    </w:p>
    <w:bookmarkEnd w:id="151"/>
    <w:bookmarkStart w:id="153" w:name="ref-tidyr"/>
    <w:p>
      <w:pPr>
        <w:pStyle w:val="Bibliography"/>
      </w:pPr>
      <w:r>
        <w:t xml:space="preserve">———. 2021.</w:t>
      </w:r>
      <w:r>
        <w:t xml:space="preserve"> </w:t>
      </w:r>
      <w:r>
        <w:rPr>
          <w:iCs/>
          <w:i/>
        </w:rPr>
        <w:t xml:space="preserve">Tidyr: Tidy Messy Data</w:t>
      </w:r>
      <w:r>
        <w:t xml:space="preserve">.</w:t>
      </w:r>
      <w:r>
        <w:t xml:space="preserve"> </w:t>
      </w:r>
      <w:hyperlink r:id="rId152">
        <w:r>
          <w:rPr>
            <w:rStyle w:val="Hyperlink"/>
          </w:rPr>
          <w:t xml:space="preserve">https://CRAN.R-project.org/package=tidyr</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7" Target="https://CRAN.R-project.org/package=naniar" TargetMode="External" /><Relationship Type="http://schemas.openxmlformats.org/officeDocument/2006/relationships/hyperlink" Id="rId145" Target="https://CRAN.R-project.org/package=psych" TargetMode="External" /><Relationship Type="http://schemas.openxmlformats.org/officeDocument/2006/relationships/hyperlink" Id="rId152"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6" Target="https://doi.org/10.1007/978-1-4613-0893-5_17" TargetMode="External" /><Relationship Type="http://schemas.openxmlformats.org/officeDocument/2006/relationships/hyperlink" Id="rId138" Target="https://doi.org/10.1016/B978-0-12-724960-5.50010-X" TargetMode="External" /><Relationship Type="http://schemas.openxmlformats.org/officeDocument/2006/relationships/hyperlink" Id="rId143" Target="https://doi.org/10.1080/00221325.1972.10533131" TargetMode="External" /><Relationship Type="http://schemas.openxmlformats.org/officeDocument/2006/relationships/hyperlink" Id="rId140"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50"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4"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7" Target="https://CRAN.R-project.org/package=naniar" TargetMode="External" /><Relationship Type="http://schemas.openxmlformats.org/officeDocument/2006/relationships/hyperlink" Id="rId145" Target="https://CRAN.R-project.org/package=psych" TargetMode="External" /><Relationship Type="http://schemas.openxmlformats.org/officeDocument/2006/relationships/hyperlink" Id="rId152"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6" Target="https://doi.org/10.1007/978-1-4613-0893-5_17" TargetMode="External" /><Relationship Type="http://schemas.openxmlformats.org/officeDocument/2006/relationships/hyperlink" Id="rId138" Target="https://doi.org/10.1016/B978-0-12-724960-5.50010-X" TargetMode="External" /><Relationship Type="http://schemas.openxmlformats.org/officeDocument/2006/relationships/hyperlink" Id="rId143" Target="https://doi.org/10.1080/00221325.1972.10533131" TargetMode="External" /><Relationship Type="http://schemas.openxmlformats.org/officeDocument/2006/relationships/hyperlink" Id="rId140"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50"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4"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2025-01-30T10:32:46Z</dcterms:created>
  <dcterms:modified xsi:type="dcterms:W3CDTF">2025-01-30T10:32:46Z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2025-01-30</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