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0.png" ContentType="image/png"/>
  <Override PartName="/word/media/rId188.png" ContentType="image/png"/>
  <Override PartName="/word/media/rId191.png" ContentType="image/png"/>
  <Override PartName="/word/media/rId195.png" ContentType="image/png"/>
  <Override PartName="/word/media/rId200.png" ContentType="image/png"/>
  <Override PartName="/word/media/rId209.png" ContentType="image/png"/>
  <Override PartName="/word/media/rId214.png" ContentType="image/png"/>
  <Override PartName="/word/media/rId217.png" ContentType="image/png"/>
  <Override PartName="/word/media/rId222.png" ContentType="image/png"/>
  <Override PartName="/word/media/rId227.png" ContentType="image/png"/>
  <Override PartName="/word/media/rId238.png" ContentType="image/png"/>
  <Override PartName="/word/media/rId241.png" ContentType="image/png"/>
  <Override PartName="/word/media/rId266.png" ContentType="image/png"/>
  <Override PartName="/word/media/rId284.png" ContentType="image/png"/>
  <Override PartName="/word/media/rId287.png" ContentType="image/png"/>
  <Override PartName="/word/media/rId290.png" ContentType="image/png"/>
  <Override PartName="/word/media/rId293.png" ContentType="image/png"/>
  <Override PartName="/word/media/rId296.png" ContentType="image/png"/>
  <Override PartName="/word/media/rId324.png" ContentType="image/png"/>
  <Override PartName="/word/media/rId330.png" ContentType="image/png"/>
  <Override PartName="/word/media/rId334.png" ContentType="image/png"/>
  <Override PartName="/word/media/rId205.shtml" ContentType="text/html; charset=UTF-8"/>
  <Override PartName="/word/media/rId143.png" ContentType="image/png"/>
  <Override PartName="/word/media/rId148.png" ContentType="image/png"/>
  <Override PartName="/word/media/rId138.png" ContentType="image/png"/>
  <Override PartName="/word/media/rId173.jpg" ContentType="image/jpeg"/>
  <Override PartName="/word/media/rId169.png" ContentType="image/png"/>
  <Override PartName="/word/media/rId277.jpg" ContentType="image/jpeg"/>
  <Override PartName="/word/media/rId272.jpg" ContentType="image/jpeg"/>
  <Override PartName="/word/media/rId124.png" ContentType="image/png"/>
  <Override PartName="/word/media/rId127.png" ContentType="image/png"/>
  <Override PartName="/word/media/rId305.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2023-02-15</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SourceCode"/>
      </w:pPr>
      <w:r>
        <w:rPr>
          <w:rStyle w:val="VerbatimChar"/>
        </w:rPr>
        <w:t xml:space="preserve">## Warning: `gather_()` was deprecated in tidyr 1.2.0.</w:t>
      </w:r>
      <w:r>
        <w:br/>
      </w:r>
      <w:r>
        <w:rPr>
          <w:rStyle w:val="VerbatimChar"/>
        </w:rPr>
        <w:t xml:space="preserve">## ℹ Please use `gather()` instead.</w:t>
      </w:r>
      <w:r>
        <w:br/>
      </w:r>
      <w:r>
        <w:rPr>
          <w:rStyle w:val="VerbatimChar"/>
        </w:rPr>
        <w:t xml:space="preserve">## ℹ The deprecated feature was likely used in the visdat package.</w:t>
      </w:r>
      <w:r>
        <w:br/>
      </w:r>
      <w:r>
        <w:rPr>
          <w:rStyle w:val="VerbatimChar"/>
        </w:rPr>
        <w:t xml:space="preserve">##   Please report the issue at &lt;]8;;https://github.com/ropensci/visdat/issueshttps://github.com/ropensci/visdat/issues]8;;&gt;.</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4"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w:r>
        <w:t xml:space="preserve">$$
\mathbf{A} = \begin{bmatrix} 
1 &amp; 2 \\
1 &amp; 2
\end{bmatrix}
, \enspace
\mathbf{B} = \begin{bmatrix} 
a &amp; b \\
c &amp; d
\end{bmatrix},
$$</w:t>
      </w:r>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End w:id="134"/>
    <w:bookmarkStart w:id="178"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5"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5"/>
    <w:bookmarkStart w:id="136"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6"/>
    <w:bookmarkStart w:id="152"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7"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7"/>
    <w:bookmarkStart w:id="142"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39" name="Picture"/>
            <a:graphic>
              <a:graphicData uri="http://schemas.openxmlformats.org/drawingml/2006/picture">
                <pic:pic>
                  <pic:nvPicPr>
                    <pic:cNvPr descr="imgs/heterohomo.png" id="140" name="Picture"/>
                    <pic:cNvPicPr>
                      <a:picLocks noChangeArrowheads="1" noChangeAspect="1"/>
                    </pic:cNvPicPr>
                  </pic:nvPicPr>
                  <pic:blipFill>
                    <a:blip r:embed="rId138"/>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1">
        <w:r>
          <w:rPr>
            <w:rStyle w:val="Hyperlink"/>
          </w:rPr>
          <w:t xml:space="preserve">https://en.wikipedia.org/wiki/Homoscedasticity</w:t>
        </w:r>
      </w:hyperlink>
    </w:p>
    <w:bookmarkEnd w:id="142"/>
    <w:bookmarkStart w:id="146"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4" name="Picture"/>
            <a:graphic>
              <a:graphicData uri="http://schemas.openxmlformats.org/drawingml/2006/picture">
                <pic:pic>
                  <pic:nvPicPr>
                    <pic:cNvPr descr="imgs/auto.png" id="145" name="Picture"/>
                    <pic:cNvPicPr>
                      <a:picLocks noChangeArrowheads="1" noChangeAspect="1"/>
                    </pic:cNvPicPr>
                  </pic:nvPicPr>
                  <pic:blipFill>
                    <a:blip r:embed="rId143"/>
                    <a:stretch>
                      <a:fillRect/>
                    </a:stretch>
                  </pic:blipFill>
                  <pic:spPr bwMode="auto">
                    <a:xfrm>
                      <a:off x="0" y="0"/>
                      <a:ext cx="5334000" cy="8369300"/>
                    </a:xfrm>
                    <a:prstGeom prst="rect">
                      <a:avLst/>
                    </a:prstGeom>
                    <a:noFill/>
                    <a:ln w="9525">
                      <a:noFill/>
                      <a:headEnd/>
                      <a:tailEnd/>
                    </a:ln>
                  </pic:spPr>
                </pic:pic>
              </a:graphicData>
            </a:graphic>
          </wp:inline>
        </w:drawing>
      </w:r>
    </w:p>
    <w:bookmarkEnd w:id="146"/>
    <w:bookmarkStart w:id="14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7"/>
    <w:bookmarkStart w:id="151"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49" name="Picture"/>
            <a:graphic>
              <a:graphicData uri="http://schemas.openxmlformats.org/drawingml/2006/picture">
                <pic:pic>
                  <pic:nvPicPr>
                    <pic:cNvPr descr="imgs/errorcovx.png" id="150" name="Picture"/>
                    <pic:cNvPicPr>
                      <a:picLocks noChangeArrowheads="1" noChangeAspect="1"/>
                    </pic:cNvPicPr>
                  </pic:nvPicPr>
                  <pic:blipFill>
                    <a:blip r:embed="rId14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1"/>
    <w:bookmarkEnd w:id="152"/>
    <w:bookmarkStart w:id="156"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3"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3"/>
    <w:bookmarkStart w:id="154"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4"/>
    <w:bookmarkStart w:id="155"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5"/>
    <w:bookmarkEnd w:id="156"/>
    <w:bookmarkStart w:id="160"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7"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7"/>
    <w:bookmarkStart w:id="158"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8"/>
    <w:bookmarkStart w:id="159"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59"/>
    <w:bookmarkEnd w:id="160"/>
    <w:bookmarkStart w:id="165"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1"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1"/>
    <w:bookmarkStart w:id="162"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2"/>
    <w:bookmarkStart w:id="163"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3"/>
    <w:bookmarkStart w:id="164"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4"/>
    <w:bookmarkEnd w:id="165"/>
    <w:bookmarkStart w:id="168"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6"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6"/>
    <w:bookmarkStart w:id="167"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7"/>
    <w:bookmarkEnd w:id="168"/>
    <w:bookmarkStart w:id="177"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0" name="Picture"/>
            <a:graphic>
              <a:graphicData uri="http://schemas.openxmlformats.org/drawingml/2006/picture">
                <pic:pic>
                  <pic:nvPicPr>
                    <pic:cNvPr descr="imgs/lpmhetero.png" id="171" name="Picture"/>
                    <pic:cNvPicPr>
                      <a:picLocks noChangeArrowheads="1" noChangeAspect="1"/>
                    </pic:cNvPicPr>
                  </pic:nvPicPr>
                  <pic:blipFill>
                    <a:blip r:embed="rId169"/>
                    <a:stretch>
                      <a:fillRect/>
                    </a:stretch>
                  </pic:blipFill>
                  <pic:spPr bwMode="auto">
                    <a:xfrm>
                      <a:off x="0" y="0"/>
                      <a:ext cx="5334000" cy="2667000"/>
                    </a:xfrm>
                    <a:prstGeom prst="rect">
                      <a:avLst/>
                    </a:prstGeom>
                    <a:noFill/>
                    <a:ln w="9525">
                      <a:noFill/>
                      <a:headEnd/>
                      <a:tailEnd/>
                    </a:ln>
                  </pic:spPr>
                </pic:pic>
              </a:graphicData>
            </a:graphic>
          </wp:inline>
        </w:drawing>
      </w:r>
    </w:p>
    <w:bookmarkStart w:id="172"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2"/>
    <w:bookmarkStart w:id="176"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4" name="Picture"/>
            <a:graphic>
              <a:graphicData uri="http://schemas.openxmlformats.org/drawingml/2006/picture">
                <pic:pic>
                  <pic:nvPicPr>
                    <pic:cNvPr descr="imgs/lpm.jpeg" id="175" name="Picture"/>
                    <pic:cNvPicPr>
                      <a:picLocks noChangeArrowheads="1" noChangeAspect="1"/>
                    </pic:cNvPicPr>
                  </pic:nvPicPr>
                  <pic:blipFill>
                    <a:blip r:embed="rId173"/>
                    <a:stretch>
                      <a:fillRect/>
                    </a:stretch>
                  </pic:blipFill>
                  <pic:spPr bwMode="auto">
                    <a:xfrm>
                      <a:off x="0" y="0"/>
                      <a:ext cx="5334000" cy="4761088"/>
                    </a:xfrm>
                    <a:prstGeom prst="rect">
                      <a:avLst/>
                    </a:prstGeom>
                    <a:noFill/>
                    <a:ln w="9525">
                      <a:noFill/>
                      <a:headEnd/>
                      <a:tailEnd/>
                    </a:ln>
                  </pic:spPr>
                </pic:pic>
              </a:graphicData>
            </a:graphic>
          </wp:inline>
        </w:drawing>
      </w:r>
    </w:p>
    <w:bookmarkEnd w:id="176"/>
    <w:bookmarkEnd w:id="177"/>
    <w:bookmarkEnd w:id="178"/>
    <w:bookmarkStart w:id="246"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79"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179"/>
    <w:bookmarkStart w:id="187"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1" name="Picture"/>
            <a:graphic>
              <a:graphicData uri="http://schemas.openxmlformats.org/drawingml/2006/picture">
                <pic:pic>
                  <pic:nvPicPr>
                    <pic:cNvPr descr="_main_files/figure-docx/unnamed-chunk-49-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bookmarkStart w:id="183"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83"/>
    <w:bookmarkStart w:id="184"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84"/>
    <w:bookmarkStart w:id="185"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85"/>
    <w:bookmarkStart w:id="186"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186"/>
    <w:bookmarkEnd w:id="187"/>
    <w:bookmarkStart w:id="204"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_main_files/figure-docx/unnamed-chunk-53-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_main_files/figure-docx/unnamed-chunk-54-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Start w:id="194"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94"/>
    <w:bookmarkStart w:id="198"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96" name="Picture"/>
            <a:graphic>
              <a:graphicData uri="http://schemas.openxmlformats.org/drawingml/2006/picture">
                <pic:pic>
                  <pic:nvPicPr>
                    <pic:cNvPr descr="_main_files/figure-docx/unnamed-chunk-56-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bookmarkEnd w:id="198"/>
    <w:bookmarkStart w:id="199"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99"/>
    <w:bookmarkStart w:id="203"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01" name="Picture"/>
            <a:graphic>
              <a:graphicData uri="http://schemas.openxmlformats.org/drawingml/2006/picture">
                <pic:pic>
                  <pic:nvPicPr>
                    <pic:cNvPr descr="_main_files/figure-docx/unnamed-chunk-57-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3"/>
    <w:bookmarkEnd w:id="204"/>
    <w:bookmarkStart w:id="21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06" name="Picture"/>
            <a:graphic>
              <a:graphicData uri="http://schemas.openxmlformats.org/drawingml/2006/picture">
                <pic:pic>
                  <pic:nvPicPr>
                    <pic:cNvPr descr="https://journals.sagepub.com/doi/full/10.1177/0013164418817801" id="207" name="Picture"/>
                    <pic:cNvPicPr>
                      <a:picLocks noChangeArrowheads="1" noChangeAspect="1"/>
                    </pic:cNvPicPr>
                  </pic:nvPicPr>
                  <pic:blipFill>
                    <a:blip r:embed="rId20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08"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08"/>
    <w:bookmarkStart w:id="21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10" name="Picture"/>
            <a:graphic>
              <a:graphicData uri="http://schemas.openxmlformats.org/drawingml/2006/picture">
                <pic:pic>
                  <pic:nvPicPr>
                    <pic:cNvPr descr="_main_files/figure-docx/unnamed-chunk-60-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12"/>
    <w:bookmarkEnd w:id="213"/>
    <w:bookmarkStart w:id="231"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15" name="Picture"/>
            <a:graphic>
              <a:graphicData uri="http://schemas.openxmlformats.org/drawingml/2006/picture">
                <pic:pic>
                  <pic:nvPicPr>
                    <pic:cNvPr descr="_main_files/figure-docx/unnamed-chunk-61-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18" name="Picture"/>
            <a:graphic>
              <a:graphicData uri="http://schemas.openxmlformats.org/drawingml/2006/picture">
                <pic:pic>
                  <pic:nvPicPr>
                    <pic:cNvPr descr="_main_files/figure-docx/unnamed-chunk-62-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Start w:id="220"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20"/>
    <w:bookmarkStart w:id="221"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21"/>
    <w:bookmarkStart w:id="226"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23" name="Picture"/>
            <a:graphic>
              <a:graphicData uri="http://schemas.openxmlformats.org/drawingml/2006/picture">
                <pic:pic>
                  <pic:nvPicPr>
                    <pic:cNvPr descr="_main_files/figure-docx/unnamed-chunk-65-1.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bookmarkStart w:id="225"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25"/>
    <w:bookmarkEnd w:id="226"/>
    <w:bookmarkStart w:id="230"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28" name="Picture"/>
            <a:graphic>
              <a:graphicData uri="http://schemas.openxmlformats.org/drawingml/2006/picture">
                <pic:pic>
                  <pic:nvPicPr>
                    <pic:cNvPr descr="_main_files/figure-docx/unnamed-chunk-66-1.png" id="229" name="Picture"/>
                    <pic:cNvPicPr>
                      <a:picLocks noChangeArrowheads="1" noChangeAspect="1"/>
                    </pic:cNvPicPr>
                  </pic:nvPicPr>
                  <pic:blipFill>
                    <a:blip r:embed="rId2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30"/>
    <w:bookmarkEnd w:id="231"/>
    <w:bookmarkStart w:id="245"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33"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32"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32"/>
    <w:bookmarkEnd w:id="233"/>
    <w:bookmarkStart w:id="235"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34"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34"/>
    <w:bookmarkEnd w:id="235"/>
    <w:bookmarkStart w:id="236"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36"/>
    <w:bookmarkStart w:id="237"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37"/>
    <w:bookmarkStart w:id="244"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39" name="Picture"/>
            <a:graphic>
              <a:graphicData uri="http://schemas.openxmlformats.org/drawingml/2006/picture">
                <pic:pic>
                  <pic:nvPicPr>
                    <pic:cNvPr descr="_main_files/figure-docx/unnamed-chunk-68-1.png" id="24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2" name="Picture"/>
            <a:graphic>
              <a:graphicData uri="http://schemas.openxmlformats.org/drawingml/2006/picture">
                <pic:pic>
                  <pic:nvPicPr>
                    <pic:cNvPr descr="_main_files/figure-docx/unnamed-chunk-69-1.png" id="243"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244"/>
    <w:bookmarkEnd w:id="245"/>
    <w:bookmarkEnd w:id="246"/>
    <w:bookmarkStart w:id="301"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248"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247"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247"/>
    <w:bookmarkEnd w:id="248"/>
    <w:bookmarkStart w:id="253"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249"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249"/>
    <w:bookmarkStart w:id="250"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250"/>
    <w:bookmarkStart w:id="251"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51"/>
    <w:bookmarkStart w:id="252"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252"/>
    <w:bookmarkEnd w:id="253"/>
    <w:bookmarkStart w:id="256" w:name="binary-logistic-regression"/>
    <w:p>
      <w:pPr>
        <w:pStyle w:val="Heading2"/>
      </w:pPr>
      <w:r>
        <w:rPr>
          <w:rStyle w:val="SectionNumber"/>
        </w:rPr>
        <w:t xml:space="preserve">7.3</w:t>
      </w:r>
      <w:r>
        <w:tab/>
      </w:r>
      <w:r>
        <w:t xml:space="preserve">Binary Logistic Regression</w:t>
      </w:r>
    </w:p>
    <w:bookmarkStart w:id="254"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254"/>
    <w:bookmarkStart w:id="255"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255"/>
    <w:bookmarkEnd w:id="256"/>
    <w:bookmarkStart w:id="258"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257"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257"/>
    <w:bookmarkEnd w:id="258"/>
    <w:bookmarkStart w:id="262"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259"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259"/>
    <w:bookmarkStart w:id="261" w:name="interpretation-1"/>
    <w:p>
      <w:pPr>
        <w:pStyle w:val="Heading3"/>
      </w:pPr>
      <w:r>
        <w:rPr>
          <w:rStyle w:val="SectionNumber"/>
        </w:rPr>
        <w:t xml:space="preserve">7.5.2</w:t>
      </w:r>
      <w:r>
        <w:tab/>
      </w:r>
      <w:r>
        <w:t xml:space="preserve">Interpretation</w:t>
      </w:r>
    </w:p>
    <w:bookmarkStart w:id="260"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260"/>
    <w:bookmarkEnd w:id="261"/>
    <w:bookmarkEnd w:id="262"/>
    <w:bookmarkStart w:id="271"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263"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263"/>
    <w:bookmarkStart w:id="270"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264"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264"/>
    <w:bookmarkStart w:id="265"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265"/>
    <w:bookmarkStart w:id="269"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7" name="Picture"/>
            <a:graphic>
              <a:graphicData uri="http://schemas.openxmlformats.org/drawingml/2006/picture">
                <pic:pic>
                  <pic:nvPicPr>
                    <pic:cNvPr descr="_main_files/figure-docx/unnamed-chunk-79-1.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269"/>
    <w:bookmarkEnd w:id="270"/>
    <w:bookmarkEnd w:id="271"/>
    <w:bookmarkStart w:id="300"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275"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273" name="Picture"/>
            <a:graphic>
              <a:graphicData uri="http://schemas.openxmlformats.org/drawingml/2006/picture">
                <pic:pic>
                  <pic:nvPicPr>
                    <pic:cNvPr descr="imgs/marginals.jpg" id="274" name="Picture"/>
                    <pic:cNvPicPr>
                      <a:picLocks noChangeArrowheads="1" noChangeAspect="1"/>
                    </pic:cNvPicPr>
                  </pic:nvPicPr>
                  <pic:blipFill>
                    <a:blip r:embed="rId272"/>
                    <a:stretch>
                      <a:fillRect/>
                    </a:stretch>
                  </pic:blipFill>
                  <pic:spPr bwMode="auto">
                    <a:xfrm>
                      <a:off x="0" y="0"/>
                      <a:ext cx="5334000" cy="3137045"/>
                    </a:xfrm>
                    <a:prstGeom prst="rect">
                      <a:avLst/>
                    </a:prstGeom>
                    <a:noFill/>
                    <a:ln w="9525">
                      <a:noFill/>
                      <a:headEnd/>
                      <a:tailEnd/>
                    </a:ln>
                  </pic:spPr>
                </pic:pic>
              </a:graphicData>
            </a:graphic>
          </wp:inline>
        </w:drawing>
      </w:r>
    </w:p>
    <w:bookmarkEnd w:id="275"/>
    <w:bookmarkStart w:id="281"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280"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27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278" name="Picture"/>
            <a:graphic>
              <a:graphicData uri="http://schemas.openxmlformats.org/drawingml/2006/picture">
                <pic:pic>
                  <pic:nvPicPr>
                    <pic:cNvPr descr="imgs/marginaleffectsimg.jpg" id="279" name="Picture"/>
                    <pic:cNvPicPr>
                      <a:picLocks noChangeArrowheads="1" noChangeAspect="1"/>
                    </pic:cNvPicPr>
                  </pic:nvPicPr>
                  <pic:blipFill>
                    <a:blip r:embed="rId27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276">
        <w:r>
          <w:rPr>
            <w:rStyle w:val="Hyperlink"/>
          </w:rPr>
          <w:t xml:space="preserve">https://vincentarelbundock.github.io/marginaleffects/articles/mfx.html</w:t>
        </w:r>
      </w:hyperlink>
    </w:p>
    <w:bookmarkEnd w:id="280"/>
    <w:bookmarkEnd w:id="281"/>
    <w:bookmarkStart w:id="282"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282"/>
    <w:bookmarkStart w:id="283"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283"/>
    <w:bookmarkStart w:id="299"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285" name="Picture"/>
            <a:graphic>
              <a:graphicData uri="http://schemas.openxmlformats.org/drawingml/2006/picture">
                <pic:pic>
                  <pic:nvPicPr>
                    <pic:cNvPr descr="_main_files/figure-docx/unnamed-chunk-81-1.png" id="286" name="Picture"/>
                    <pic:cNvPicPr>
                      <a:picLocks noChangeArrowheads="1" noChangeAspect="1"/>
                    </pic:cNvPicPr>
                  </pic:nvPicPr>
                  <pic:blipFill>
                    <a:blip r:embed="rId2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2-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291" name="Picture"/>
            <a:graphic>
              <a:graphicData uri="http://schemas.openxmlformats.org/drawingml/2006/picture">
                <pic:pic>
                  <pic:nvPicPr>
                    <pic:cNvPr descr="_main_files/figure-docx/unnamed-chunk-83-1.png" id="292"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294" name="Picture"/>
            <a:graphic>
              <a:graphicData uri="http://schemas.openxmlformats.org/drawingml/2006/picture">
                <pic:pic>
                  <pic:nvPicPr>
                    <pic:cNvPr descr="_main_files/figure-docx/unnamed-chunk-84-1.png" id="295" name="Picture"/>
                    <pic:cNvPicPr>
                      <a:picLocks noChangeArrowheads="1" noChangeAspect="1"/>
                    </pic:cNvPicPr>
                  </pic:nvPicPr>
                  <pic:blipFill>
                    <a:blip r:embed="rId2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297" name="Picture"/>
            <a:graphic>
              <a:graphicData uri="http://schemas.openxmlformats.org/drawingml/2006/picture">
                <pic:pic>
                  <pic:nvPicPr>
                    <pic:cNvPr descr="_main_files/figure-docx/unnamed-chunk-85-1.png" id="298" name="Picture"/>
                    <pic:cNvPicPr>
                      <a:picLocks noChangeArrowheads="1" noChangeAspect="1"/>
                    </pic:cNvPicPr>
                  </pic:nvPicPr>
                  <pic:blipFill>
                    <a:blip r:embed="rId296"/>
                    <a:stretch>
                      <a:fillRect/>
                    </a:stretch>
                  </pic:blipFill>
                  <pic:spPr bwMode="auto">
                    <a:xfrm>
                      <a:off x="0" y="0"/>
                      <a:ext cx="5334000" cy="4267200"/>
                    </a:xfrm>
                    <a:prstGeom prst="rect">
                      <a:avLst/>
                    </a:prstGeom>
                    <a:noFill/>
                    <a:ln w="9525">
                      <a:noFill/>
                      <a:headEnd/>
                      <a:tailEnd/>
                    </a:ln>
                  </pic:spPr>
                </pic:pic>
              </a:graphicData>
            </a:graphic>
          </wp:inline>
        </w:drawing>
      </w:r>
    </w:p>
    <w:bookmarkEnd w:id="299"/>
    <w:bookmarkEnd w:id="300"/>
    <w:bookmarkEnd w:id="301"/>
    <w:bookmarkStart w:id="368"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w:t>
      </w:r>
      <w:r>
        <w:t xml:space="preserve"> </w:t>
      </w:r>
      <w:r>
        <w:rPr>
          <w:bCs/>
          <w:b/>
        </w:rPr>
        <w:t xml:space="preserve">Poisson regression</w:t>
      </w:r>
      <w:r>
        <w:t xml:space="preserve">.</w:t>
      </w:r>
    </w:p>
    <w:p>
      <w:pPr>
        <w:numPr>
          <w:ilvl w:val="0"/>
          <w:numId w:val="1022"/>
        </w:numPr>
        <w:pStyle w:val="Compact"/>
      </w:pPr>
      <w:r>
        <w:rPr>
          <w:bCs/>
          <w:b/>
        </w:rPr>
        <w:t xml:space="preserve">Poisson regression can be a useful modeling approach for handling count dependent variables</w:t>
      </w:r>
    </w:p>
    <w:p>
      <w:pPr>
        <w:numPr>
          <w:ilvl w:val="1"/>
          <w:numId w:val="1023"/>
        </w:numPr>
        <w:pStyle w:val="Compact"/>
      </w:pPr>
      <w:r>
        <w:t xml:space="preserve">Counts typically describe nonnegative (or only positive) integer.</w:t>
      </w:r>
    </w:p>
    <w:p>
      <w:pPr>
        <w:numPr>
          <w:ilvl w:val="1"/>
          <w:numId w:val="1023"/>
        </w:numPr>
        <w:pStyle w:val="Compact"/>
      </w:pPr>
      <w:r>
        <w:t xml:space="preserve">Examples of counts are number of drinks per day, children per household, etc.</w:t>
      </w:r>
    </w:p>
    <w:p>
      <w:pPr>
        <w:numPr>
          <w:ilvl w:val="0"/>
          <w:numId w:val="1022"/>
        </w:numPr>
        <w:pStyle w:val="Compact"/>
      </w:pPr>
      <w:r>
        <w:rPr>
          <w:bCs/>
          <w:b/>
        </w:rPr>
        <w:t xml:space="preserve">In certain contexts, the Poisson distribution describes the number of events that occur in a given time period</w:t>
      </w:r>
    </w:p>
    <w:p>
      <w:pPr>
        <w:numPr>
          <w:ilvl w:val="1"/>
          <w:numId w:val="1024"/>
        </w:numPr>
        <w:pStyle w:val="Compact"/>
      </w:pPr>
      <m:oMath>
        <m:r>
          <m:t>μ</m:t>
        </m:r>
      </m:oMath>
      <w:r>
        <w:t xml:space="preserve"> </w:t>
      </w:r>
      <w:r>
        <w:t xml:space="preserve">typically represents the mean number of events per period</w:t>
      </w:r>
    </w:p>
    <w:p>
      <w:pPr>
        <w:numPr>
          <w:ilvl w:val="1"/>
          <w:numId w:val="1024"/>
        </w:numPr>
        <w:pStyle w:val="Compact"/>
      </w:pPr>
      <w:r>
        <w:t xml:space="preserve">In the Poisson distribution, the mean is also equal to the variance.</w:t>
      </w:r>
    </w:p>
    <w:p>
      <w:pPr>
        <w:numPr>
          <w:ilvl w:val="0"/>
          <w:numId w:val="1022"/>
        </w:numPr>
        <w:pStyle w:val="Compact"/>
      </w:pPr>
      <w:r>
        <w:rPr>
          <w:bCs/>
          <w:b/>
        </w:rPr>
        <w:t xml:space="preserve">One important consideration when fitting Poisson regression models is overdispersion</w:t>
      </w:r>
    </w:p>
    <w:p>
      <w:pPr>
        <w:numPr>
          <w:ilvl w:val="1"/>
          <w:numId w:val="1025"/>
        </w:numPr>
        <w:pStyle w:val="Compact"/>
      </w:pPr>
      <w:r>
        <w:t xml:space="preserve">We will look at how one might assess overdispersion in Poisson regression and suggest some alternative procedures. A</w:t>
      </w:r>
    </w:p>
    <w:bookmarkStart w:id="304" w:name="poisson-regression"/>
    <w:p>
      <w:pPr>
        <w:pStyle w:val="Heading2"/>
      </w:pPr>
      <w:r>
        <w:rPr>
          <w:rStyle w:val="SectionNumber"/>
        </w:rPr>
        <w:t xml:space="preserve">8.1</w:t>
      </w:r>
      <w:r>
        <w:tab/>
      </w:r>
      <w:r>
        <w:t xml:space="preserve">Poisson Regression</w:t>
      </w:r>
    </w:p>
    <w:bookmarkStart w:id="302" w:name="review-of-glm"/>
    <w:p>
      <w:pPr>
        <w:pStyle w:val="Heading3"/>
      </w:pPr>
      <w:r>
        <w:rPr>
          <w:rStyle w:val="SectionNumber"/>
        </w:rPr>
        <w:t xml:space="preserve">8.1.1</w:t>
      </w:r>
      <w:r>
        <w:tab/>
      </w:r>
      <w:r>
        <w:t xml:space="preserve">Review of GLM</w:t>
      </w:r>
    </w:p>
    <w:p>
      <w:pPr>
        <w:pStyle w:val="FirstParagraph"/>
      </w:pPr>
      <w:r>
        <w:t xml:space="preserve">To review, there are three important components to the GLM:</w:t>
      </w:r>
    </w:p>
    <w:p>
      <w:pPr>
        <w:numPr>
          <w:ilvl w:val="0"/>
          <w:numId w:val="1026"/>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6"/>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6"/>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End w:id="302"/>
    <w:bookmarkStart w:id="303" w:name="poisson-regression-as-glm-1"/>
    <w:p>
      <w:pPr>
        <w:pStyle w:val="Heading3"/>
      </w:pPr>
      <w:r>
        <w:rPr>
          <w:rStyle w:val="SectionNumber"/>
        </w:rPr>
        <w:t xml:space="preserve">8.1.2</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r>
                <m:t>μ</m:t>
              </m:r>
            </m:e>
          </m:d>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r>
            <m:rPr>
              <m:sty m:val="p"/>
            </m:rPr>
            <m:t>=</m:t>
          </m:r>
          <m:r>
            <m:rPr>
              <m:sty m:val="p"/>
            </m:rPr>
            <m:t>e</m:t>
          </m:r>
          <m:r>
            <m:rPr>
              <m:sty m:val="p"/>
            </m:rPr>
            <m:t>x</m:t>
          </m:r>
          <m:r>
            <m:rPr>
              <m:sty m:val="p"/>
            </m:rPr>
            <m:t>p</m:t>
          </m:r>
          <m:d>
            <m:dPr>
              <m:begChr m:val="("/>
              <m:endChr m:val=")"/>
              <m:sepChr m:val=""/>
              <m:grow/>
            </m:dPr>
            <m:e>
              <m:sSub>
                <m:e>
                  <m:r>
                    <m:t>β</m:t>
                  </m:r>
                </m:e>
                <m:sub>
                  <m:r>
                    <m:t>0</m:t>
                  </m:r>
                </m:sub>
              </m:sSub>
            </m:e>
          </m:d>
          <m:r>
            <m:rPr>
              <m:sty m:val="p"/>
            </m:rPr>
            <m:t>e</m:t>
          </m:r>
          <m:r>
            <m:rPr>
              <m:sty m:val="p"/>
            </m:rPr>
            <m:t>x</m:t>
          </m:r>
          <m:r>
            <m:rPr>
              <m:sty m:val="p"/>
            </m:rPr>
            <m:t>p</m:t>
          </m:r>
          <m:d>
            <m:dPr>
              <m:begChr m:val="("/>
              <m:endChr m:val=")"/>
              <m:sepChr m:val=""/>
              <m:grow/>
            </m:dPr>
            <m:e>
              <m:sSub>
                <m:e>
                  <m:r>
                    <m:t>β</m:t>
                  </m:r>
                </m:e>
                <m:sub>
                  <m:r>
                    <m:t>1</m:t>
                  </m:r>
                </m:sub>
              </m:sSub>
              <m:sSub>
                <m:e>
                  <m:r>
                    <m:t>x</m:t>
                  </m:r>
                </m:e>
                <m:sub>
                  <m:r>
                    <m:t>1</m:t>
                  </m:r>
                </m:sub>
              </m:sSub>
            </m:e>
          </m:d>
          <m:r>
            <m:rPr>
              <m:sty m:val="p"/>
            </m:rPr>
            <m:t>.</m:t>
          </m:r>
        </m:oMath>
      </m:oMathPara>
    </w:p>
    <w:p>
      <w:pPr>
        <w:numPr>
          <w:ilvl w:val="0"/>
          <w:numId w:val="1027"/>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d>
          <m:dPr>
            <m:begChr m:val="("/>
            <m:endChr m:val=")"/>
            <m:sepChr m:val=""/>
            <m:grow/>
          </m:dPr>
          <m:e>
            <m:sSub>
              <m:e>
                <m:r>
                  <m:t>μ</m:t>
                </m:r>
              </m:e>
              <m:sub>
                <m:r>
                  <m:t>i</m:t>
                </m:r>
              </m:sub>
            </m:sSub>
          </m:e>
        </m:d>
      </m:oMath>
      <w:r>
        <w:t xml:space="preserve">.</w:t>
      </w:r>
    </w:p>
    <w:p>
      <w:pPr>
        <w:numPr>
          <w:ilvl w:val="0"/>
          <w:numId w:val="1027"/>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7"/>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03"/>
    <w:bookmarkEnd w:id="304"/>
    <w:bookmarkStart w:id="309"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d>
            <m:dPr>
              <m:begChr m:val="("/>
              <m:endChr m:val=")"/>
              <m:sepChr m:val=""/>
              <m:grow/>
            </m:dPr>
            <m:e>
              <m:r>
                <m:rPr>
                  <m:sty m:val="p"/>
                </m:rPr>
                <m:t>y</m:t>
              </m:r>
              <m:r>
                <m:rPr>
                  <m:sty m:val="p"/>
                </m:rPr>
                <m:t>|</m:t>
              </m:r>
              <m:r>
                <m:t>μ</m:t>
              </m:r>
            </m:e>
          </m:d>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8"/>
        </w:numPr>
        <w:pStyle w:val="Compact"/>
      </w:pPr>
      <m:oMath>
        <m:r>
          <m:t>y</m:t>
        </m:r>
      </m:oMath>
      <w:r>
        <w:t xml:space="preserve"> </w:t>
      </w:r>
      <w:r>
        <w:t xml:space="preserve">is a random count variable</w:t>
      </w:r>
    </w:p>
    <w:p>
      <w:pPr>
        <w:numPr>
          <w:ilvl w:val="0"/>
          <w:numId w:val="1028"/>
        </w:numPr>
        <w:pStyle w:val="Compact"/>
      </w:pPr>
      <m:oMath>
        <m:r>
          <m:t>μ</m:t>
        </m:r>
      </m:oMath>
      <w:r>
        <w:t xml:space="preserve"> </w:t>
      </w:r>
      <w:r>
        <w:t xml:space="preserve">is the expected number of times an event ocurrs</w:t>
      </w:r>
    </w:p>
    <w:p>
      <w:pPr>
        <w:numPr>
          <w:ilvl w:val="0"/>
          <w:numId w:val="1028"/>
        </w:numPr>
        <w:pStyle w:val="Compact"/>
      </w:pPr>
      <m:oMath>
        <m:r>
          <m:t>y</m:t>
        </m:r>
        <m:r>
          <m:rPr>
            <m:sty m:val="p"/>
          </m:rPr>
          <m:t>!</m:t>
        </m:r>
        <m:r>
          <m:rPr>
            <m:sty m:val="p"/>
          </m:rPr>
          <m:t>=</m:t>
        </m:r>
        <m:r>
          <m:t>y</m:t>
        </m:r>
        <m:r>
          <m:rPr>
            <m:sty m:val="p"/>
          </m:rPr>
          <m:t>×</m:t>
        </m:r>
        <m:d>
          <m:dPr>
            <m:begChr m:val="("/>
            <m:endChr m:val=")"/>
            <m:sepChr m:val=""/>
            <m:grow/>
          </m:dPr>
          <m:e>
            <m:r>
              <m:t>y</m:t>
            </m:r>
            <m:r>
              <m:rPr>
                <m:sty m:val="p"/>
              </m:rPr>
              <m:t>−</m:t>
            </m:r>
            <m:r>
              <m:t>1</m:t>
            </m:r>
          </m:e>
        </m:d>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306" name="Picture"/>
            <a:graphic>
              <a:graphicData uri="http://schemas.openxmlformats.org/drawingml/2006/picture">
                <pic:pic>
                  <pic:nvPicPr>
                    <pic:cNvPr descr="imgs/poisson.png" id="307" name="Picture"/>
                    <pic:cNvPicPr>
                      <a:picLocks noChangeArrowheads="1" noChangeAspect="1"/>
                    </pic:cNvPicPr>
                  </pic:nvPicPr>
                  <pic:blipFill>
                    <a:blip r:embed="rId305"/>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308">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9"/>
        </w:numPr>
        <w:pStyle w:val="Compact"/>
      </w:pPr>
      <w:r>
        <w:t xml:space="preserve">As</w:t>
      </w:r>
      <w:r>
        <w:t xml:space="preserve"> </w:t>
      </w:r>
      <m:oMath>
        <m:r>
          <m:t>μ</m:t>
        </m:r>
      </m:oMath>
      <w:r>
        <w:t xml:space="preserve"> </w:t>
      </w:r>
      <w:r>
        <w:t xml:space="preserve">grows the center of the distribution shifts to right</w:t>
      </w:r>
    </w:p>
    <w:p>
      <w:pPr>
        <w:numPr>
          <w:ilvl w:val="0"/>
          <w:numId w:val="1029"/>
        </w:numPr>
        <w:pStyle w:val="Compact"/>
      </w:pPr>
      <w:r>
        <w:t xml:space="preserve">Departure of real count data from predictions from Poisson distribution</w:t>
      </w:r>
    </w:p>
    <w:p>
      <w:pPr>
        <w:numPr>
          <w:ilvl w:val="1"/>
          <w:numId w:val="1030"/>
        </w:numPr>
        <w:pStyle w:val="Compact"/>
      </w:pPr>
      <w:r>
        <w:t xml:space="preserve">Variance frequently greater than mean (overdisperion)</w:t>
      </w:r>
    </w:p>
    <w:p>
      <w:pPr>
        <w:numPr>
          <w:ilvl w:val="1"/>
          <w:numId w:val="1030"/>
        </w:numPr>
        <w:pStyle w:val="Compact"/>
      </w:pPr>
      <w:r>
        <w:t xml:space="preserve">Frequency of 0 counts exceed number predicted by Poisson</w:t>
      </w:r>
    </w:p>
    <w:bookmarkEnd w:id="309"/>
    <w:bookmarkStart w:id="313" w:name="notes-on-interpretation"/>
    <w:p>
      <w:pPr>
        <w:pStyle w:val="Heading2"/>
      </w:pPr>
      <w:r>
        <w:rPr>
          <w:rStyle w:val="SectionNumber"/>
        </w:rPr>
        <w:t xml:space="preserve">8.3</w:t>
      </w:r>
      <w:r>
        <w:tab/>
      </w:r>
      <w:r>
        <w:t xml:space="preserve">Notes on Interpretation</w:t>
      </w:r>
    </w:p>
    <w:bookmarkStart w:id="310" w:name="one-predictor-model"/>
    <w:p>
      <w:pPr>
        <w:pStyle w:val="Heading3"/>
      </w:pPr>
      <w:r>
        <w:rPr>
          <w:rStyle w:val="SectionNumber"/>
        </w:rPr>
        <w:t xml:space="preserve">8.3.1</w:t>
      </w:r>
      <w:r>
        <w:tab/>
      </w:r>
      <w:r>
        <w:t xml:space="preserve">One Predictor Model</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oMath>
      </m:oMathPara>
    </w:p>
    <w:bookmarkEnd w:id="310"/>
    <w:bookmarkStart w:id="311" w:name="similarity-to-logistic-regression"/>
    <w:p>
      <w:pPr>
        <w:pStyle w:val="Heading3"/>
      </w:pPr>
      <w:r>
        <w:rPr>
          <w:rStyle w:val="SectionNumber"/>
        </w:rPr>
        <w:t xml:space="preserve">8.3.2</w:t>
      </w:r>
      <w:r>
        <w:tab/>
      </w:r>
      <w:r>
        <w:t xml:space="preserve">Similarity to Logistic Regression</w:t>
      </w:r>
    </w:p>
    <w:p>
      <w:pPr>
        <w:pStyle w:val="FirstParagraph"/>
      </w:pPr>
      <w:r>
        <w:t xml:space="preserve">Interpretation of the Poisson regression coefficients is similar to logistic regression. For example,</w:t>
      </w:r>
    </w:p>
    <w:p>
      <w:pPr>
        <w:numPr>
          <w:ilvl w:val="0"/>
          <w:numId w:val="1031"/>
        </w:numPr>
        <w:pStyle w:val="Compact"/>
      </w:pPr>
      <m:oMath>
        <m:r>
          <m:rPr>
            <m:sty m:val="p"/>
          </m:rPr>
          <m:t>e</m:t>
        </m:r>
        <m:r>
          <m:rPr>
            <m:sty m:val="p"/>
          </m:rPr>
          <m:t>x</m:t>
        </m:r>
        <m:r>
          <m:rPr>
            <m:sty m:val="p"/>
          </m:rPr>
          <m:t>p</m:t>
        </m:r>
        <m:d>
          <m:dPr>
            <m:begChr m:val="("/>
            <m:endChr m:val=")"/>
            <m:sepChr m:val=""/>
            <m:grow/>
          </m:dPr>
          <m:e>
            <m:sSub>
              <m:e>
                <m:r>
                  <m:t>β</m:t>
                </m:r>
              </m:e>
              <m:sub>
                <m:r>
                  <m:t>0</m:t>
                </m:r>
              </m:sub>
            </m:sSub>
          </m:e>
        </m:d>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31"/>
        </w:numPr>
        <w:pStyle w:val="Compact"/>
      </w:pP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bookmarkEnd w:id="311"/>
    <w:bookmarkStart w:id="312" w:name="percent-change"/>
    <w:p>
      <w:pPr>
        <w:pStyle w:val="Heading3"/>
      </w:pPr>
      <w:r>
        <w:rPr>
          <w:rStyle w:val="SectionNumber"/>
        </w:rPr>
        <w:t xml:space="preserve">8.3.3</w:t>
      </w:r>
      <w:r>
        <w:tab/>
      </w:r>
      <w:r>
        <w:t xml:space="preserve">Percent Change</w:t>
      </w:r>
    </w:p>
    <w:p>
      <w:pPr>
        <w:pStyle w:val="FirstParagraph"/>
      </w:pPr>
      <w:r>
        <w:t xml:space="preserve">We can also talk about these regression coefficients in terms of percent change as follow,</w:t>
      </w:r>
    </w:p>
    <w:p>
      <w:pPr>
        <w:numPr>
          <w:ilvl w:val="0"/>
          <w:numId w:val="1032"/>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negative</w:t>
      </w:r>
      <w:r>
        <w:t xml:space="preserve">:</w:t>
      </w:r>
    </w:p>
    <w:p>
      <w:pPr>
        <w:numPr>
          <w:ilvl w:val="1"/>
          <w:numId w:val="1033"/>
        </w:numPr>
        <w:pStyle w:val="Compact"/>
      </w:pPr>
      <w:r>
        <w:t xml:space="preserve">All else being equal, we might expect to see a</w:t>
      </w:r>
      <w:r>
        <w:t xml:space="preserve"> </w:t>
      </w:r>
      <m:oMath>
        <m:d>
          <m:dPr>
            <m:begChr m:val="("/>
            <m:endChr m:val=")"/>
            <m:sepChr m:val=""/>
            <m:grow/>
          </m:dPr>
          <m:e>
            <m:r>
              <m:t>1</m:t>
            </m:r>
            <m:r>
              <m:rPr>
                <m:sty m:val="p"/>
              </m:rPr>
              <m:t>−</m:t>
            </m:r>
            <m:r>
              <m:rPr>
                <m:sty m:val="p"/>
              </m:rPr>
              <m:t>e</m:t>
            </m:r>
            <m:r>
              <m:rPr>
                <m:sty m:val="p"/>
              </m:rPr>
              <m:t>x</m:t>
            </m:r>
            <m:r>
              <m:rPr>
                <m:sty m:val="p"/>
              </m:rPr>
              <m:t>p</m:t>
            </m:r>
            <m:d>
              <m:dPr>
                <m:begChr m:val="("/>
                <m:endChr m:val=")"/>
                <m:sepChr m:val=""/>
                <m:grow/>
              </m:dPr>
              <m:e>
                <m:sSub>
                  <m:e>
                    <m:r>
                      <m:t>β</m:t>
                    </m:r>
                  </m:e>
                  <m:sub>
                    <m:r>
                      <m:t>1</m:t>
                    </m:r>
                  </m:sub>
                </m:sSub>
              </m:e>
            </m:d>
          </m:e>
        </m:d>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32"/>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positive</w:t>
      </w:r>
      <w:r>
        <w:t xml:space="preserve">:</w:t>
      </w:r>
    </w:p>
    <w:p>
      <w:pPr>
        <w:numPr>
          <w:ilvl w:val="1"/>
          <w:numId w:val="1034"/>
        </w:numPr>
        <w:pStyle w:val="Compact"/>
      </w:pPr>
      <w:r>
        <w:t xml:space="preserve">All else being equal, we might expect to see a</w:t>
      </w:r>
      <w:r>
        <w:t xml:space="preserve"> </w:t>
      </w:r>
      <m:oMath>
        <m:d>
          <m:dPr>
            <m:begChr m:val="("/>
            <m:endChr m:val=")"/>
            <m:sepChr m:val=""/>
            <m:grow/>
          </m:dPr>
          <m:e>
            <m:r>
              <m:rPr>
                <m:sty m:val="p"/>
              </m:rPr>
              <m:t>e</m:t>
            </m:r>
            <m:r>
              <m:rPr>
                <m:sty m:val="p"/>
              </m:rPr>
              <m:t>x</m:t>
            </m:r>
            <m:r>
              <m:rPr>
                <m:sty m:val="p"/>
              </m:rPr>
              <m:t>p</m:t>
            </m:r>
            <m:d>
              <m:dPr>
                <m:begChr m:val="("/>
                <m:endChr m:val=")"/>
                <m:sepChr m:val=""/>
                <m:grow/>
              </m:dPr>
              <m:e>
                <m:sSub>
                  <m:e>
                    <m:r>
                      <m:t>β</m:t>
                    </m:r>
                  </m:e>
                  <m:sub>
                    <m:r>
                      <m:t>1</m:t>
                    </m:r>
                  </m:sub>
                </m:sSub>
              </m:e>
            </m:d>
            <m:r>
              <m:rPr>
                <m:sty m:val="p"/>
              </m:rPr>
              <m:t>−</m:t>
            </m:r>
            <m:r>
              <m:t>1</m:t>
            </m:r>
          </m:e>
        </m:d>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5"/>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m:t>
        </m:r>
        <m:r>
          <m:t>1</m:t>
        </m:r>
      </m:oMath>
    </w:p>
    <w:p>
      <w:pPr>
        <w:numPr>
          <w:ilvl w:val="1"/>
          <w:numId w:val="1036"/>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r>
          <m:rPr>
            <m:sty m:val="p"/>
          </m:rPr>
          <m:t>=</m:t>
        </m:r>
        <m:r>
          <m:rPr>
            <m:sty m:val="p"/>
          </m:rPr>
          <m:t>e</m:t>
        </m:r>
        <m:r>
          <m:rPr>
            <m:sty m:val="p"/>
          </m:rPr>
          <m:t>x</m:t>
        </m:r>
        <m:r>
          <m:rPr>
            <m:sty m:val="p"/>
          </m:rPr>
          <m:t>p</m:t>
        </m:r>
        <m:d>
          <m:dPr>
            <m:begChr m:val="("/>
            <m:endChr m:val=")"/>
            <m:sepChr m:val=""/>
            <m:grow/>
          </m:dPr>
          <m:e>
            <m:sSub>
              <m:e>
                <m:r>
                  <m:t>β</m:t>
                </m:r>
              </m:e>
              <m:sub>
                <m:r>
                  <m:t>1</m:t>
                </m:r>
              </m:sub>
            </m:sSub>
          </m:e>
        </m:d>
      </m:oMath>
    </w:p>
    <w:p>
      <w:pPr>
        <w:numPr>
          <w:ilvl w:val="1"/>
          <w:numId w:val="1036"/>
        </w:numPr>
        <w:pStyle w:val="Compact"/>
      </w:pP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5"/>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&gt;</m:t>
        </m:r>
        <m:r>
          <m:t>1</m:t>
        </m:r>
      </m:oMath>
    </w:p>
    <w:p>
      <w:pPr>
        <w:numPr>
          <w:ilvl w:val="1"/>
          <w:numId w:val="1037"/>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5"/>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&lt;</m:t>
        </m:r>
        <m:r>
          <m:t>1</m:t>
        </m:r>
      </m:oMath>
    </w:p>
    <w:p>
      <w:pPr>
        <w:numPr>
          <w:ilvl w:val="1"/>
          <w:numId w:val="1038"/>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in their original metric will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312"/>
    <w:bookmarkEnd w:id="313"/>
    <w:bookmarkStart w:id="318"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w:t>
      </w:r>
    </w:p>
    <w:p>
      <w:pPr>
        <w:pStyle w:val="BodyText"/>
      </w:pPr>
      <w:r>
        <w:t xml:space="preserve">In this case study,</w:t>
      </w:r>
      <w:r>
        <w:t xml:space="preserve"> </w:t>
      </w:r>
      <w:r>
        <w:t xml:space="preserve">Ferraro, Schafer, and Wilkinson (</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w:t>
      </w:r>
    </w:p>
    <w:p>
      <w:pPr>
        <w:pStyle w:val="BodyText"/>
      </w:pPr>
      <w:r>
        <w:t xml:space="preserve">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314"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w:t>
      </w:r>
      <w:r>
        <w:t xml:space="preserve"> </w:t>
      </w:r>
      <w:r>
        <w:rPr>
          <w:rStyle w:val="VerbatimChar"/>
        </w:rPr>
        <w:t xml:space="preserve">morbidityw1</w:t>
      </w:r>
      <w:r>
        <w:t xml:space="preserve">.</w:t>
      </w:r>
    </w:p>
    <w:p>
      <w:pPr>
        <w:pStyle w:val="BodyText"/>
      </w:pPr>
      <w:r>
        <w:t xml:space="preserve">Here, adult health problems are measured by the self-reported occurrence of 31 diseases or health conditions. For 29 of these items respondents were asked</w:t>
      </w:r>
    </w:p>
    <w:p>
      <w:pPr>
        <w:pStyle w:val="BlockText"/>
      </w:pPr>
      <w:r>
        <w:t xml:space="preserve">“</w:t>
      </w:r>
      <w:r>
        <w:t xml:space="preserve">In the past 12 month have you experienced or been treated for any of the following?</w:t>
      </w:r>
      <w:r>
        <w:t xml:space="preserve">”</w:t>
      </w:r>
    </w:p>
    <w:p>
      <w:pPr>
        <w:pStyle w:val="FirstParagraph"/>
      </w:pP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314"/>
    <w:bookmarkStart w:id="317" w:name="explanatory-variables"/>
    <w:p>
      <w:pPr>
        <w:pStyle w:val="Heading3"/>
      </w:pPr>
      <w:r>
        <w:rPr>
          <w:rStyle w:val="SectionNumber"/>
        </w:rPr>
        <w:t xml:space="preserve">8.4.2</w:t>
      </w:r>
      <w:r>
        <w:tab/>
      </w:r>
      <w:r>
        <w:t xml:space="preserve">Explanatory Variables</w:t>
      </w:r>
    </w:p>
    <w:bookmarkStart w:id="315" w:name="early-life-disadvantage"/>
    <w:p>
      <w:pPr>
        <w:pStyle w:val="Heading4"/>
      </w:pPr>
      <w:r>
        <w:rPr>
          <w:rStyle w:val="SectionNumber"/>
        </w:rPr>
        <w:t xml:space="preserve">8.4.2.1</w:t>
      </w:r>
      <w:r>
        <w:tab/>
      </w:r>
      <w:r>
        <w:t xml:space="preserve">Early Life Disadvantage</w:t>
      </w:r>
    </w:p>
    <w:p>
      <w:pPr>
        <w:numPr>
          <w:ilvl w:val="0"/>
          <w:numId w:val="1039"/>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39"/>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39"/>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39"/>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39"/>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39"/>
        </w:numPr>
        <w:pStyle w:val="Compact"/>
      </w:pPr>
      <w:r>
        <w:rPr>
          <w:iCs/>
          <w:i/>
        </w:rPr>
        <w:t xml:space="preserve">health</w:t>
      </w:r>
      <w:r>
        <w:t xml:space="preserve">: Adolescent health problems are measured by self-rated physical and mental health at age 16.</w:t>
      </w:r>
    </w:p>
    <w:bookmarkEnd w:id="315"/>
    <w:bookmarkStart w:id="316" w:name="adult-characteristics"/>
    <w:p>
      <w:pPr>
        <w:pStyle w:val="Heading4"/>
      </w:pPr>
      <w:r>
        <w:rPr>
          <w:rStyle w:val="SectionNumber"/>
        </w:rPr>
        <w:t xml:space="preserve">8.4.2.2</w:t>
      </w:r>
      <w:r>
        <w:tab/>
      </w:r>
      <w:r>
        <w:t xml:space="preserve">Adult Characteristics</w:t>
      </w:r>
    </w:p>
    <w:p>
      <w:pPr>
        <w:numPr>
          <w:ilvl w:val="0"/>
          <w:numId w:val="1040"/>
        </w:numPr>
        <w:pStyle w:val="Compact"/>
      </w:pPr>
      <w:r>
        <w:rPr>
          <w:iCs/>
          <w:i/>
        </w:rPr>
        <w:t xml:space="preserve">age</w:t>
      </w:r>
      <w:r>
        <w:t xml:space="preserve">: Age at time of Wave 1 interview.</w:t>
      </w:r>
    </w:p>
    <w:p>
      <w:pPr>
        <w:numPr>
          <w:ilvl w:val="0"/>
          <w:numId w:val="1040"/>
        </w:numPr>
        <w:pStyle w:val="Compact"/>
      </w:pPr>
      <w:r>
        <w:rPr>
          <w:iCs/>
          <w:i/>
        </w:rPr>
        <w:t xml:space="preserve">nonwhite</w:t>
      </w:r>
      <w:r>
        <w:t xml:space="preserve">: Race (white or nonwhite).</w:t>
      </w:r>
    </w:p>
    <w:p>
      <w:pPr>
        <w:numPr>
          <w:ilvl w:val="0"/>
          <w:numId w:val="1040"/>
        </w:numPr>
        <w:pStyle w:val="Compact"/>
      </w:pPr>
      <w:r>
        <w:rPr>
          <w:iCs/>
          <w:i/>
        </w:rPr>
        <w:t xml:space="preserve">female</w:t>
      </w:r>
      <w:r>
        <w:t xml:space="preserve">: Gender (female or male).</w:t>
      </w:r>
    </w:p>
    <w:p>
      <w:pPr>
        <w:numPr>
          <w:ilvl w:val="0"/>
          <w:numId w:val="1040"/>
        </w:numPr>
        <w:pStyle w:val="Compact"/>
      </w:pPr>
      <w:r>
        <w:rPr>
          <w:iCs/>
          <w:i/>
        </w:rPr>
        <w:t xml:space="preserve">educate</w:t>
      </w:r>
      <w:r>
        <w:t xml:space="preserve">: Number of years of completed education.</w:t>
      </w:r>
    </w:p>
    <w:p>
      <w:pPr>
        <w:numPr>
          <w:ilvl w:val="0"/>
          <w:numId w:val="1040"/>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40"/>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40"/>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40"/>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40"/>
        </w:numPr>
        <w:pStyle w:val="Compact"/>
      </w:pPr>
      <w:r>
        <w:rPr>
          <w:iCs/>
          <w:i/>
        </w:rPr>
        <w:t xml:space="preserve">obese</w:t>
      </w:r>
      <w:r>
        <w:t xml:space="preserve">: Obesity, dummy variable coded 1 if body mass index [kg/m2] &gt; 30.</w:t>
      </w:r>
    </w:p>
    <w:p>
      <w:pPr>
        <w:numPr>
          <w:ilvl w:val="0"/>
          <w:numId w:val="1040"/>
        </w:numPr>
        <w:pStyle w:val="Compact"/>
      </w:pPr>
      <w:r>
        <w:rPr>
          <w:iCs/>
          <w:i/>
        </w:rPr>
        <w:t xml:space="preserve">fampos</w:t>
      </w:r>
      <w:r>
        <w:t xml:space="preserve">: Family support as measured by four items reflecting the presence of positive relationship characteristics.</w:t>
      </w:r>
    </w:p>
    <w:p>
      <w:pPr>
        <w:numPr>
          <w:ilvl w:val="0"/>
          <w:numId w:val="1040"/>
        </w:numPr>
        <w:pStyle w:val="Compact"/>
      </w:pPr>
      <w:r>
        <w:rPr>
          <w:iCs/>
          <w:i/>
        </w:rPr>
        <w:t xml:space="preserve">friendpos</w:t>
      </w:r>
      <w:r>
        <w:t xml:space="preserve">: Friend support as measured by four items reflecting the presence of positive relationship characteristics.</w:t>
      </w:r>
    </w:p>
    <w:p>
      <w:pPr>
        <w:numPr>
          <w:ilvl w:val="0"/>
          <w:numId w:val="1040"/>
        </w:numPr>
        <w:pStyle w:val="Compact"/>
      </w:pPr>
      <w:r>
        <w:rPr>
          <w:iCs/>
          <w:i/>
        </w:rPr>
        <w:t xml:space="preserve">famneg</w:t>
      </w:r>
      <w:r>
        <w:t xml:space="preserve">: Family strain as measured by four items reflecting the presence of difficult relationship characteristics.</w:t>
      </w:r>
    </w:p>
    <w:p>
      <w:pPr>
        <w:numPr>
          <w:ilvl w:val="0"/>
          <w:numId w:val="1040"/>
        </w:numPr>
        <w:pStyle w:val="Compact"/>
      </w:pPr>
      <w:r>
        <w:rPr>
          <w:iCs/>
          <w:i/>
        </w:rPr>
        <w:t xml:space="preserve">friendneg</w:t>
      </w:r>
      <w:r>
        <w:t xml:space="preserve">: Friend strain as measured by four items reflecting the presence of difficult relationship characteristics.</w:t>
      </w:r>
    </w:p>
    <w:p>
      <w:pPr>
        <w:numPr>
          <w:ilvl w:val="0"/>
          <w:numId w:val="1040"/>
        </w:numPr>
        <w:pStyle w:val="Compact"/>
      </w:pPr>
      <w:r>
        <w:rPr>
          <w:iCs/>
          <w:i/>
        </w:rPr>
        <w:t xml:space="preserve">integration</w:t>
      </w:r>
      <w:r>
        <w:t xml:space="preserve">: Social integration as measured by three 7-item Likert–type questions.</w:t>
      </w:r>
    </w:p>
    <w:p>
      <w:pPr>
        <w:numPr>
          <w:ilvl w:val="0"/>
          <w:numId w:val="1040"/>
        </w:numPr>
        <w:pStyle w:val="Compact"/>
      </w:pPr>
      <w:r>
        <w:rPr>
          <w:iCs/>
          <w:i/>
        </w:rPr>
        <w:t xml:space="preserve">ever_divor</w:t>
      </w:r>
      <w:r>
        <w:t xml:space="preserve">: Ever divorced, a dummy variable coded 1 if the respondent reported having been divorced.</w:t>
      </w:r>
    </w:p>
    <w:p>
      <w:pPr>
        <w:numPr>
          <w:ilvl w:val="0"/>
          <w:numId w:val="1040"/>
        </w:numPr>
        <w:pStyle w:val="Compact"/>
      </w:pPr>
      <w:r>
        <w:rPr>
          <w:iCs/>
          <w:i/>
        </w:rPr>
        <w:t xml:space="preserve">controlw1</w:t>
      </w:r>
      <w:r>
        <w:t xml:space="preserve">: Average score for a 12-item index of the respondent’s feelings of personal control.</w:t>
      </w:r>
    </w:p>
    <w:bookmarkEnd w:id="316"/>
    <w:bookmarkEnd w:id="317"/>
    <w:bookmarkEnd w:id="318"/>
    <w:bookmarkStart w:id="329" w:name="single-predictor-model-1"/>
    <w:p>
      <w:pPr>
        <w:pStyle w:val="Heading2"/>
      </w:pPr>
      <w:r>
        <w:rPr>
          <w:rStyle w:val="SectionNumber"/>
        </w:rPr>
        <w:t xml:space="preserve">8.5</w:t>
      </w:r>
      <w:r>
        <w:tab/>
      </w:r>
      <w:r>
        <w:t xml:space="preserve">Single Predictor Model</w:t>
      </w:r>
    </w:p>
    <w:bookmarkStart w:id="319" w:name="read-in-data"/>
    <w:p>
      <w:pPr>
        <w:pStyle w:val="Heading3"/>
      </w:pPr>
      <w:r>
        <w:rPr>
          <w:rStyle w:val="SectionNumber"/>
        </w:rPr>
        <w:t xml:space="preserve">8.5.1</w:t>
      </w:r>
      <w:r>
        <w:tab/>
      </w:r>
      <w:r>
        <w:t xml:space="preserve">Read in Data</w:t>
      </w:r>
    </w:p>
    <w:p>
      <w:pPr>
        <w:pStyle w:val="FirstParagraph"/>
      </w:pPr>
      <w:r>
        <w:t xml:space="preserve">We can read in the data and create a mean-centered version of income.</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319"/>
    <w:bookmarkStart w:id="320" w:name="single-predictor-model-in-glm"/>
    <w:p>
      <w:pPr>
        <w:pStyle w:val="Heading3"/>
      </w:pPr>
      <w:r>
        <w:rPr>
          <w:rStyle w:val="SectionNumber"/>
        </w:rPr>
        <w:t xml:space="preserve">8.5.2</w:t>
      </w:r>
      <w:r>
        <w:tab/>
      </w:r>
      <w:r>
        <w:t xml:space="preserve">Single Predictor Model in GLM</w:t>
      </w:r>
    </w:p>
    <w:p>
      <w:pPr>
        <w:pStyle w:val="FirstParagraph"/>
      </w:pPr>
      <w:r>
        <w:t xml:space="preserve">Let’s fit a single predictor Poisson regression model for morbidity at Wave 1 using income bracket as our predictor. For now let’s treat income bracket as a continuous predictor.</w:t>
      </w:r>
    </w:p>
    <w:p>
      <w:pPr>
        <w:pStyle w:val="BodyText"/>
      </w:pPr>
      <w:r>
        <w:t xml:space="preserve">Note for the Poisson regression we use</w:t>
      </w:r>
      <w:r>
        <w:t xml:space="preserve"> </w:t>
      </w:r>
      <w:r>
        <w:rPr>
          <w:rStyle w:val="VerbatimChar"/>
        </w:rPr>
        <w:t xml:space="preserve">family = poisson(link=log)</w:t>
      </w:r>
      <w:r>
        <w:t xml:space="preserve"> </w:t>
      </w:r>
      <w:r>
        <w:t xml:space="preserve">argument.</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p>
    <w:bookmarkEnd w:id="320"/>
    <w:bookmarkStart w:id="322" w:name="deviance-and-goodness-of-fit"/>
    <w:p>
      <w:pPr>
        <w:pStyle w:val="Heading3"/>
      </w:pPr>
      <w:r>
        <w:rPr>
          <w:rStyle w:val="SectionNumber"/>
        </w:rPr>
        <w:t xml:space="preserve">8.5.3</w:t>
      </w:r>
      <w:r>
        <w:tab/>
      </w:r>
      <w:r>
        <w:t xml:space="preserve">Deviance and Goodness of Fit</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p>
      <w:pPr>
        <w:pStyle w:val="FirstParagraph"/>
      </w:pPr>
      <w:r>
        <w:t xml:space="preserve">We can think about the deviance as a measure of how well the model fits the data.</w:t>
      </w:r>
    </w:p>
    <w:p>
      <w:pPr>
        <w:numPr>
          <w:ilvl w:val="0"/>
          <w:numId w:val="1041"/>
        </w:numPr>
        <w:pStyle w:val="Compact"/>
      </w:pPr>
      <w:r>
        <w:t xml:space="preserve">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w:t>
      </w:r>
    </w:p>
    <w:p>
      <w:pPr>
        <w:numPr>
          <w:ilvl w:val="0"/>
          <w:numId w:val="1041"/>
        </w:numPr>
        <w:pStyle w:val="Compact"/>
      </w:pPr>
      <w:r>
        <w:t xml:space="preserve">If this value greatly exceeds one, it may be indicative of overdispersion.</w:t>
      </w:r>
    </w:p>
    <w:p>
      <w:pPr>
        <w:pStyle w:val="FirstParagraph"/>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(n-p).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test of the model’s deviance is a test of the model against the null model. The null hypothesis is the fitted model fits the data as well as the saturated model. In this case, rejecting the null hypothesis (e.g. </w:t>
      </w:r>
      <m:oMath>
        <m:r>
          <m:t>p</m:t>
        </m:r>
        <m:r>
          <m:rPr>
            <m:sty m:val="p"/>
          </m:rPr>
          <m:t>&gt;</m:t>
        </m:r>
        <m:r>
          <m:t>0.05</m:t>
        </m:r>
      </m:oMath>
      <w:r>
        <w:t xml:space="preserve">), indicates the Poisson model does not fit well. For more information see this wonderful post on stackexchange:</w:t>
      </w:r>
      <w:r>
        <w:t xml:space="preserve"> </w:t>
      </w:r>
      <w:hyperlink r:id="rId321">
        <w:r>
          <w:rPr>
            <w:rStyle w:val="Hyperlink"/>
          </w:rPr>
          <w:t xml:space="preserve">https://stats.stackexchange.com/a/531484</w:t>
        </w:r>
      </w:hyperlink>
      <w:r>
        <w:t xml:space="preserve">.</w:t>
      </w:r>
    </w:p>
    <w:bookmarkEnd w:id="322"/>
    <w:bookmarkStart w:id="323" w:name="overdispersion-1"/>
    <w:p>
      <w:pPr>
        <w:pStyle w:val="Heading3"/>
      </w:pPr>
      <w:r>
        <w:rPr>
          <w:rStyle w:val="SectionNumber"/>
        </w:rPr>
        <w:t xml:space="preserve">8.5.4</w:t>
      </w:r>
      <w:r>
        <w:tab/>
      </w:r>
      <w:r>
        <w:t xml:space="preserve">Overdispersion?</w:t>
      </w:r>
    </w:p>
    <w:p>
      <w:pPr>
        <w:pStyle w:val="FirstParagraph"/>
      </w:pPr>
      <w:r>
        <w:t xml:space="preserve">The deviance statistic suggests there may be a problem with overdispersion?</w:t>
      </w:r>
    </w:p>
    <w:p>
      <w:pPr>
        <w:pStyle w:val="BodyText"/>
      </w:pPr>
      <w:r>
        <w:rPr>
          <w:iCs/>
          <w:i/>
        </w:rPr>
        <w:t xml:space="preserve">Overdispersion indicates there is greater variability in the data than would be expected based on the model.</w:t>
      </w:r>
    </w:p>
    <w:p>
      <w:pPr>
        <w:pStyle w:val="BodyText"/>
      </w:pPr>
      <w:r>
        <w:t xml:space="preserve">Overdispersion is often encountered when fitting simple Poisson regression models. The Poisson distribution has one free parameter and does not allow for the variance to be adjusted independently of the mean.</w:t>
      </w:r>
    </w:p>
    <w:p>
      <w:pPr>
        <w:pStyle w:val="BodyText"/>
      </w:pPr>
      <w:r>
        <w:t xml:space="preserve">If overdispersion is present the resultant model may yield biased parameter estimates and underestimated standard errors, possibly leading to invalid conclusions.</w:t>
      </w:r>
    </w:p>
    <w:bookmarkEnd w:id="323"/>
    <w:bookmarkStart w:id="328" w:name="interpretation-of-single-predictor-model"/>
    <w:p>
      <w:pPr>
        <w:pStyle w:val="Heading3"/>
      </w:pPr>
      <w:r>
        <w:rPr>
          <w:rStyle w:val="SectionNumber"/>
        </w:rPr>
        <w:t xml:space="preserve">8.5.5</w:t>
      </w:r>
      <w:r>
        <w:tab/>
      </w:r>
      <w:r>
        <w:t xml:space="preserve">Interpretation of Single Predictor Model</w:t>
      </w:r>
    </w:p>
    <w:p>
      <w:pPr>
        <w:pStyle w:val="FirstParagraph"/>
      </w:pPr>
      <w:r>
        <w:rPr>
          <w:bCs/>
          <w:b/>
        </w:rPr>
        <w:t xml:space="preserve">Intercept in Log Units</w:t>
      </w:r>
    </w:p>
    <w:p>
      <w:pPr>
        <w:pStyle w:val="BodyText"/>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rPr>
          <w:bCs/>
          <w:b/>
        </w:rPr>
        <w:t xml:space="preserve">Intercept in Count Units</w:t>
      </w:r>
    </w:p>
    <w:p>
      <w:pPr>
        <w:pStyle w:val="BodyText"/>
      </w:pPr>
      <w:r>
        <w:t xml:space="preserve">We can also exponentiate the intercept,</w:t>
      </w:r>
      <w:r>
        <w:t xml:space="preserve"> </w:t>
      </w:r>
      <m:oMath>
        <m:r>
          <m:t>e</m:t>
        </m:r>
        <m:r>
          <m:t>x</m:t>
        </m:r>
        <m:r>
          <m:t>p</m:t>
        </m:r>
        <m:d>
          <m:dPr>
            <m:begChr m:val="("/>
            <m:endChr m:val=")"/>
            <m:sepChr m:val=""/>
            <m:grow/>
          </m:dPr>
          <m:e>
            <m:r>
              <m:t>1.007</m:t>
            </m:r>
          </m:e>
        </m:d>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Start w:id="327" w:name="slope-coefficient"/>
    <w:p>
      <w:pPr>
        <w:pStyle w:val="Heading4"/>
      </w:pPr>
      <w:r>
        <w:rPr>
          <w:rStyle w:val="SectionNumber"/>
        </w:rPr>
        <w:t xml:space="preserve">8.5.5.1</w:t>
      </w:r>
      <w:r>
        <w:tab/>
      </w:r>
      <w:r>
        <w:t xml:space="preserve">Slope Coefficient</w:t>
      </w:r>
    </w:p>
    <w:p>
      <w:pPr>
        <w:pStyle w:val="FirstParagraph"/>
      </w:pPr>
      <w:r>
        <w:rPr>
          <w:bCs/>
          <w:b/>
        </w:rPr>
        <w:t xml:space="preserve">Slope Coefficient in Log Units</w:t>
      </w:r>
    </w:p>
    <w:p>
      <w:pPr>
        <w:pStyle w:val="BodyText"/>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w:t>
      </w:r>
    </w:p>
    <w:p>
      <w:pPr>
        <w:pStyle w:val="BodyText"/>
      </w:pPr>
      <w:r>
        <w:t xml:space="preserve">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rPr>
          <w:bCs/>
          <w:b/>
        </w:rPr>
        <w:t xml:space="preserve">Marginal Effects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325" name="Picture"/>
            <a:graphic>
              <a:graphicData uri="http://schemas.openxmlformats.org/drawingml/2006/picture">
                <pic:pic>
                  <pic:nvPicPr>
                    <pic:cNvPr descr="_main_files/figure-docx/unnamed-chunk-92-1.png" id="326" name="Picture"/>
                    <pic:cNvPicPr>
                      <a:picLocks noChangeArrowheads="1" noChangeAspect="1"/>
                    </pic:cNvPicPr>
                  </pic:nvPicPr>
                  <pic:blipFill>
                    <a:blip r:embed="rId324"/>
                    <a:stretch>
                      <a:fillRect/>
                    </a:stretch>
                  </pic:blipFill>
                  <pic:spPr bwMode="auto">
                    <a:xfrm>
                      <a:off x="0" y="0"/>
                      <a:ext cx="5334000" cy="4267200"/>
                    </a:xfrm>
                    <a:prstGeom prst="rect">
                      <a:avLst/>
                    </a:prstGeom>
                    <a:noFill/>
                    <a:ln w="9525">
                      <a:noFill/>
                      <a:headEnd/>
                      <a:tailEnd/>
                    </a:ln>
                  </pic:spPr>
                </pic:pic>
              </a:graphicData>
            </a:graphic>
          </wp:inline>
        </w:drawing>
      </w:r>
    </w:p>
    <w:bookmarkEnd w:id="327"/>
    <w:bookmarkEnd w:id="328"/>
    <w:bookmarkEnd w:id="329"/>
    <w:bookmarkStart w:id="333"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1</m:t>
              </m:r>
            </m:sub>
          </m:sSub>
          <m:d>
            <m:dPr>
              <m:begChr m:val="("/>
              <m:endChr m:val=")"/>
              <m:sepChr m:val=""/>
              <m:grow/>
            </m:dPr>
            <m:e>
              <m:r>
                <m:t>a</m:t>
              </m:r>
              <m:r>
                <m:t>b</m:t>
              </m:r>
              <m:r>
                <m:t>u</m:t>
              </m:r>
              <m:r>
                <m:t>s</m:t>
              </m:r>
              <m:r>
                <m:t>e</m:t>
              </m:r>
              <m:r>
                <m:rPr>
                  <m:sty m:val="p"/>
                </m:rPr>
                <m:t>_</m:t>
              </m:r>
              <m:r>
                <m:t>r</m:t>
              </m:r>
              <m:r>
                <m:t>a</m:t>
              </m:r>
              <m:r>
                <m:t>r</m:t>
              </m:r>
              <m:sSub>
                <m:e>
                  <m:r>
                    <m:t>e</m:t>
                  </m:r>
                </m:e>
                <m:sub>
                  <m:r>
                    <m:t>i</m:t>
                  </m:r>
                </m:sub>
              </m:sSub>
            </m:e>
          </m:d>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r>
            <m:rPr>
              <m:sty m:val="p"/>
            </m:rPr>
            <m:t>+</m:t>
          </m:r>
          <m:sSub>
            <m:e>
              <m:r>
                <m:t>b</m:t>
              </m:r>
            </m:e>
            <m:sub>
              <m:r>
                <m:t>3</m:t>
              </m:r>
            </m:sub>
          </m:sSub>
          <m:d>
            <m:dPr>
              <m:begChr m:val="("/>
              <m:endChr m:val=")"/>
              <m:sepChr m:val=""/>
              <m:grow/>
            </m:dPr>
            <m:e>
              <m:r>
                <m:t>i</m:t>
              </m:r>
              <m:r>
                <m:t>n</m:t>
              </m:r>
              <m:r>
                <m:t>c</m:t>
              </m:r>
              <m:r>
                <m:t>o</m:t>
              </m:r>
              <m:r>
                <m:t>m</m:t>
              </m:r>
              <m:sSubSup>
                <m:e>
                  <m:r>
                    <m:t>e</m:t>
                  </m:r>
                </m:e>
                <m:sub>
                  <m:r>
                    <m:t>1</m:t>
                  </m:r>
                  <m:r>
                    <m:t>i</m:t>
                  </m:r>
                </m:sub>
                <m:sup>
                  <m:r>
                    <m:rPr>
                      <m:sty m:val="p"/>
                    </m:rPr>
                    <m:t>*</m:t>
                  </m:r>
                </m:sup>
              </m:sSubSup>
            </m:e>
          </m:d>
          <m:d>
            <m:dPr>
              <m:begChr m:val="("/>
              <m:endChr m:val=")"/>
              <m:sepChr m:val=""/>
              <m:grow/>
            </m:dPr>
            <m:e>
              <m:r>
                <m:t>a</m:t>
              </m:r>
              <m:r>
                <m:t>b</m:t>
              </m:r>
              <m:r>
                <m:t>u</m:t>
              </m:r>
              <m:r>
                <m:t>s</m:t>
              </m:r>
              <m:r>
                <m:t>e</m:t>
              </m:r>
              <m:r>
                <m:rPr>
                  <m:sty m:val="p"/>
                </m:rPr>
                <m:t>_</m:t>
              </m:r>
              <m:r>
                <m:t>r</m:t>
              </m:r>
              <m:r>
                <m:t>a</m:t>
              </m:r>
              <m:r>
                <m:t>r</m:t>
              </m:r>
              <m:sSub>
                <m:e>
                  <m:r>
                    <m:t>e</m:t>
                  </m:r>
                </m:e>
                <m:sub>
                  <m:r>
                    <m:t>i</m:t>
                  </m:r>
                </m:sub>
              </m:sSub>
            </m:e>
          </m:d>
        </m:oMath>
      </m:oMathPara>
    </w:p>
    <w:p>
      <w:pPr>
        <w:pStyle w:val="FirstParagraph"/>
      </w:pPr>
      <w:r>
        <w:t xml:space="preserve">Again, when we have a dummy variable interaction we have essentially set up two different equations:</w:t>
      </w:r>
    </w:p>
    <w:p>
      <w:pPr>
        <w:pStyle w:val="BodyText"/>
      </w:pPr>
      <w:r>
        <w:rPr>
          <w:bCs/>
          <w:b/>
        </w:rPr>
        <w:t xml:space="preserve">Equation for Children Experiencing Maltreatment</w:t>
      </w:r>
    </w:p>
    <w:p>
      <w:pPr>
        <w:pStyle w:val="BodyText"/>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0</m:t>
            </m:r>
          </m:e>
        </m:d>
      </m:oMath>
      <w:r>
        <w:t xml:space="preserve">.</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oMath>
      </m:oMathPara>
    </w:p>
    <w:p>
      <w:pPr>
        <w:pStyle w:val="FirstParagraph"/>
      </w:pPr>
      <w:r>
        <w:rPr>
          <w:bCs/>
          <w:b/>
        </w:rPr>
        <w:t xml:space="preserve">Equation for Children Rarely Experiencing Maltreatment</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d>
            <m:dPr>
              <m:begChr m:val="("/>
              <m:endChr m:val=")"/>
              <m:sepChr m:val=""/>
              <m:grow/>
            </m:dPr>
            <m:e>
              <m:sSub>
                <m:e>
                  <m:r>
                    <m:t>b</m:t>
                  </m:r>
                </m:e>
                <m:sub>
                  <m:r>
                    <m:t>0</m:t>
                  </m:r>
                </m:sub>
              </m:sSub>
              <m:r>
                <m:rPr>
                  <m:sty m:val="p"/>
                </m:rPr>
                <m:t>+</m:t>
              </m:r>
              <m:sSub>
                <m:e>
                  <m:r>
                    <m:t>b</m:t>
                  </m:r>
                </m:e>
                <m:sub>
                  <m:r>
                    <m:t>1</m:t>
                  </m:r>
                </m:sub>
              </m:sSub>
            </m:e>
          </m:d>
          <m:r>
            <m:rPr>
              <m:sty m:val="p"/>
            </m:rPr>
            <m:t>+</m:t>
          </m:r>
          <m:d>
            <m:dPr>
              <m:begChr m:val="("/>
              <m:endChr m:val=")"/>
              <m:sepChr m:val=""/>
              <m:grow/>
            </m:dPr>
            <m:e>
              <m:sSub>
                <m:e>
                  <m:r>
                    <m:t>b</m:t>
                  </m:r>
                </m:e>
                <m:sub>
                  <m:r>
                    <m:t>2</m:t>
                  </m:r>
                </m:sub>
              </m:sSub>
              <m:r>
                <m:rPr>
                  <m:sty m:val="p"/>
                </m:rPr>
                <m:t>+</m:t>
              </m:r>
              <m:sSub>
                <m:e>
                  <m:r>
                    <m:t>b</m:t>
                  </m:r>
                </m:e>
                <m:sub>
                  <m:r>
                    <m:t>3</m:t>
                  </m:r>
                </m:sub>
              </m:sSub>
            </m:e>
          </m:d>
          <m:r>
            <m:t>i</m:t>
          </m:r>
          <m:r>
            <m:t>n</m:t>
          </m:r>
          <m:r>
            <m:t>c</m:t>
          </m:r>
          <m:r>
            <m:t>o</m:t>
          </m:r>
          <m:r>
            <m:t>m</m:t>
          </m:r>
          <m:sSubSup>
            <m:e>
              <m:r>
                <m:t>e</m:t>
              </m:r>
            </m:e>
            <m:sub>
              <m:r>
                <m:t>1</m:t>
              </m:r>
              <m:r>
                <m:t>i</m:t>
              </m:r>
            </m:sub>
            <m:sup>
              <m:r>
                <m:rPr>
                  <m:sty m:val="p"/>
                </m:rPr>
                <m:t>*</m:t>
              </m:r>
            </m:sup>
          </m:sSubSup>
        </m:oMath>
      </m:oMathPara>
    </w:p>
    <w:p>
      <w:pPr>
        <w:pStyle w:val="FirstParagraph"/>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1</m:t>
            </m:r>
          </m:e>
        </m:d>
      </m:oMath>
      <w:r>
        <w:t xml:space="preserve">. Note that</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rPr>
          <w:bCs/>
          <w:b/>
        </w:rPr>
        <w:t xml:space="preserve">Marginal Effects</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331" name="Picture"/>
            <a:graphic>
              <a:graphicData uri="http://schemas.openxmlformats.org/drawingml/2006/picture">
                <pic:pic>
                  <pic:nvPicPr>
                    <pic:cNvPr descr="_main_files/figure-docx/unnamed-chunk-94-1.png" id="332" name="Picture"/>
                    <pic:cNvPicPr>
                      <a:picLocks noChangeArrowheads="1" noChangeAspect="1"/>
                    </pic:cNvPicPr>
                  </pic:nvPicPr>
                  <pic:blipFill>
                    <a:blip r:embed="rId330"/>
                    <a:stretch>
                      <a:fillRect/>
                    </a:stretch>
                  </pic:blipFill>
                  <pic:spPr bwMode="auto">
                    <a:xfrm>
                      <a:off x="0" y="0"/>
                      <a:ext cx="5334000" cy="4267200"/>
                    </a:xfrm>
                    <a:prstGeom prst="rect">
                      <a:avLst/>
                    </a:prstGeom>
                    <a:noFill/>
                    <a:ln w="9525">
                      <a:noFill/>
                      <a:headEnd/>
                      <a:tailEnd/>
                    </a:ln>
                  </pic:spPr>
                </pic:pic>
              </a:graphicData>
            </a:graphic>
          </wp:inline>
        </w:drawing>
      </w:r>
    </w:p>
    <w:bookmarkEnd w:id="333"/>
    <w:bookmarkStart w:id="367"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335" name="Picture"/>
            <a:graphic>
              <a:graphicData uri="http://schemas.openxmlformats.org/drawingml/2006/picture">
                <pic:pic>
                  <pic:nvPicPr>
                    <pic:cNvPr descr="_main_files/figure-docx/unnamed-chunk-96-1.png" id="336" name="Picture"/>
                    <pic:cNvPicPr>
                      <a:picLocks noChangeArrowheads="1" noChangeAspect="1"/>
                    </pic:cNvPicPr>
                  </pic:nvPicPr>
                  <pic:blipFill>
                    <a:blip r:embed="rId3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337"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337"/>
    <w:bookmarkStart w:id="338"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d>
          <m:dPr>
            <m:begChr m:val="("/>
            <m:endChr m:val=")"/>
            <m:sepChr m:val=""/>
            <m:grow/>
          </m:dPr>
          <m:e>
            <m:r>
              <m:t>l</m:t>
            </m:r>
            <m:r>
              <m:t>o</m:t>
            </m:r>
            <m:r>
              <m:t>g</m:t>
            </m:r>
            <m:r>
              <m:t>L</m:t>
            </m:r>
            <m:r>
              <m:t>i</m:t>
            </m:r>
            <m:r>
              <m:t>k</m:t>
            </m:r>
            <m:d>
              <m:dPr>
                <m:begChr m:val="("/>
                <m:endChr m:val=")"/>
                <m:sepChr m:val=""/>
                <m:grow/>
              </m:dPr>
              <m:e>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e>
            </m:d>
            <m:r>
              <m:rPr>
                <m:sty m:val="p"/>
              </m:rPr>
              <m:t>–</m:t>
            </m:r>
            <m:r>
              <m:t>l</m:t>
            </m:r>
            <m:r>
              <m:t>o</m:t>
            </m:r>
            <m:r>
              <m:t>g</m:t>
            </m:r>
            <m:r>
              <m:t>L</m:t>
            </m:r>
            <m:r>
              <m:t>i</m:t>
            </m:r>
            <m:r>
              <m:t>k</m:t>
            </m:r>
            <m:d>
              <m:dPr>
                <m:begChr m:val="("/>
                <m:endChr m:val=")"/>
                <m:sepChr m:val=""/>
                <m:grow/>
              </m:dPr>
              <m:e>
                <m:r>
                  <m:rPr>
                    <m:sty m:val="p"/>
                  </m:rPr>
                  <m:t>p</m:t>
                </m:r>
                <m:r>
                  <m:rPr>
                    <m:sty m:val="p"/>
                  </m:rPr>
                  <m:t>o</m:t>
                </m:r>
                <m:r>
                  <m:rPr>
                    <m:sty m:val="p"/>
                  </m:rPr>
                  <m:t>i</m:t>
                </m:r>
                <m:r>
                  <m:rPr>
                    <m:sty m:val="p"/>
                  </m:rPr>
                  <m:t>s</m:t>
                </m:r>
                <m:r>
                  <m:rPr>
                    <m:sty m:val="p"/>
                  </m:rPr>
                  <m:t>s</m:t>
                </m:r>
                <m:r>
                  <m:rPr>
                    <m:sty m:val="p"/>
                  </m:rPr>
                  <m:t>o</m:t>
                </m:r>
                <m:r>
                  <m:rPr>
                    <m:sty m:val="p"/>
                  </m:rPr>
                  <m:t>n</m:t>
                </m:r>
              </m:e>
            </m:d>
          </m:e>
        </m:d>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338"/>
    <w:bookmarkStart w:id="366" w:name="references-1"/>
    <w:p>
      <w:pPr>
        <w:pStyle w:val="Heading3"/>
      </w:pPr>
      <w:r>
        <w:rPr>
          <w:rStyle w:val="SectionNumber"/>
        </w:rPr>
        <w:t xml:space="preserve">8.7.3</w:t>
      </w:r>
      <w:r>
        <w:tab/>
      </w:r>
      <w:r>
        <w:t xml:space="preserve">References</w:t>
      </w:r>
    </w:p>
    <w:bookmarkStart w:id="365" w:name="refs"/>
    <w:bookmarkStart w:id="340"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339">
        <w:r>
          <w:rPr>
            <w:rStyle w:val="Hyperlink"/>
          </w:rPr>
          <w:t xml:space="preserve">https://CRAN.R-project.org/package=marginaleffects</w:t>
        </w:r>
      </w:hyperlink>
      <w:r>
        <w:t xml:space="preserve">.</w:t>
      </w:r>
    </w:p>
    <w:bookmarkEnd w:id="340"/>
    <w:bookmarkStart w:id="342"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341">
        <w:r>
          <w:rPr>
            <w:rStyle w:val="Hyperlink"/>
          </w:rPr>
          <w:t xml:space="preserve">https://doi.org/10.1177/0003122415619617</w:t>
        </w:r>
      </w:hyperlink>
      <w:r>
        <w:t xml:space="preserve">.</w:t>
      </w:r>
    </w:p>
    <w:bookmarkEnd w:id="342"/>
    <w:bookmarkStart w:id="344"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43">
        <w:r>
          <w:rPr>
            <w:rStyle w:val="Hyperlink"/>
          </w:rPr>
          <w:t xml:space="preserve">https://socialsciences.mcmaster.ca/jfox/Books/Companion/</w:t>
        </w:r>
      </w:hyperlink>
      <w:r>
        <w:t xml:space="preserve">.</w:t>
      </w:r>
    </w:p>
    <w:bookmarkEnd w:id="344"/>
    <w:bookmarkStart w:id="346"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45">
        <w:r>
          <w:rPr>
            <w:rStyle w:val="Hyperlink"/>
          </w:rPr>
          <w:t xml:space="preserve">https://doi.org/10.1007/978-1-4613-0893-5_17</w:t>
        </w:r>
      </w:hyperlink>
      <w:r>
        <w:t xml:space="preserve">.</w:t>
      </w:r>
    </w:p>
    <w:bookmarkEnd w:id="346"/>
    <w:bookmarkStart w:id="348"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47">
        <w:r>
          <w:rPr>
            <w:rStyle w:val="Hyperlink"/>
          </w:rPr>
          <w:t xml:space="preserve">https://doi.org/10.1016/B978-0-12-724960-5.50010-X</w:t>
        </w:r>
      </w:hyperlink>
      <w:r>
        <w:t xml:space="preserve">.</w:t>
      </w:r>
    </w:p>
    <w:bookmarkEnd w:id="348"/>
    <w:bookmarkStart w:id="350"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49">
        <w:r>
          <w:rPr>
            <w:rStyle w:val="Hyperlink"/>
          </w:rPr>
          <w:t xml:space="preserve">https://doi.org/10.2307/1130295</w:t>
        </w:r>
      </w:hyperlink>
      <w:r>
        <w:t xml:space="preserve">.</w:t>
      </w:r>
    </w:p>
    <w:bookmarkEnd w:id="350"/>
    <w:bookmarkStart w:id="351"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51"/>
    <w:bookmarkStart w:id="353"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52">
        <w:r>
          <w:rPr>
            <w:rStyle w:val="Hyperlink"/>
          </w:rPr>
          <w:t xml:space="preserve">https://doi.org/10.1080/00221325.1972.10533131</w:t>
        </w:r>
      </w:hyperlink>
      <w:r>
        <w:t xml:space="preserve">.</w:t>
      </w:r>
    </w:p>
    <w:bookmarkEnd w:id="353"/>
    <w:bookmarkStart w:id="355"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54">
        <w:r>
          <w:rPr>
            <w:rStyle w:val="Hyperlink"/>
          </w:rPr>
          <w:t xml:space="preserve">https://CRAN.R-project.org/package=psych</w:t>
        </w:r>
      </w:hyperlink>
      <w:r>
        <w:t xml:space="preserve">.</w:t>
      </w:r>
    </w:p>
    <w:bookmarkEnd w:id="355"/>
    <w:bookmarkStart w:id="357"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56">
        <w:r>
          <w:rPr>
            <w:rStyle w:val="Hyperlink"/>
          </w:rPr>
          <w:t xml:space="preserve">https://CRAN.R-project.org/package=naniar</w:t>
        </w:r>
      </w:hyperlink>
      <w:r>
        <w:t xml:space="preserve">.</w:t>
      </w:r>
    </w:p>
    <w:bookmarkEnd w:id="357"/>
    <w:bookmarkStart w:id="359"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358">
        <w:r>
          <w:rPr>
            <w:rStyle w:val="Hyperlink"/>
          </w:rPr>
          <w:t xml:space="preserve">https://www.stats.ox.ac.uk/pub/MASS4/</w:t>
        </w:r>
      </w:hyperlink>
      <w:r>
        <w:t xml:space="preserve">.</w:t>
      </w:r>
    </w:p>
    <w:bookmarkEnd w:id="359"/>
    <w:bookmarkStart w:id="360"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60"/>
    <w:bookmarkStart w:id="36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61">
        <w:r>
          <w:rPr>
            <w:rStyle w:val="Hyperlink"/>
          </w:rPr>
          <w:t xml:space="preserve">https://ggplot2.tidyverse.org</w:t>
        </w:r>
      </w:hyperlink>
      <w:r>
        <w:t xml:space="preserve">.</w:t>
      </w:r>
    </w:p>
    <w:bookmarkEnd w:id="362"/>
    <w:bookmarkStart w:id="364" w:name="ref-tidyr"/>
    <w:p>
      <w:pPr>
        <w:pStyle w:val="Bibliography"/>
      </w:pPr>
      <w:r>
        <w:t xml:space="preserve">———. 2021.</w:t>
      </w:r>
      <w:r>
        <w:t xml:space="preserve"> </w:t>
      </w:r>
      <w:r>
        <w:rPr>
          <w:iCs/>
          <w:i/>
        </w:rPr>
        <w:t xml:space="preserve">Tidyr: Tidy Messy Data</w:t>
      </w:r>
      <w:r>
        <w:t xml:space="preserve">.</w:t>
      </w:r>
      <w:r>
        <w:t xml:space="preserve"> </w:t>
      </w:r>
      <w:hyperlink r:id="rId363">
        <w:r>
          <w:rPr>
            <w:rStyle w:val="Hyperlink"/>
          </w:rPr>
          <w:t xml:space="preserve">https://CRAN.R-project.org/package=tidyr</w:t>
        </w:r>
      </w:hyperlink>
      <w:r>
        <w:t xml:space="preserve">.</w:t>
      </w:r>
    </w:p>
    <w:bookmarkEnd w:id="364"/>
    <w:bookmarkEnd w:id="365"/>
    <w:bookmarkEnd w:id="366"/>
    <w:bookmarkEnd w:id="367"/>
    <w:bookmarkEnd w:id="3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0" Target="media/rId180.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66" Target="media/rId266.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324" Target="media/rId324.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205" Target="media/rId205.shtml"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38" Target="media/rId138.png" /><Relationship Type="http://schemas.openxmlformats.org/officeDocument/2006/relationships/image" Id="rId173" Target="media/rId173.jpg" /><Relationship Type="http://schemas.openxmlformats.org/officeDocument/2006/relationships/image" Id="rId169" Target="media/rId169.png" /><Relationship Type="http://schemas.openxmlformats.org/officeDocument/2006/relationships/image" Id="rId277" Target="media/rId277.jpg" /><Relationship Type="http://schemas.openxmlformats.org/officeDocument/2006/relationships/image" Id="rId272" Target="media/rId27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305" Target="media/rId305.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39" Target="https://CRAN.R-project.org/package=marginaleffects" TargetMode="External" /><Relationship Type="http://schemas.openxmlformats.org/officeDocument/2006/relationships/hyperlink" Id="rId356" Target="https://CRAN.R-project.org/package=naniar" TargetMode="External" /><Relationship Type="http://schemas.openxmlformats.org/officeDocument/2006/relationships/hyperlink" Id="rId354" Target="https://CRAN.R-project.org/package=psych" TargetMode="External" /><Relationship Type="http://schemas.openxmlformats.org/officeDocument/2006/relationships/hyperlink" Id="rId363"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45" Target="https://doi.org/10.1007/978-1-4613-0893-5_17" TargetMode="External" /><Relationship Type="http://schemas.openxmlformats.org/officeDocument/2006/relationships/hyperlink" Id="rId347" Target="https://doi.org/10.1016/B978-0-12-724960-5.50010-X" TargetMode="External" /><Relationship Type="http://schemas.openxmlformats.org/officeDocument/2006/relationships/hyperlink" Id="rId352" Target="https://doi.org/10.1080/00221325.1972.10533131" TargetMode="External" /><Relationship Type="http://schemas.openxmlformats.org/officeDocument/2006/relationships/hyperlink" Id="rId341" Target="https://doi.org/10.1177/0003122415619617" TargetMode="External" /><Relationship Type="http://schemas.openxmlformats.org/officeDocument/2006/relationships/hyperlink" Id="rId349"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308" Target="https://en.wikipedia.org/wiki/Poisson_distribution" TargetMode="External" /><Relationship Type="http://schemas.openxmlformats.org/officeDocument/2006/relationships/hyperlink" Id="rId361"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43" Target="https://socialsciences.mcmaster.ca/jfox/Books/Companion/" TargetMode="External" /><Relationship Type="http://schemas.openxmlformats.org/officeDocument/2006/relationships/hyperlink" Id="rId321" Target="https://stats.stackexchange.com/a/531484" TargetMode="External" /><Relationship Type="http://schemas.openxmlformats.org/officeDocument/2006/relationships/hyperlink" Id="rId27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358"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39" Target="https://CRAN.R-project.org/package=marginaleffects" TargetMode="External" /><Relationship Type="http://schemas.openxmlformats.org/officeDocument/2006/relationships/hyperlink" Id="rId356" Target="https://CRAN.R-project.org/package=naniar" TargetMode="External" /><Relationship Type="http://schemas.openxmlformats.org/officeDocument/2006/relationships/hyperlink" Id="rId354" Target="https://CRAN.R-project.org/package=psych" TargetMode="External" /><Relationship Type="http://schemas.openxmlformats.org/officeDocument/2006/relationships/hyperlink" Id="rId363"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45" Target="https://doi.org/10.1007/978-1-4613-0893-5_17" TargetMode="External" /><Relationship Type="http://schemas.openxmlformats.org/officeDocument/2006/relationships/hyperlink" Id="rId347" Target="https://doi.org/10.1016/B978-0-12-724960-5.50010-X" TargetMode="External" /><Relationship Type="http://schemas.openxmlformats.org/officeDocument/2006/relationships/hyperlink" Id="rId352" Target="https://doi.org/10.1080/00221325.1972.10533131" TargetMode="External" /><Relationship Type="http://schemas.openxmlformats.org/officeDocument/2006/relationships/hyperlink" Id="rId341" Target="https://doi.org/10.1177/0003122415619617" TargetMode="External" /><Relationship Type="http://schemas.openxmlformats.org/officeDocument/2006/relationships/hyperlink" Id="rId349"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308" Target="https://en.wikipedia.org/wiki/Poisson_distribution" TargetMode="External" /><Relationship Type="http://schemas.openxmlformats.org/officeDocument/2006/relationships/hyperlink" Id="rId361"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43" Target="https://socialsciences.mcmaster.ca/jfox/Books/Companion/" TargetMode="External" /><Relationship Type="http://schemas.openxmlformats.org/officeDocument/2006/relationships/hyperlink" Id="rId321" Target="https://stats.stackexchange.com/a/531484" TargetMode="External" /><Relationship Type="http://schemas.openxmlformats.org/officeDocument/2006/relationships/hyperlink" Id="rId27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358"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2023-02-15T16:42:33Z</dcterms:created>
  <dcterms:modified xsi:type="dcterms:W3CDTF">2023-02-15T16:42:33Z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2023-02-15</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