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2022-02-03</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t> </m:t>
        </m:r>
        <m:r>
          <m:t>t</m:t>
        </m:r>
        <m:r>
          <m:t>i</m:t>
        </m:r>
        <m:r>
          <m:t>m</m:t>
        </m:r>
        <m:r>
          <m:t>e</m:t>
        </m:r>
        <m:r>
          <m:t>s</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personap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54"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rPr>
          <w:iCs/>
          <w:i/>
        </w:rPr>
        <w:t xml:space="preserve">overdispersion</w:t>
      </w:r>
      <w:r>
        <w:t xml:space="preserve">. We will look at how one might assess overdispersion in Poisson rregression and suggest some alternative procedures. As wuth logistic regression we will look to marginal effects and visualization as an aid to help us interpret results from these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t> </m:t>
        </m:r>
        <m:r>
          <m:t>t</m:t>
        </m:r>
        <m:r>
          <m:t>i</m:t>
        </m:r>
        <m:r>
          <m:t>m</m:t>
        </m:r>
        <m:r>
          <m:t>e</m:t>
        </m:r>
        <m:r>
          <m:t>s</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pStyle w:val="FirstParagraph"/>
      </w:pPr>
      <w:r>
        <w:rPr>
          <w:iCs/>
          <w:i/>
        </w:rPr>
        <w:t xml:space="preserve">ses</w:t>
      </w:r>
      <w:r>
        <w:t xml:space="preserve">: Childhood SES is a sum score based on standardized measures of (1) the education for the head of household, (2) financial strain and (3) receipt of welfare.</w:t>
      </w:r>
      <w:r>
        <w:t xml:space="preserve"> </w:t>
      </w:r>
      <w:r>
        <w:rPr>
          <w:iCs/>
          <w:i/>
        </w:rPr>
        <w:t xml:space="preserve">family</w:t>
      </w:r>
      <w:r>
        <w:t xml:space="preserve">: Family composition is a sum score based on (1) the presence of a male in the household, (2) parental divorce, and (3) death of parent prior to age 16,</w:t>
      </w:r>
      <w:r>
        <w:t xml:space="preserve"> </w:t>
      </w: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r>
        <w:t xml:space="preserve"> </w:t>
      </w: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r>
        <w:t xml:space="preserve"> </w:t>
      </w:r>
      <w:r>
        <w:rPr>
          <w:iCs/>
          <w:i/>
        </w:rPr>
        <w:t xml:space="preserve">abuse_frequency2</w:t>
      </w:r>
      <w:r>
        <w:t xml:space="preserve">: abuse_frequency2 indicates respondents frequently experienced both types of abuse during childhood. The reference category is never having experienced emotional or physical abuse.</w:t>
      </w:r>
      <w:r>
        <w:t xml:space="preserve"> </w:t>
      </w: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pStyle w:val="FirstParagraph"/>
      </w:pPr>
      <w:r>
        <w:rPr>
          <w:iCs/>
          <w:i/>
        </w:rPr>
        <w:t xml:space="preserve">age</w:t>
      </w:r>
      <w:r>
        <w:t xml:space="preserve">: Age at time of Wave 1 interview.</w:t>
      </w:r>
      <w:r>
        <w:t xml:space="preserve"> </w:t>
      </w:r>
      <w:r>
        <w:rPr>
          <w:iCs/>
          <w:i/>
        </w:rPr>
        <w:t xml:space="preserve">nonwhite</w:t>
      </w:r>
      <w:r>
        <w:t xml:space="preserve">: Race (white or nonwhite).</w:t>
      </w:r>
      <w:r>
        <w:t xml:space="preserve"> </w:t>
      </w:r>
      <w:r>
        <w:rPr>
          <w:iCs/>
          <w:i/>
        </w:rPr>
        <w:t xml:space="preserve">female</w:t>
      </w:r>
      <w:r>
        <w:t xml:space="preserve">: Gender (female or male).</w:t>
      </w:r>
      <w:r>
        <w:t xml:space="preserve"> </w:t>
      </w:r>
      <w:r>
        <w:rPr>
          <w:iCs/>
          <w:i/>
        </w:rPr>
        <w:t xml:space="preserve">educate</w:t>
      </w:r>
      <w:r>
        <w:t xml:space="preserve">: Number of years of completed education.</w:t>
      </w:r>
      <w:r>
        <w:t xml:space="preserve"> </w:t>
      </w:r>
      <w:r>
        <w:rPr>
          <w:iCs/>
          <w:i/>
        </w:rPr>
        <w:t xml:space="preserve">catincome</w:t>
      </w:r>
      <w:r>
        <w:t xml:space="preserve">: Household income adjusted by household size and recoded into five percentile categories (&lt; 21st</w:t>
      </w:r>
      <w:r>
        <w:t xml:space="preserve"> </w:t>
      </w:r>
      <w:r>
        <w:rPr>
          <w:iCs/>
          <w:i/>
        </w:rPr>
        <w:t xml:space="preserve">percentile, 21st to 40th percentile41st to 60th percentile, 61st to 80th percentile, and &gt; 80th percentile.).</w:t>
      </w:r>
      <w:r>
        <w:rPr>
          <w:iCs/>
          <w:i/>
        </w:rPr>
        <w:t xml:space="preserve"> </w:t>
      </w:r>
      <w:r>
        <w:t xml:space="preserve">a1sj6</w:t>
      </w:r>
      <w:r>
        <w:rPr>
          <w:iCs/>
          <w:i/>
        </w:rPr>
        <w:t xml:space="preserve">: Financial strain during adulthood; responses range from 1 (no difficulty paying monthly bills) to 3 (very difficult to pay monthly bills).</w:t>
      </w:r>
      <w:r>
        <w:rPr>
          <w:iCs/>
          <w:i/>
        </w:rPr>
        <w:t xml:space="preserve"> </w:t>
      </w:r>
      <w:r>
        <w:t xml:space="preserve">smoke_dose</w:t>
      </w:r>
      <w:r>
        <w:rPr>
          <w:iCs/>
          <w:i/>
        </w:rP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r>
        <w:rPr>
          <w:iCs/>
          <w:i/>
        </w:rPr>
        <w:t xml:space="preserve"> </w:t>
      </w:r>
      <w:r>
        <w:t xml:space="preserve">heavydr2</w:t>
      </w:r>
      <w:r>
        <w:rPr>
          <w:iCs/>
          <w:i/>
        </w:rPr>
        <w:t xml:space="preserve">: The measurement of heavy drinking is sex differentiated and tapped respondents’ period of greatest lifetime consumption: five or more drinks per day for men and four or more drinks for women.</w:t>
      </w:r>
      <w:r>
        <w:rPr>
          <w:iCs/>
          <w:i/>
        </w:rPr>
        <w:t xml:space="preserve"> </w:t>
      </w:r>
      <w:r>
        <w:t xml:space="preserve">obese</w:t>
      </w:r>
      <w:r>
        <w:rPr>
          <w:iCs/>
          <w:i/>
        </w:rPr>
        <w:t xml:space="preserve">: Obesity, dummy variable coded 1 if body mass index [kg/m2] &gt; 30.</w:t>
      </w:r>
      <w:r>
        <w:rPr>
          <w:iCs/>
          <w:i/>
        </w:rPr>
        <w:t xml:space="preserve"> </w:t>
      </w:r>
      <w:r>
        <w:t xml:space="preserve">fampos</w:t>
      </w:r>
      <w:r>
        <w:rPr>
          <w:iCs/>
          <w:i/>
        </w:rPr>
        <w:t xml:space="preserve">: Family support as measured by four items reflecting the presence of positive relationship characteristics.</w:t>
      </w:r>
      <w:r>
        <w:rPr>
          <w:iCs/>
          <w:i/>
        </w:rPr>
        <w:t xml:space="preserve"> </w:t>
      </w:r>
      <w:r>
        <w:t xml:space="preserve">friendpos</w:t>
      </w:r>
      <w:r>
        <w:rPr>
          <w:iCs/>
          <w:i/>
        </w:rPr>
        <w:t xml:space="preserve">: Friend support as measured by four items reflecting the presence of positive relationship characteristics.</w:t>
      </w:r>
      <w:r>
        <w:rPr>
          <w:iCs/>
          <w:i/>
        </w:rPr>
        <w:t xml:space="preserve"> </w:t>
      </w:r>
      <w:r>
        <w:t xml:space="preserve">famneg</w:t>
      </w:r>
      <w:r>
        <w:rPr>
          <w:iCs/>
          <w:i/>
        </w:rPr>
        <w:t xml:space="preserve">: Family strain as measured by four items reflecting the presence of difficult relationship characteristics.</w:t>
      </w:r>
      <w:r>
        <w:rPr>
          <w:iCs/>
          <w:i/>
        </w:rPr>
        <w:t xml:space="preserve"> </w:t>
      </w:r>
      <w:r>
        <w:t xml:space="preserve">friendneg</w:t>
      </w:r>
      <w:r>
        <w:rPr>
          <w:iCs/>
          <w:i/>
        </w:rPr>
        <w:t xml:space="preserve">: Friend strain as measured by four items reflecting the presence of difficult relationship characteristics.</w:t>
      </w:r>
      <w:r>
        <w:rPr>
          <w:iCs/>
          <w:i/>
        </w:rPr>
        <w:t xml:space="preserve"> </w:t>
      </w:r>
      <w:r>
        <w:t xml:space="preserve">integration</w:t>
      </w:r>
      <w:r>
        <w:rPr>
          <w:iCs/>
          <w:i/>
        </w:rPr>
        <w:t xml:space="preserve">: Social integration as measured by three 7-item Likert–type questions.</w:t>
      </w:r>
      <w:r>
        <w:rPr>
          <w:iCs/>
          <w:i/>
        </w:rPr>
        <w:t xml:space="preserve"> </w:t>
      </w:r>
      <w:r>
        <w:t xml:space="preserve">ever_divor</w:t>
      </w:r>
      <w:r>
        <w:rPr>
          <w:iCs/>
          <w:i/>
        </w:rPr>
        <w:t xml:space="preserve">: Ever divorced, a dummy variable coded 1 if the respondent reported having been divorced.</w:t>
      </w:r>
      <w:r>
        <w:rPr>
          <w:iCs/>
          <w:i/>
        </w:rPr>
        <w:t xml:space="preserve"> </w:t>
      </w:r>
      <w:r>
        <w:t xml:space="preserve">controlw1*: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overdispersion-1"/>
    <w:p>
      <w:pPr>
        <w:pStyle w:val="Heading3"/>
      </w:pPr>
      <w:r>
        <w:rPr>
          <w:rStyle w:val="SectionNumber"/>
        </w:rPr>
        <w:t xml:space="preserve">8.5.1</w:t>
      </w:r>
      <w:r>
        <w:tab/>
      </w:r>
      <w:r>
        <w:t xml:space="preserve">Overdispersion</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53"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52"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Start w:id="251" w:name="refs"/>
    <w:bookmarkStart w:id="226"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225">
        <w:r>
          <w:rPr>
            <w:rStyle w:val="Hyperlink"/>
          </w:rPr>
          <w:t xml:space="preserve">https://CRAN.R-project.org/package=marginaleffects</w:t>
        </w:r>
      </w:hyperlink>
      <w:r>
        <w:t xml:space="preserve">.</w:t>
      </w:r>
    </w:p>
    <w:bookmarkEnd w:id="226"/>
    <w:bookmarkStart w:id="228"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227">
        <w:r>
          <w:rPr>
            <w:rStyle w:val="Hyperlink"/>
          </w:rPr>
          <w:t xml:space="preserve">https://doi.org/10.1177/0003122415619617</w:t>
        </w:r>
      </w:hyperlink>
      <w:r>
        <w:t xml:space="preserve">.</w:t>
      </w:r>
    </w:p>
    <w:bookmarkEnd w:id="228"/>
    <w:bookmarkStart w:id="230"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29">
        <w:r>
          <w:rPr>
            <w:rStyle w:val="Hyperlink"/>
          </w:rPr>
          <w:t xml:space="preserve">https://socialsciences.mcmaster.ca/jfox/Books/Companion/</w:t>
        </w:r>
      </w:hyperlink>
      <w:r>
        <w:t xml:space="preserve">.</w:t>
      </w:r>
    </w:p>
    <w:bookmarkEnd w:id="230"/>
    <w:bookmarkStart w:id="232"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231">
        <w:r>
          <w:rPr>
            <w:rStyle w:val="Hyperlink"/>
          </w:rPr>
          <w:t xml:space="preserve">https://doi.org/10.1007/978-1-4613-0893-5_17</w:t>
        </w:r>
      </w:hyperlink>
      <w:r>
        <w:t xml:space="preserve">.</w:t>
      </w:r>
    </w:p>
    <w:bookmarkEnd w:id="232"/>
    <w:bookmarkStart w:id="234"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233">
        <w:r>
          <w:rPr>
            <w:rStyle w:val="Hyperlink"/>
          </w:rPr>
          <w:t xml:space="preserve">https://doi.org/10.1016/B978-0-12-724960-5.50010-X</w:t>
        </w:r>
      </w:hyperlink>
      <w:r>
        <w:t xml:space="preserve">.</w:t>
      </w:r>
    </w:p>
    <w:bookmarkEnd w:id="234"/>
    <w:bookmarkStart w:id="236"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235">
        <w:r>
          <w:rPr>
            <w:rStyle w:val="Hyperlink"/>
          </w:rPr>
          <w:t xml:space="preserve">https://doi.org/10.2307/1130295</w:t>
        </w:r>
      </w:hyperlink>
      <w:r>
        <w:t xml:space="preserve">.</w:t>
      </w:r>
    </w:p>
    <w:bookmarkEnd w:id="236"/>
    <w:bookmarkStart w:id="237"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237"/>
    <w:bookmarkStart w:id="239"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238">
        <w:r>
          <w:rPr>
            <w:rStyle w:val="Hyperlink"/>
          </w:rPr>
          <w:t xml:space="preserve">https://doi.org/10.1080/00221325.1972.10533131</w:t>
        </w:r>
      </w:hyperlink>
      <w:r>
        <w:t xml:space="preserve">.</w:t>
      </w:r>
    </w:p>
    <w:bookmarkEnd w:id="239"/>
    <w:bookmarkStart w:id="241"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240">
        <w:r>
          <w:rPr>
            <w:rStyle w:val="Hyperlink"/>
          </w:rPr>
          <w:t xml:space="preserve">https://CRAN.R-project.org/package=psych</w:t>
        </w:r>
      </w:hyperlink>
      <w:r>
        <w:t xml:space="preserve">.</w:t>
      </w:r>
    </w:p>
    <w:bookmarkEnd w:id="241"/>
    <w:bookmarkStart w:id="24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242">
        <w:r>
          <w:rPr>
            <w:rStyle w:val="Hyperlink"/>
          </w:rPr>
          <w:t xml:space="preserve">https://CRAN.R-project.org/package=naniar</w:t>
        </w:r>
      </w:hyperlink>
      <w:r>
        <w:t xml:space="preserve">.</w:t>
      </w:r>
    </w:p>
    <w:bookmarkEnd w:id="243"/>
    <w:bookmarkStart w:id="245"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244">
        <w:r>
          <w:rPr>
            <w:rStyle w:val="Hyperlink"/>
          </w:rPr>
          <w:t xml:space="preserve">https://www.stats.ox.ac.uk/pub/MASS4/</w:t>
        </w:r>
      </w:hyperlink>
      <w:r>
        <w:t xml:space="preserve">.</w:t>
      </w:r>
    </w:p>
    <w:bookmarkEnd w:id="245"/>
    <w:bookmarkStart w:id="246"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246"/>
    <w:bookmarkStart w:id="24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247">
        <w:r>
          <w:rPr>
            <w:rStyle w:val="Hyperlink"/>
          </w:rPr>
          <w:t xml:space="preserve">https://ggplot2.tidyverse.org</w:t>
        </w:r>
      </w:hyperlink>
      <w:r>
        <w:t xml:space="preserve">.</w:t>
      </w:r>
    </w:p>
    <w:bookmarkEnd w:id="248"/>
    <w:bookmarkStart w:id="250" w:name="ref-tidyr"/>
    <w:p>
      <w:pPr>
        <w:pStyle w:val="Bibliography"/>
      </w:pPr>
      <w:r>
        <w:t xml:space="preserve">———. 2021.</w:t>
      </w:r>
      <w:r>
        <w:t xml:space="preserve"> </w:t>
      </w:r>
      <w:r>
        <w:rPr>
          <w:iCs/>
          <w:i/>
        </w:rPr>
        <w:t xml:space="preserve">Tidyr: Tidy Messy Data</w:t>
      </w:r>
      <w:r>
        <w:t xml:space="preserve">.</w:t>
      </w:r>
      <w:r>
        <w:t xml:space="preserve"> </w:t>
      </w:r>
      <w:hyperlink r:id="rId249">
        <w:r>
          <w:rPr>
            <w:rStyle w:val="Hyperlink"/>
          </w:rPr>
          <w:t xml:space="preserve">https://CRAN.R-project.org/package=tidyr</w:t>
        </w:r>
      </w:hyperlink>
      <w:r>
        <w:t xml:space="preserve">.</w:t>
      </w:r>
    </w:p>
    <w:bookmarkEnd w:id="250"/>
    <w:bookmarkEnd w:id="251"/>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25" Target="https://CRAN.R-project.org/package=marginaleffects" TargetMode="External" /><Relationship Type="http://schemas.openxmlformats.org/officeDocument/2006/relationships/hyperlink" Id="rId242" Target="https://CRAN.R-project.org/package=naniar" TargetMode="External" /><Relationship Type="http://schemas.openxmlformats.org/officeDocument/2006/relationships/hyperlink" Id="rId240" Target="https://CRAN.R-project.org/package=psych" TargetMode="External" /><Relationship Type="http://schemas.openxmlformats.org/officeDocument/2006/relationships/hyperlink" Id="rId24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31" Target="https://doi.org/10.1007/978-1-4613-0893-5_17" TargetMode="External" /><Relationship Type="http://schemas.openxmlformats.org/officeDocument/2006/relationships/hyperlink" Id="rId233" Target="https://doi.org/10.1016/B978-0-12-724960-5.50010-X" TargetMode="External" /><Relationship Type="http://schemas.openxmlformats.org/officeDocument/2006/relationships/hyperlink" Id="rId238" Target="https://doi.org/10.1080/00221325.1972.10533131" TargetMode="External" /><Relationship Type="http://schemas.openxmlformats.org/officeDocument/2006/relationships/hyperlink" Id="rId227" Target="https://doi.org/10.1177/0003122415619617" TargetMode="External" /><Relationship Type="http://schemas.openxmlformats.org/officeDocument/2006/relationships/hyperlink" Id="rId235"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4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29"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44"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25" Target="https://CRAN.R-project.org/package=marginaleffects" TargetMode="External" /><Relationship Type="http://schemas.openxmlformats.org/officeDocument/2006/relationships/hyperlink" Id="rId242" Target="https://CRAN.R-project.org/package=naniar" TargetMode="External" /><Relationship Type="http://schemas.openxmlformats.org/officeDocument/2006/relationships/hyperlink" Id="rId240" Target="https://CRAN.R-project.org/package=psych" TargetMode="External" /><Relationship Type="http://schemas.openxmlformats.org/officeDocument/2006/relationships/hyperlink" Id="rId24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31" Target="https://doi.org/10.1007/978-1-4613-0893-5_17" TargetMode="External" /><Relationship Type="http://schemas.openxmlformats.org/officeDocument/2006/relationships/hyperlink" Id="rId233" Target="https://doi.org/10.1016/B978-0-12-724960-5.50010-X" TargetMode="External" /><Relationship Type="http://schemas.openxmlformats.org/officeDocument/2006/relationships/hyperlink" Id="rId238" Target="https://doi.org/10.1080/00221325.1972.10533131" TargetMode="External" /><Relationship Type="http://schemas.openxmlformats.org/officeDocument/2006/relationships/hyperlink" Id="rId227" Target="https://doi.org/10.1177/0003122415619617" TargetMode="External" /><Relationship Type="http://schemas.openxmlformats.org/officeDocument/2006/relationships/hyperlink" Id="rId235"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4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29"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44"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2022-02-03T17:40:38Z</dcterms:created>
  <dcterms:modified xsi:type="dcterms:W3CDTF">2022-02-03T17:40:38Z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2022-02-03</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