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1.png" ContentType="image/png"/>
  <Override PartName="/word/media/rId189.png" ContentType="image/png"/>
  <Override PartName="/word/media/rId192.png" ContentType="image/png"/>
  <Override PartName="/word/media/rId196.png" ContentType="image/png"/>
  <Override PartName="/word/media/rId201.png" ContentType="image/png"/>
  <Override PartName="/word/media/rId210.png" ContentType="image/png"/>
  <Override PartName="/word/media/rId215.png" ContentType="image/png"/>
  <Override PartName="/word/media/rId218.png" ContentType="image/png"/>
  <Override PartName="/word/media/rId223.png" ContentType="image/png"/>
  <Override PartName="/word/media/rId228.png" ContentType="image/png"/>
  <Override PartName="/word/media/rId239.png" ContentType="image/png"/>
  <Override PartName="/word/media/rId242.png" ContentType="image/png"/>
  <Override PartName="/word/media/rId250.png" ContentType="image/png"/>
  <Override PartName="/word/media/rId254.png" ContentType="image/png"/>
  <Override PartName="/word/media/rId258.png" ContentType="image/png"/>
  <Override PartName="/word/media/rId262.png" ContentType="image/png"/>
  <Override PartName="/word/media/rId266.png" ContentType="image/png"/>
  <Override PartName="/word/media/rId270.png" ContentType="image/png"/>
  <Override PartName="/word/media/rId274.png" ContentType="image/png"/>
  <Override PartName="/word/media/rId279.png" ContentType="image/png"/>
  <Override PartName="/word/media/rId283.png" ContentType="image/png"/>
  <Override PartName="/word/media/rId286.png" ContentType="image/png"/>
  <Override PartName="/word/media/rId292.png" ContentType="image/png"/>
  <Override PartName="/word/media/rId301.png" ContentType="image/png"/>
  <Override PartName="/word/media/rId206.shtml" ContentType="text/html; charset=UTF-8"/>
  <Override PartName="/word/media/rId144.png" ContentType="image/png"/>
  <Override PartName="/word/media/rId295.jpg" ContentType="image/jpeg"/>
  <Override PartName="/word/media/rId149.png" ContentType="image/png"/>
  <Override PartName="/word/media/rId139.png" ContentType="image/png"/>
  <Override PartName="/word/media/rId174.jpg" ContentType="image/jpeg"/>
  <Override PartName="/word/media/rId170.png" ContentType="image/png"/>
  <Override PartName="/word/media/rId124.png" ContentType="image/png"/>
  <Override PartName="/word/media/rId127.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2025-02-06</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off"/>
              <m:supHide m:val="off"/>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on"/>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17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on"/>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on"/>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on"/>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on"/>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on"/>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on"/>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on"/>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7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7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End w:id="177"/>
    <w:bookmarkEnd w:id="178"/>
    <w:bookmarkEnd w:id="179"/>
    <w:bookmarkStart w:id="247"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80"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180"/>
    <w:bookmarkStart w:id="188"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2" name="Picture"/>
            <a:graphic>
              <a:graphicData uri="http://schemas.openxmlformats.org/drawingml/2006/picture">
                <pic:pic>
                  <pic:nvPicPr>
                    <pic:cNvPr descr="_main_files/figure-docx/unnamed-chunk-49-1.png" id="183"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bookmarkStart w:id="184"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84"/>
    <w:bookmarkStart w:id="185"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85"/>
    <w:bookmarkStart w:id="186"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86"/>
    <w:bookmarkStart w:id="187"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187"/>
    <w:bookmarkEnd w:id="188"/>
    <w:bookmarkStart w:id="205"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0" name="Picture"/>
            <a:graphic>
              <a:graphicData uri="http://schemas.openxmlformats.org/drawingml/2006/picture">
                <pic:pic>
                  <pic:nvPicPr>
                    <pic:cNvPr descr="_main_files/figure-docx/unnamed-chunk-53-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3" name="Picture"/>
            <a:graphic>
              <a:graphicData uri="http://schemas.openxmlformats.org/drawingml/2006/picture">
                <pic:pic>
                  <pic:nvPicPr>
                    <pic:cNvPr descr="_main_files/figure-docx/unnamed-chunk-54-1.png" id="194" name="Picture"/>
                    <pic:cNvPicPr>
                      <a:picLocks noChangeArrowheads="1" noChangeAspect="1"/>
                    </pic:cNvPicPr>
                  </pic:nvPicPr>
                  <pic:blipFill>
                    <a:blip r:embed="rId192"/>
                    <a:stretch>
                      <a:fillRect/>
                    </a:stretch>
                  </pic:blipFill>
                  <pic:spPr bwMode="auto">
                    <a:xfrm>
                      <a:off x="0" y="0"/>
                      <a:ext cx="5334000" cy="4267200"/>
                    </a:xfrm>
                    <a:prstGeom prst="rect">
                      <a:avLst/>
                    </a:prstGeom>
                    <a:noFill/>
                    <a:ln w="9525">
                      <a:noFill/>
                      <a:headEnd/>
                      <a:tailEnd/>
                    </a:ln>
                  </pic:spPr>
                </pic:pic>
              </a:graphicData>
            </a:graphic>
          </wp:inline>
        </w:drawing>
      </w:r>
    </w:p>
    <w:bookmarkStart w:id="195"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95"/>
    <w:bookmarkStart w:id="199"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97" name="Picture"/>
            <a:graphic>
              <a:graphicData uri="http://schemas.openxmlformats.org/drawingml/2006/picture">
                <pic:pic>
                  <pic:nvPicPr>
                    <pic:cNvPr descr="_main_files/figure-docx/unnamed-chunk-56-1.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bookmarkEnd w:id="199"/>
    <w:bookmarkStart w:id="200"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200"/>
    <w:bookmarkStart w:id="204"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02" name="Picture"/>
            <a:graphic>
              <a:graphicData uri="http://schemas.openxmlformats.org/drawingml/2006/picture">
                <pic:pic>
                  <pic:nvPicPr>
                    <pic:cNvPr descr="_main_files/figure-docx/unnamed-chunk-57-1.png" id="203"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bookmarkEnd w:id="204"/>
    <w:bookmarkEnd w:id="205"/>
    <w:bookmarkStart w:id="214"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07" name="Picture"/>
            <a:graphic>
              <a:graphicData uri="http://schemas.openxmlformats.org/drawingml/2006/picture">
                <pic:pic>
                  <pic:nvPicPr>
                    <pic:cNvPr descr="https://journals.sagepub.com/doi/full/10.1177/0013164418817801" id="208" name="Picture"/>
                    <pic:cNvPicPr>
                      <a:picLocks noChangeArrowheads="1" noChangeAspect="1"/>
                    </pic:cNvPicPr>
                  </pic:nvPicPr>
                  <pic:blipFill>
                    <a:blip r:embed="rId20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09"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09"/>
    <w:bookmarkStart w:id="213"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11" name="Picture"/>
            <a:graphic>
              <a:graphicData uri="http://schemas.openxmlformats.org/drawingml/2006/picture">
                <pic:pic>
                  <pic:nvPicPr>
                    <pic:cNvPr descr="_main_files/figure-docx/unnamed-chunk-60-1.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13"/>
    <w:bookmarkEnd w:id="214"/>
    <w:bookmarkStart w:id="232"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(`geom_bar()`).</w:t>
      </w:r>
    </w:p>
    <w:p>
      <w:pPr>
        <w:pStyle w:val="FirstParagraph"/>
      </w:pPr>
      <w:r>
        <w:drawing>
          <wp:inline>
            <wp:extent cx="5334000" cy="4267200"/>
            <wp:effectExtent b="0" l="0" r="0" t="0"/>
            <wp:docPr descr="" title="" id="216" name="Picture"/>
            <a:graphic>
              <a:graphicData uri="http://schemas.openxmlformats.org/drawingml/2006/picture">
                <pic:pic>
                  <pic:nvPicPr>
                    <pic:cNvPr descr="_main_files/figure-docx/unnamed-chunk-61-1.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19" name="Picture"/>
            <a:graphic>
              <a:graphicData uri="http://schemas.openxmlformats.org/drawingml/2006/picture">
                <pic:pic>
                  <pic:nvPicPr>
                    <pic:cNvPr descr="_main_files/figure-docx/unnamed-chunk-62-1.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bookmarkStart w:id="221"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21"/>
    <w:bookmarkStart w:id="222"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22"/>
    <w:bookmarkStart w:id="227"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24" name="Picture"/>
            <a:graphic>
              <a:graphicData uri="http://schemas.openxmlformats.org/drawingml/2006/picture">
                <pic:pic>
                  <pic:nvPicPr>
                    <pic:cNvPr descr="_main_files/figure-docx/unnamed-chunk-65-1.png" id="225"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bookmarkStart w:id="226"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26"/>
    <w:bookmarkEnd w:id="227"/>
    <w:bookmarkStart w:id="231"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29" name="Picture"/>
            <a:graphic>
              <a:graphicData uri="http://schemas.openxmlformats.org/drawingml/2006/picture">
                <pic:pic>
                  <pic:nvPicPr>
                    <pic:cNvPr descr="_main_files/figure-docx/unnamed-chunk-66-1.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31"/>
    <w:bookmarkEnd w:id="232"/>
    <w:bookmarkStart w:id="246"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34"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33"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33"/>
    <w:bookmarkEnd w:id="234"/>
    <w:bookmarkStart w:id="236"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35"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35"/>
    <w:bookmarkEnd w:id="236"/>
    <w:bookmarkStart w:id="237"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37"/>
    <w:bookmarkStart w:id="238"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38"/>
    <w:bookmarkStart w:id="245"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40" name="Picture"/>
            <a:graphic>
              <a:graphicData uri="http://schemas.openxmlformats.org/drawingml/2006/picture">
                <pic:pic>
                  <pic:nvPicPr>
                    <pic:cNvPr descr="_main_files/figure-docx/unnamed-chunk-68-1.png" id="241"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3" name="Picture"/>
            <a:graphic>
              <a:graphicData uri="http://schemas.openxmlformats.org/drawingml/2006/picture">
                <pic:pic>
                  <pic:nvPicPr>
                    <pic:cNvPr descr="_main_files/figure-docx/unnamed-chunk-69-1.png" id="244"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245"/>
    <w:bookmarkEnd w:id="246"/>
    <w:bookmarkEnd w:id="247"/>
    <w:bookmarkStart w:id="327" w:name="chapter-7"/>
    <w:p>
      <w:pPr>
        <w:pStyle w:val="Heading1"/>
      </w:pPr>
      <w:r>
        <w:rPr>
          <w:rStyle w:val="SectionNumber"/>
        </w:rPr>
        <w:t xml:space="preserve">7</w:t>
      </w:r>
      <w:r>
        <w:tab/>
      </w:r>
      <w:r>
        <w:t xml:space="preserve">Statistical Control</w:t>
      </w:r>
    </w:p>
    <w:p>
      <w:pPr>
        <w:pStyle w:val="FirstParagraph"/>
      </w:pPr>
      <w:r>
        <w:t xml:space="preserve">In Chapter 7 we will discuss statistical control.</w:t>
      </w:r>
    </w:p>
    <w:p>
      <w:pPr>
        <w:numPr>
          <w:ilvl w:val="0"/>
          <w:numId w:val="1011"/>
        </w:numPr>
        <w:pStyle w:val="Compact"/>
      </w:pPr>
      <w:r>
        <w:t xml:space="preserve">Introduction to DAGs</w:t>
      </w:r>
    </w:p>
    <w:p>
      <w:pPr>
        <w:numPr>
          <w:ilvl w:val="0"/>
          <w:numId w:val="1011"/>
        </w:numPr>
        <w:pStyle w:val="Compact"/>
      </w:pPr>
      <w:r>
        <w:t xml:space="preserve">Statistical Control Done Right</w:t>
      </w:r>
    </w:p>
    <w:p>
      <w:pPr>
        <w:numPr>
          <w:ilvl w:val="0"/>
          <w:numId w:val="1011"/>
        </w:numPr>
        <w:pStyle w:val="Compact"/>
      </w:pPr>
      <w:r>
        <w:t xml:space="preserve">Statistical Control Gone Wrong</w:t>
      </w:r>
    </w:p>
    <w:p>
      <w:pPr>
        <w:pStyle w:val="FirstParagraph"/>
      </w:pPr>
      <w:r>
        <w:t xml:space="preserve">Much of this presentation was drawn directly from Rohrer (2018) (</w:t>
      </w:r>
      <w:hyperlink r:id="rId248">
        <w:r>
          <w:rPr>
            <w:rStyle w:val="Hyperlink"/>
          </w:rPr>
          <w:t xml:space="preserve">https://journals.sagepub.com/doi/full/10.1177/2515245917745629</w:t>
        </w:r>
      </w:hyperlink>
      <w:r>
        <w:t xml:space="preserve">).</w:t>
      </w:r>
    </w:p>
    <w:bookmarkStart w:id="249" w:name="statistical-control"/>
    <w:p>
      <w:pPr>
        <w:pStyle w:val="Heading2"/>
      </w:pPr>
      <w:r>
        <w:rPr>
          <w:rStyle w:val="SectionNumber"/>
        </w:rPr>
        <w:t xml:space="preserve">7.1</w:t>
      </w:r>
      <w:r>
        <w:tab/>
      </w:r>
      <w:r>
        <w:t xml:space="preserve">Statistical Control</w:t>
      </w:r>
    </w:p>
    <w:p>
      <w:pPr>
        <w:pStyle w:val="FirstParagraph"/>
      </w:pPr>
      <w:r>
        <w:rPr>
          <w:bCs/>
          <w:b/>
        </w:rPr>
        <w:t xml:space="preserve">Randomized experiments often considered the gold standard in scientific research.However, it is often infeasible, difficult or impossible to manipulate the putative effect of interest</w:t>
      </w:r>
      <w:r>
        <w:t xml:space="preserve">:</w:t>
      </w:r>
    </w:p>
    <w:p>
      <w:pPr>
        <w:numPr>
          <w:ilvl w:val="0"/>
          <w:numId w:val="1012"/>
        </w:numPr>
        <w:pStyle w:val="Compact"/>
      </w:pPr>
      <w:r>
        <w:t xml:space="preserve">cannot randomly resettle individuals into different strata of society</w:t>
      </w:r>
    </w:p>
    <w:p>
      <w:pPr>
        <w:numPr>
          <w:ilvl w:val="0"/>
          <w:numId w:val="1012"/>
        </w:numPr>
        <w:pStyle w:val="Compact"/>
      </w:pPr>
      <w:r>
        <w:t xml:space="preserve">cannot assign couples to stay married or get a divorce</w:t>
      </w:r>
    </w:p>
    <w:p>
      <w:pPr>
        <w:numPr>
          <w:ilvl w:val="0"/>
          <w:numId w:val="1012"/>
        </w:numPr>
        <w:pStyle w:val="Compact"/>
      </w:pPr>
      <w:r>
        <w:t xml:space="preserve">cannot randomize children to different levels of adversity</w:t>
      </w:r>
    </w:p>
    <w:p>
      <w:pPr>
        <w:pStyle w:val="FirstParagraph"/>
      </w:pPr>
      <w:r>
        <w:rPr>
          <w:bCs/>
          <w:b/>
        </w:rPr>
        <w:t xml:space="preserve">Researchers have employed a number of different strategies in response to the limitations of observational data</w:t>
      </w:r>
      <w:r>
        <w:t xml:space="preserve">:</w:t>
      </w:r>
    </w:p>
    <w:p>
      <w:pPr>
        <w:numPr>
          <w:ilvl w:val="0"/>
          <w:numId w:val="1013"/>
        </w:numPr>
        <w:pStyle w:val="Compact"/>
      </w:pPr>
      <w:r>
        <w:t xml:space="preserve">surrogate interventions</w:t>
      </w:r>
    </w:p>
    <w:p>
      <w:pPr>
        <w:numPr>
          <w:ilvl w:val="1"/>
          <w:numId w:val="1014"/>
        </w:numPr>
        <w:pStyle w:val="Compact"/>
      </w:pPr>
      <w:r>
        <w:t xml:space="preserve">item the real-life cause of interest cannot be manipulated, often a proxy can be randomized in the lab.</w:t>
      </w:r>
    </w:p>
    <w:p>
      <w:pPr>
        <w:numPr>
          <w:ilvl w:val="0"/>
          <w:numId w:val="1013"/>
        </w:numPr>
        <w:pStyle w:val="Compact"/>
      </w:pPr>
      <w:r>
        <w:t xml:space="preserve">avoiding causal language</w:t>
      </w:r>
    </w:p>
    <w:p>
      <w:pPr>
        <w:numPr>
          <w:ilvl w:val="1"/>
          <w:numId w:val="1015"/>
        </w:numPr>
        <w:pStyle w:val="Compact"/>
      </w:pPr>
      <w:r>
        <w:t xml:space="preserve">item write about associations and relationships despite substantive question about causal effects</w:t>
      </w:r>
    </w:p>
    <w:p>
      <w:pPr>
        <w:numPr>
          <w:ilvl w:val="0"/>
          <w:numId w:val="1013"/>
        </w:numPr>
        <w:pStyle w:val="Compact"/>
      </w:pPr>
      <w:r>
        <w:t xml:space="preserve">statistical control</w:t>
      </w:r>
    </w:p>
    <w:p>
      <w:pPr>
        <w:numPr>
          <w:ilvl w:val="1"/>
          <w:numId w:val="1016"/>
        </w:numPr>
        <w:pStyle w:val="Compact"/>
      </w:pPr>
      <w:r>
        <w:t xml:space="preserve">include control variables in analysis but choice of variables often difficult and statistical control itself insufficient</w:t>
      </w:r>
    </w:p>
    <w:bookmarkEnd w:id="249"/>
    <w:bookmarkStart w:id="278" w:name="directed-acyclic-graphs-dags"/>
    <w:p>
      <w:pPr>
        <w:pStyle w:val="Heading2"/>
      </w:pPr>
      <w:r>
        <w:rPr>
          <w:rStyle w:val="SectionNumber"/>
        </w:rPr>
        <w:t xml:space="preserve">7.2</w:t>
      </w:r>
      <w:r>
        <w:tab/>
      </w:r>
      <w:r>
        <w:t xml:space="preserve">Directed Acyclic Graphs (DAGs)</w:t>
      </w:r>
    </w:p>
    <w:p>
      <w:pPr>
        <w:pStyle w:val="FirstParagraph"/>
      </w:pPr>
      <w:r>
        <w:rPr>
          <w:bCs/>
          <w:b/>
        </w:rPr>
        <w:t xml:space="preserve">Directed acyclic graphs (DAGs) are another approach that can be used to examine causal inferences from observational data.</w:t>
      </w:r>
    </w:p>
    <w:p>
      <w:pPr>
        <w:numPr>
          <w:ilvl w:val="0"/>
          <w:numId w:val="1017"/>
        </w:numPr>
        <w:pStyle w:val="Compact"/>
      </w:pPr>
      <w:r>
        <w:t xml:space="preserve">They were developed primarily by the computer scientist Judea Pearl</w:t>
      </w:r>
    </w:p>
    <w:p>
      <w:pPr>
        <w:numPr>
          <w:ilvl w:val="0"/>
          <w:numId w:val="1017"/>
        </w:numPr>
        <w:pStyle w:val="Compact"/>
      </w:pPr>
      <w:r>
        <w:t xml:space="preserve">DAGs provide a visual representation of causal assumptions.</w:t>
      </w:r>
    </w:p>
    <w:p>
      <w:pPr>
        <w:numPr>
          <w:ilvl w:val="0"/>
          <w:numId w:val="1017"/>
        </w:numPr>
        <w:pStyle w:val="Compact"/>
      </w:pPr>
      <w:r>
        <w:t xml:space="preserve">Some overlap with structural equation models (SEMs).</w:t>
      </w:r>
    </w:p>
    <w:p>
      <w:pPr>
        <w:pStyle w:val="FirstParagraph"/>
      </w:pPr>
      <w:r>
        <w:rPr>
          <w:bCs/>
          <w:b/>
        </w:rPr>
        <w:t xml:space="preserve">Importantly, DAGs can provide insights on</w:t>
      </w:r>
    </w:p>
    <w:p>
      <w:pPr>
        <w:numPr>
          <w:ilvl w:val="0"/>
          <w:numId w:val="1018"/>
        </w:numPr>
        <w:pStyle w:val="Compact"/>
      </w:pPr>
      <w:r>
        <w:t xml:space="preserve">What variables should be controlled for?</w:t>
      </w:r>
    </w:p>
    <w:p>
      <w:pPr>
        <w:numPr>
          <w:ilvl w:val="0"/>
          <w:numId w:val="1018"/>
        </w:numPr>
        <w:pStyle w:val="Compact"/>
      </w:pPr>
      <w:r>
        <w:t xml:space="preserve">What variables should not be controlled for?</w:t>
      </w:r>
    </w:p>
    <w:p>
      <w:pPr>
        <w:numPr>
          <w:ilvl w:val="0"/>
          <w:numId w:val="1018"/>
        </w:numPr>
        <w:pStyle w:val="Compact"/>
      </w:pPr>
      <w:r>
        <w:t xml:space="preserve">In what situations might control worsen causal inference?</w:t>
      </w:r>
    </w:p>
    <w:bookmarkStart w:id="253" w:name="introduction-to-dags"/>
    <w:p>
      <w:pPr>
        <w:pStyle w:val="Heading3"/>
      </w:pPr>
      <w:r>
        <w:rPr>
          <w:rStyle w:val="SectionNumber"/>
        </w:rPr>
        <w:t xml:space="preserve">7.2.1</w:t>
      </w:r>
      <w:r>
        <w:tab/>
      </w:r>
      <w:r>
        <w:t xml:space="preserve">Introduction to DAGs</w:t>
      </w:r>
    </w:p>
    <w:p>
      <w:pPr>
        <w:pStyle w:val="FirstParagraph"/>
      </w:pPr>
      <w:r>
        <w:rPr>
          <w:bCs/>
          <w:b/>
        </w:rPr>
        <w:t xml:space="preserve">Below is a simple DAG depicting a model in which the relationship between maltreatment externalizing is confounded by a common cause, income.</w:t>
      </w:r>
    </w:p>
    <w:p>
      <w:pPr>
        <w:pStyle w:val="BodyText"/>
      </w:pPr>
      <w:r>
        <w:drawing>
          <wp:inline>
            <wp:extent cx="2645337" cy="1064251"/>
            <wp:effectExtent b="0" l="0" r="0" t="0"/>
            <wp:docPr descr="" title="" id="251" name="Picture"/>
            <a:graphic>
              <a:graphicData uri="http://schemas.openxmlformats.org/drawingml/2006/picture">
                <pic:pic>
                  <pic:nvPicPr>
                    <pic:cNvPr descr="_main_files/figure-docx/unnamed-chunk-72-1.png" id="252" name="Picture"/>
                    <pic:cNvPicPr>
                      <a:picLocks noChangeArrowheads="1" noChangeAspect="1"/>
                    </pic:cNvPicPr>
                  </pic:nvPicPr>
                  <pic:blipFill>
                    <a:blip r:embed="rId25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DAGs consist of</w:t>
      </w:r>
      <w:r>
        <w:t xml:space="preserve"> </w:t>
      </w:r>
      <w:r>
        <w:rPr>
          <w:bCs/>
          <w:b/>
        </w:rPr>
        <w:t xml:space="preserve">nodes</w:t>
      </w:r>
      <w:r>
        <w:t xml:space="preserve"> </w:t>
      </w:r>
      <w:r>
        <w:t xml:space="preserve">(variables) and</w:t>
      </w:r>
      <w:r>
        <w:t xml:space="preserve"> </w:t>
      </w:r>
      <w:r>
        <w:rPr>
          <w:bCs/>
          <w:b/>
        </w:rPr>
        <w:t xml:space="preserve">arrows</w:t>
      </w:r>
      <w:r>
        <w:t xml:space="preserve"> </w:t>
      </w:r>
      <w:r>
        <w:t xml:space="preserve">(edges) between these nodes, which reflect causal relationships.</w:t>
      </w:r>
    </w:p>
    <w:p>
      <w:pPr>
        <w:pStyle w:val="BodyText"/>
      </w:pPr>
      <w:r>
        <w:t xml:space="preserve">It is assumed that manipulation of a variable at which an arrow begins (e.g., a manipulation of child maltreatment with income held constant) would change the variable at the end of the arrow (e.g., externalizing).</w:t>
      </w:r>
    </w:p>
    <w:bookmarkEnd w:id="253"/>
    <w:bookmarkStart w:id="257" w:name="introduction-to-dags-paths"/>
    <w:p>
      <w:pPr>
        <w:pStyle w:val="Heading3"/>
      </w:pPr>
      <w:r>
        <w:rPr>
          <w:rStyle w:val="SectionNumber"/>
        </w:rPr>
        <w:t xml:space="preserve">7.2.2</w:t>
      </w:r>
      <w:r>
        <w:tab/>
      </w:r>
      <w:r>
        <w:t xml:space="preserve">Introduction to DAGs: Paths</w:t>
      </w:r>
    </w:p>
    <w:p>
      <w:pPr>
        <w:pStyle w:val="FirstParagraph"/>
      </w:pPr>
      <w:r>
        <w:t xml:space="preserve">From these two simple building blocks—</w:t>
      </w:r>
      <w:r>
        <w:rPr>
          <w:bCs/>
          <w:b/>
        </w:rPr>
        <w:t xml:space="preserve">nodes</w:t>
      </w:r>
      <w:r>
        <w:t xml:space="preserve"> </w:t>
      </w:r>
      <w:r>
        <w:t xml:space="preserve">and</w:t>
      </w:r>
      <w:r>
        <w:t xml:space="preserve"> </w:t>
      </w:r>
      <w:r>
        <w:rPr>
          <w:bCs/>
          <w:b/>
        </w:rPr>
        <w:t xml:space="preserve">arrows</w:t>
      </w:r>
      <w:r>
        <w:t xml:space="preserve">—one can visualize more complex situations and trace paths from variable to variable:</w:t>
      </w:r>
    </w:p>
    <w:p>
      <w:pPr>
        <w:pStyle w:val="BodyText"/>
      </w:pPr>
      <w:r>
        <w:drawing>
          <wp:inline>
            <wp:extent cx="2645337" cy="1064251"/>
            <wp:effectExtent b="0" l="0" r="0" t="0"/>
            <wp:docPr descr="" title="" id="255" name="Picture"/>
            <a:graphic>
              <a:graphicData uri="http://schemas.openxmlformats.org/drawingml/2006/picture">
                <pic:pic>
                  <pic:nvPicPr>
                    <pic:cNvPr descr="_main_files/figure-docx/unnamed-chunk-73-1.png" id="256" name="Picture"/>
                    <pic:cNvPicPr>
                      <a:picLocks noChangeArrowheads="1" noChangeAspect="1"/>
                    </pic:cNvPicPr>
                  </pic:nvPicPr>
                  <pic:blipFill>
                    <a:blip r:embed="rId25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Paths</w:t>
      </w:r>
    </w:p>
    <w:p>
      <w:pPr>
        <w:numPr>
          <w:ilvl w:val="0"/>
          <w:numId w:val="1019"/>
        </w:numPr>
        <w:pStyle w:val="Compact"/>
      </w:pPr>
      <w:r>
        <w:t xml:space="preserve">A simple path leads just from one node to another (income → stress).</w:t>
      </w:r>
    </w:p>
    <w:p>
      <w:pPr>
        <w:numPr>
          <w:ilvl w:val="0"/>
          <w:numId w:val="1019"/>
        </w:numPr>
        <w:pStyle w:val="Compact"/>
      </w:pPr>
      <w:r>
        <w:t xml:space="preserve">Paths can also contain multiple nodes:</w:t>
      </w:r>
    </w:p>
    <w:p>
      <w:pPr>
        <w:numPr>
          <w:ilvl w:val="1"/>
          <w:numId w:val="1020"/>
        </w:numPr>
        <w:pStyle w:val="Compact"/>
      </w:pPr>
      <w:r>
        <w:t xml:space="preserve">income → stress → child maltreatment</w:t>
      </w:r>
    </w:p>
    <w:p>
      <w:pPr>
        <w:numPr>
          <w:ilvl w:val="0"/>
          <w:numId w:val="1019"/>
        </w:numPr>
        <w:pStyle w:val="Compact"/>
      </w:pPr>
      <w:r>
        <w:t xml:space="preserve">Paths can also travel against the direction indicated by arrows</w:t>
      </w:r>
    </w:p>
    <w:p>
      <w:pPr>
        <w:numPr>
          <w:ilvl w:val="1"/>
          <w:numId w:val="1021"/>
        </w:numPr>
        <w:pStyle w:val="Compact"/>
      </w:pPr>
      <w:r>
        <w:t xml:space="preserve">child maltreatment ← stress ← income → externalizing</w:t>
      </w:r>
    </w:p>
    <w:bookmarkEnd w:id="257"/>
    <w:bookmarkStart w:id="261" w:name="introduction-to-dags-chains"/>
    <w:p>
      <w:pPr>
        <w:pStyle w:val="Heading3"/>
      </w:pPr>
      <w:r>
        <w:rPr>
          <w:rStyle w:val="SectionNumber"/>
        </w:rPr>
        <w:t xml:space="preserve">7.2.3</w:t>
      </w:r>
      <w:r>
        <w:tab/>
      </w:r>
      <w:r>
        <w:t xml:space="preserve">Introduction to DAGs: Chains</w:t>
      </w:r>
    </w:p>
    <w:p>
      <w:pPr>
        <w:pStyle w:val="FirstParagraph"/>
      </w:pPr>
      <w:r>
        <w:drawing>
          <wp:inline>
            <wp:extent cx="2645337" cy="1064251"/>
            <wp:effectExtent b="0" l="0" r="0" t="0"/>
            <wp:docPr descr="" title="" id="259" name="Picture"/>
            <a:graphic>
              <a:graphicData uri="http://schemas.openxmlformats.org/drawingml/2006/picture">
                <pic:pic>
                  <pic:nvPicPr>
                    <pic:cNvPr descr="_main_files/figure-docx/unnamed-chunk-74-1.png" id="260" name="Picture"/>
                    <pic:cNvPicPr>
                      <a:picLocks noChangeArrowheads="1" noChangeAspect="1"/>
                    </pic:cNvPicPr>
                  </pic:nvPicPr>
                  <pic:blipFill>
                    <a:blip r:embed="rId258"/>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w:t>
      </w:r>
    </w:p>
    <w:p>
      <w:pPr>
        <w:numPr>
          <w:ilvl w:val="0"/>
          <w:numId w:val="1022"/>
        </w:numPr>
        <w:pStyle w:val="Compact"/>
      </w:pPr>
      <w:r>
        <w:t xml:space="preserve">Chains have the structure A → B → C.</w:t>
      </w:r>
    </w:p>
    <w:p>
      <w:pPr>
        <w:numPr>
          <w:ilvl w:val="0"/>
          <w:numId w:val="1022"/>
        </w:numPr>
        <w:pStyle w:val="Compact"/>
      </w:pPr>
      <w:r>
        <w:t xml:space="preserve">Chains can transmit an association between the beginning and end nodes.</w:t>
      </w:r>
    </w:p>
    <w:p>
      <w:pPr>
        <w:numPr>
          <w:ilvl w:val="1"/>
          <w:numId w:val="1023"/>
        </w:numPr>
        <w:pStyle w:val="Compact"/>
      </w:pPr>
      <w:r>
        <w:t xml:space="preserve">If income causally affects child maltreatment, and child maltreatment causally affects externalizing, then income and externalizing can be correlated.</w:t>
      </w:r>
    </w:p>
    <w:bookmarkEnd w:id="261"/>
    <w:bookmarkStart w:id="265" w:name="Xd7d2147ec5572ab9045aa69163349a623267d69"/>
    <w:p>
      <w:pPr>
        <w:pStyle w:val="Heading3"/>
      </w:pPr>
      <w:r>
        <w:rPr>
          <w:rStyle w:val="SectionNumber"/>
        </w:rPr>
        <w:t xml:space="preserve">7.2.4</w:t>
      </w:r>
      <w:r>
        <w:tab/>
      </w:r>
      <w:r>
        <w:t xml:space="preserve">Introduction to DAGs: Descendants and Ancestors</w:t>
      </w:r>
    </w:p>
    <w:p>
      <w:pPr>
        <w:pStyle w:val="FirstParagraph"/>
      </w:pPr>
      <w:r>
        <w:drawing>
          <wp:inline>
            <wp:extent cx="2645337" cy="1064251"/>
            <wp:effectExtent b="0" l="0" r="0" t="0"/>
            <wp:docPr descr="" title="" id="263" name="Picture"/>
            <a:graphic>
              <a:graphicData uri="http://schemas.openxmlformats.org/drawingml/2006/picture">
                <pic:pic>
                  <pic:nvPicPr>
                    <pic:cNvPr descr="_main_files/figure-docx/unnamed-chunk-75-1.png" id="264" name="Picture"/>
                    <pic:cNvPicPr>
                      <a:picLocks noChangeArrowheads="1" noChangeAspect="1"/>
                    </pic:cNvPicPr>
                  </pic:nvPicPr>
                  <pic:blipFill>
                    <a:blip r:embed="rId26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 Descendants and Ancestors</w:t>
      </w:r>
    </w:p>
    <w:p>
      <w:pPr>
        <w:numPr>
          <w:ilvl w:val="0"/>
          <w:numId w:val="1024"/>
        </w:numPr>
        <w:pStyle w:val="Compact"/>
      </w:pPr>
      <w:r>
        <w:t xml:space="preserve">Along a chain, variables that are directly or indirectly causally affected by a certain variable are called its descendants</w:t>
      </w:r>
    </w:p>
    <w:p>
      <w:pPr>
        <w:numPr>
          <w:ilvl w:val="1"/>
          <w:numId w:val="1025"/>
        </w:numPr>
        <w:pStyle w:val="Compact"/>
      </w:pPr>
      <w:r>
        <w:t xml:space="preserve">externalizing is a descendant of child maltreatment</w:t>
      </w:r>
    </w:p>
    <w:p>
      <w:pPr>
        <w:numPr>
          <w:ilvl w:val="0"/>
          <w:numId w:val="1024"/>
        </w:numPr>
        <w:pStyle w:val="Compact"/>
      </w:pPr>
      <w:r>
        <w:t xml:space="preserve">Variables that directly or indirectly affect a certain variable are considered its ancestors.</w:t>
      </w:r>
    </w:p>
    <w:p>
      <w:pPr>
        <w:numPr>
          <w:ilvl w:val="1"/>
          <w:numId w:val="1026"/>
        </w:numPr>
        <w:pStyle w:val="Compact"/>
      </w:pPr>
      <w:r>
        <w:t xml:space="preserve">income is an ancestor of support, child maltreatment and internalizing</w:t>
      </w:r>
    </w:p>
    <w:bookmarkEnd w:id="265"/>
    <w:bookmarkStart w:id="269" w:name="introduction-to-dags-forks"/>
    <w:p>
      <w:pPr>
        <w:pStyle w:val="Heading3"/>
      </w:pPr>
      <w:r>
        <w:rPr>
          <w:rStyle w:val="SectionNumber"/>
        </w:rPr>
        <w:t xml:space="preserve">7.2.5</w:t>
      </w:r>
      <w:r>
        <w:tab/>
      </w:r>
      <w:r>
        <w:t xml:space="preserve">Introduction to DAGs: Forks</w:t>
      </w:r>
    </w:p>
    <w:p>
      <w:pPr>
        <w:pStyle w:val="FirstParagraph"/>
      </w:pPr>
      <w:r>
        <w:drawing>
          <wp:inline>
            <wp:extent cx="2645337" cy="1064251"/>
            <wp:effectExtent b="0" l="0" r="0" t="0"/>
            <wp:docPr descr="" title="" id="267" name="Picture"/>
            <a:graphic>
              <a:graphicData uri="http://schemas.openxmlformats.org/drawingml/2006/picture">
                <pic:pic>
                  <pic:nvPicPr>
                    <pic:cNvPr descr="_main_files/figure-docx/unnamed-chunk-76-1.png" id="268" name="Picture"/>
                    <pic:cNvPicPr>
                      <a:picLocks noChangeArrowheads="1" noChangeAspect="1"/>
                    </pic:cNvPicPr>
                  </pic:nvPicPr>
                  <pic:blipFill>
                    <a:blip r:embed="rId26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Forks</w:t>
      </w:r>
    </w:p>
    <w:p>
      <w:pPr>
        <w:numPr>
          <w:ilvl w:val="0"/>
          <w:numId w:val="1027"/>
        </w:numPr>
        <w:pStyle w:val="Compact"/>
      </w:pPr>
      <w:r>
        <w:t xml:space="preserve">Forks have the structure A ← B → C.</w:t>
      </w:r>
    </w:p>
    <w:p>
      <w:pPr>
        <w:numPr>
          <w:ilvl w:val="0"/>
          <w:numId w:val="1027"/>
        </w:numPr>
        <w:pStyle w:val="Compact"/>
      </w:pPr>
      <w:r>
        <w:t xml:space="preserve">A fork can transmit an association, but it is not causal.</w:t>
      </w:r>
    </w:p>
    <w:p>
      <w:pPr>
        <w:numPr>
          <w:ilvl w:val="1"/>
          <w:numId w:val="1028"/>
        </w:numPr>
        <w:pStyle w:val="Compact"/>
      </w:pPr>
      <w:r>
        <w:t xml:space="preserve">In isolation, this fork indicates that child maltreatment and externalizing may be correlated because they share a common cause, income.</w:t>
      </w:r>
    </w:p>
    <w:p>
      <w:pPr>
        <w:numPr>
          <w:ilvl w:val="0"/>
          <w:numId w:val="1027"/>
        </w:numPr>
        <w:pStyle w:val="Compact"/>
      </w:pPr>
      <w:r>
        <w:t xml:space="preserve">Forks are the causal structure most relevant for the phenomenon of confounding.</w:t>
      </w:r>
    </w:p>
    <w:bookmarkEnd w:id="269"/>
    <w:bookmarkStart w:id="273" w:name="introduction-to-dags-inverted-forks"/>
    <w:p>
      <w:pPr>
        <w:pStyle w:val="Heading3"/>
      </w:pPr>
      <w:r>
        <w:rPr>
          <w:rStyle w:val="SectionNumber"/>
        </w:rPr>
        <w:t xml:space="preserve">7.2.6</w:t>
      </w:r>
      <w:r>
        <w:tab/>
      </w:r>
      <w:r>
        <w:t xml:space="preserve">Introduction to DAGs: Inverted Forks</w:t>
      </w:r>
    </w:p>
    <w:p>
      <w:pPr>
        <w:pStyle w:val="FirstParagraph"/>
      </w:pPr>
      <w:r>
        <w:drawing>
          <wp:inline>
            <wp:extent cx="2645337" cy="1064251"/>
            <wp:effectExtent b="0" l="0" r="0" t="0"/>
            <wp:docPr descr="" title="" id="271" name="Picture"/>
            <a:graphic>
              <a:graphicData uri="http://schemas.openxmlformats.org/drawingml/2006/picture">
                <pic:pic>
                  <pic:nvPicPr>
                    <pic:cNvPr descr="_main_files/figure-docx/unnamed-chunk-77-1.png" id="272" name="Picture"/>
                    <pic:cNvPicPr>
                      <a:picLocks noChangeArrowheads="1" noChangeAspect="1"/>
                    </pic:cNvPicPr>
                  </pic:nvPicPr>
                  <pic:blipFill>
                    <a:blip r:embed="rId27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Inverted Forks</w:t>
      </w:r>
    </w:p>
    <w:p>
      <w:pPr>
        <w:numPr>
          <w:ilvl w:val="0"/>
          <w:numId w:val="1029"/>
        </w:numPr>
        <w:pStyle w:val="Compact"/>
      </w:pPr>
      <w:r>
        <w:t xml:space="preserve">Inverted forks have the structure A → B ← C.</w:t>
      </w:r>
    </w:p>
    <w:p>
      <w:pPr>
        <w:numPr>
          <w:ilvl w:val="0"/>
          <w:numId w:val="1029"/>
        </w:numPr>
        <w:pStyle w:val="Compact"/>
      </w:pPr>
      <w:r>
        <w:t xml:space="preserve">An inverted fork does not transmit an association.</w:t>
      </w:r>
    </w:p>
    <w:p>
      <w:pPr>
        <w:numPr>
          <w:ilvl w:val="1"/>
          <w:numId w:val="1030"/>
        </w:numPr>
        <w:pStyle w:val="Compact"/>
      </w:pPr>
      <w:r>
        <w:t xml:space="preserve">In isolation, If child maltreatment and income both affect externalizing, this does not imply that they are in any way correlated.</w:t>
      </w:r>
    </w:p>
    <w:p>
      <w:pPr>
        <w:numPr>
          <w:ilvl w:val="0"/>
          <w:numId w:val="1029"/>
        </w:numPr>
        <w:pStyle w:val="Compact"/>
      </w:pPr>
      <w:r>
        <w:t xml:space="preserve">Inverted forks are relevant to the problem of collider bias.</w:t>
      </w:r>
    </w:p>
    <w:bookmarkEnd w:id="273"/>
    <w:bookmarkStart w:id="277" w:name="introduction-to-dags-acyclicity"/>
    <w:p>
      <w:pPr>
        <w:pStyle w:val="Heading3"/>
      </w:pPr>
      <w:r>
        <w:rPr>
          <w:rStyle w:val="SectionNumber"/>
        </w:rPr>
        <w:t xml:space="preserve">7.2.7</w:t>
      </w:r>
      <w:r>
        <w:tab/>
      </w:r>
      <w:r>
        <w:t xml:space="preserve">Introduction to DAGs: Acyclicity</w:t>
      </w:r>
    </w:p>
    <w:p>
      <w:pPr>
        <w:pStyle w:val="FirstParagraph"/>
      </w:pPr>
      <w:r>
        <w:drawing>
          <wp:inline>
            <wp:extent cx="2645337" cy="1064251"/>
            <wp:effectExtent b="0" l="0" r="0" t="0"/>
            <wp:docPr descr="" title="" id="275" name="Picture"/>
            <a:graphic>
              <a:graphicData uri="http://schemas.openxmlformats.org/drawingml/2006/picture">
                <pic:pic>
                  <pic:nvPicPr>
                    <pic:cNvPr descr="_main_files/figure-docx/unnamed-chunk-78-1.png" id="276" name="Picture"/>
                    <pic:cNvPicPr>
                      <a:picLocks noChangeArrowheads="1" noChangeAspect="1"/>
                    </pic:cNvPicPr>
                  </pic:nvPicPr>
                  <pic:blipFill>
                    <a:blip r:embed="rId27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Acyclicity</w:t>
      </w:r>
    </w:p>
    <w:p>
      <w:pPr>
        <w:numPr>
          <w:ilvl w:val="0"/>
          <w:numId w:val="1031"/>
        </w:numPr>
        <w:pStyle w:val="Compact"/>
      </w:pPr>
      <w:r>
        <w:t xml:space="preserve">DAGs are acyclic because they do not allow for cyclic paths in which variables become their own ancestors.</w:t>
      </w:r>
    </w:p>
    <w:p>
      <w:pPr>
        <w:numPr>
          <w:ilvl w:val="1"/>
          <w:numId w:val="1032"/>
        </w:numPr>
        <w:pStyle w:val="Compact"/>
      </w:pPr>
      <w:r>
        <w:t xml:space="preserve">a variable cannot causally affect itself</w:t>
      </w:r>
    </w:p>
    <w:p>
      <w:pPr>
        <w:numPr>
          <w:ilvl w:val="0"/>
          <w:numId w:val="1031"/>
        </w:numPr>
        <w:pStyle w:val="Compact"/>
      </w:pPr>
      <w:r>
        <w:t xml:space="preserve">Developmental systems often contain feedback loops and reciprocal relationships.</w:t>
      </w:r>
    </w:p>
    <w:p>
      <w:pPr>
        <w:numPr>
          <w:ilvl w:val="1"/>
          <w:numId w:val="1033"/>
        </w:numPr>
        <w:pStyle w:val="Compact"/>
      </w:pPr>
      <w:r>
        <w:t xml:space="preserve">Often feedback loops can be modeled in a DAG by taking the temporal order into account and adding nodes for repeated measures.</w:t>
      </w:r>
    </w:p>
    <w:bookmarkEnd w:id="277"/>
    <w:bookmarkEnd w:id="278"/>
    <w:bookmarkStart w:id="290" w:name="statistical-control-done-right"/>
    <w:p>
      <w:pPr>
        <w:pStyle w:val="Heading2"/>
      </w:pPr>
      <w:r>
        <w:rPr>
          <w:rStyle w:val="SectionNumber"/>
        </w:rPr>
        <w:t xml:space="preserve">7.3</w:t>
      </w:r>
      <w:r>
        <w:tab/>
      </w:r>
      <w:r>
        <w:t xml:space="preserve">Statistical Control Done Right</w:t>
      </w:r>
    </w:p>
    <w:p>
      <w:pPr>
        <w:pStyle w:val="FirstParagraph"/>
      </w:pPr>
      <w:r>
        <w:rPr>
          <w:bCs/>
          <w:b/>
        </w:rPr>
        <w:t xml:space="preserve">The central problem of observational data is confounding</w:t>
      </w:r>
      <w:r>
        <w:t xml:space="preserve">:</w:t>
      </w:r>
    </w:p>
    <w:p>
      <w:pPr>
        <w:numPr>
          <w:ilvl w:val="0"/>
          <w:numId w:val="1034"/>
        </w:numPr>
        <w:pStyle w:val="Compact"/>
      </w:pPr>
      <w:r>
        <w:t xml:space="preserve">the presence of a common cause that lurks behind the potential cause of interest and the outcome of interest.</w:t>
      </w:r>
    </w:p>
    <w:p>
      <w:pPr>
        <w:pStyle w:val="FirstParagraph"/>
      </w:pPr>
      <w:r>
        <w:rPr>
          <w:bCs/>
          <w:b/>
        </w:rPr>
        <w:t xml:space="preserve">A confounding influence can introduce what is often called a spurious correlation, which ought not to be confused with a causal effect.</w:t>
      </w:r>
    </w:p>
    <w:p>
      <w:pPr>
        <w:numPr>
          <w:ilvl w:val="0"/>
          <w:numId w:val="1035"/>
        </w:numPr>
        <w:pStyle w:val="Compact"/>
      </w:pPr>
      <w:r>
        <w:t xml:space="preserve">The extraordinarily influence of randomized experiments in testing causal inferences is based on the simple fact that if the independent variable is randomly assigned—for example, by the flip of a coin—by design it cannot share a common cause with the outcome.</w:t>
      </w:r>
    </w:p>
    <w:p>
      <w:pPr>
        <w:pStyle w:val="FirstParagraph"/>
      </w:pPr>
      <w:r>
        <w:rPr>
          <w:bCs/>
          <w:b/>
        </w:rPr>
        <w:t xml:space="preserve">How can a DAG be used to figure out how to remove all such noncausal associations so that only the true causal effect remains?</w:t>
      </w:r>
    </w:p>
    <w:bookmarkStart w:id="282" w:name="building-a-dag"/>
    <w:p>
      <w:pPr>
        <w:pStyle w:val="Heading3"/>
      </w:pPr>
      <w:r>
        <w:rPr>
          <w:rStyle w:val="SectionNumber"/>
        </w:rPr>
        <w:t xml:space="preserve">7.3.1</w:t>
      </w:r>
      <w:r>
        <w:tab/>
      </w:r>
      <w:r>
        <w:t xml:space="preserve">Building a DAG</w:t>
      </w:r>
    </w:p>
    <w:p>
      <w:pPr>
        <w:pStyle w:val="FirstParagraph"/>
      </w:pPr>
      <w:r>
        <w:rPr>
          <w:bCs/>
          <w:b/>
        </w:rPr>
        <w:t xml:space="preserve">To derive a valid causal conclusion, one must ensure the DAG includes everything that is relevant to the causal effect of interest. What is missing</w:t>
      </w:r>
    </w:p>
    <w:p>
      <w:pPr>
        <w:pStyle w:val="BodyText"/>
      </w:pPr>
      <w:r>
        <w:drawing>
          <wp:inline>
            <wp:extent cx="2645337" cy="1064251"/>
            <wp:effectExtent b="0" l="0" r="0" t="0"/>
            <wp:docPr descr="" title="" id="280" name="Picture"/>
            <a:graphic>
              <a:graphicData uri="http://schemas.openxmlformats.org/drawingml/2006/picture">
                <pic:pic>
                  <pic:nvPicPr>
                    <pic:cNvPr descr="_main_files/figure-docx/unnamed-chunk-79-1.png" id="281" name="Picture"/>
                    <pic:cNvPicPr>
                      <a:picLocks noChangeArrowheads="1" noChangeAspect="1"/>
                    </pic:cNvPicPr>
                  </pic:nvPicPr>
                  <pic:blipFill>
                    <a:blip r:embed="rId279"/>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want to derive a valid causal conclusion, we need to build a causal DAG that is complete because it includes all common causes of all pairs of variables that are already included in the DAG (Spirtes, Glymour, &amp; Scheines, 2000).</w:t>
      </w:r>
    </w:p>
    <w:p>
      <w:pPr>
        <w:pStyle w:val="BodyText"/>
      </w:pPr>
      <w:r>
        <w:t xml:space="preserve">That is, any additional variable that either directly or indirectly causally affects at least two variables already included in the DAG should be included.</w:t>
      </w:r>
    </w:p>
    <w:bookmarkEnd w:id="282"/>
    <w:bookmarkStart w:id="289" w:name="building-a-dag-back-door-paths"/>
    <w:p>
      <w:pPr>
        <w:pStyle w:val="Heading3"/>
      </w:pPr>
      <w:r>
        <w:rPr>
          <w:rStyle w:val="SectionNumber"/>
        </w:rPr>
        <w:t xml:space="preserve">7.3.2</w:t>
      </w:r>
      <w:r>
        <w:tab/>
      </w:r>
      <w:r>
        <w:t xml:space="preserve">Building a DAG: Back-Door Paths</w:t>
      </w:r>
    </w:p>
    <w:p>
      <w:pPr>
        <w:pStyle w:val="FirstParagraph"/>
      </w:pPr>
      <w:r>
        <w:rPr>
          <w:bCs/>
          <w:b/>
        </w:rPr>
        <w:t xml:space="preserve">After a DAG is built, back-door paths can be discerned.</w:t>
      </w:r>
    </w:p>
    <w:p>
      <w:pPr>
        <w:pStyle w:val="BodyText"/>
      </w:pPr>
      <w:r>
        <w:t xml:space="preserve">Back-door paths are all paths that start with an arrow pointing to the independent variable and end with an arrow pointing to the dependent variable.</w:t>
      </w:r>
    </w:p>
    <w:p>
      <w:pPr>
        <w:pStyle w:val="BodyText"/>
      </w:pPr>
      <w:r>
        <w:drawing>
          <wp:inline>
            <wp:extent cx="2645337" cy="1064251"/>
            <wp:effectExtent b="0" l="0" r="0" t="0"/>
            <wp:docPr descr="" title="" id="284" name="Picture"/>
            <a:graphic>
              <a:graphicData uri="http://schemas.openxmlformats.org/drawingml/2006/picture">
                <pic:pic>
                  <pic:nvPicPr>
                    <pic:cNvPr descr="_main_files/figure-docx/unnamed-chunk-80-1.png" id="285" name="Picture"/>
                    <pic:cNvPicPr>
                      <a:picLocks noChangeArrowheads="1" noChangeAspect="1"/>
                    </pic:cNvPicPr>
                  </pic:nvPicPr>
                  <pic:blipFill>
                    <a:blip r:embed="rId283"/>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plan to investigate the causal relationship between child maltreatment and internalizing what are the back-door paths in our example DAG?</w:t>
      </w:r>
    </w:p>
    <w:p>
      <w:pPr>
        <w:pStyle w:val="BodyText"/>
      </w:pPr>
      <w:r>
        <w:rPr>
          <w:bCs/>
          <w:b/>
        </w:rPr>
        <w:t xml:space="preserve">Back-Door Paths</w:t>
      </w:r>
    </w:p>
    <w:p>
      <w:pPr>
        <w:numPr>
          <w:ilvl w:val="0"/>
          <w:numId w:val="1036"/>
        </w:numPr>
        <w:pStyle w:val="Compact"/>
      </w:pPr>
      <w:r>
        <w:t xml:space="preserve">child maltreatment ← support ← income → externalizing</w:t>
      </w:r>
    </w:p>
    <w:p>
      <w:pPr>
        <w:numPr>
          <w:ilvl w:val="0"/>
          <w:numId w:val="1036"/>
        </w:numPr>
        <w:pStyle w:val="Compact"/>
      </w:pPr>
      <w:r>
        <w:t xml:space="preserve">child maltreatment ← income → externalizing</w:t>
      </w:r>
    </w:p>
    <w:p>
      <w:pPr>
        <w:pStyle w:val="FirstParagraph"/>
      </w:pPr>
      <w:r>
        <w:rPr>
          <w:bCs/>
          <w:b/>
        </w:rPr>
        <w:t xml:space="preserve">Back-Door Problems</w:t>
      </w:r>
    </w:p>
    <w:p>
      <w:pPr>
        <w:numPr>
          <w:ilvl w:val="0"/>
          <w:numId w:val="1037"/>
        </w:numPr>
        <w:pStyle w:val="Compact"/>
      </w:pPr>
      <w:r>
        <w:t xml:space="preserve">Back-door paths are problematic whenever they transmit an association.</w:t>
      </w:r>
    </w:p>
    <w:p>
      <w:pPr>
        <w:numPr>
          <w:ilvl w:val="0"/>
          <w:numId w:val="1037"/>
        </w:numPr>
        <w:pStyle w:val="Compact"/>
      </w:pPr>
      <w:r>
        <w:t xml:space="preserve">In this case, both backdoor paths consist of only chains and forks, thus, these two back-door paths are open, and they can transmit a spurious association.</w:t>
      </w:r>
    </w:p>
    <w:p>
      <w:pPr>
        <w:pStyle w:val="FirstParagraph"/>
      </w:pPr>
      <w:r>
        <w:rPr>
          <w:bCs/>
          <w:b/>
        </w:rPr>
        <w:t xml:space="preserve">Back-Door Solutions</w:t>
      </w:r>
    </w:p>
    <w:p>
      <w:pPr>
        <w:numPr>
          <w:ilvl w:val="0"/>
          <w:numId w:val="1038"/>
        </w:numPr>
        <w:pStyle w:val="Compact"/>
      </w:pPr>
      <w:r>
        <w:t xml:space="preserve">The zero-order correlation between child maltreatment and externalizing is a mix of the true causal effect (child maltreatment → externalizing) of interest plus any noncausal association transmitted by the two back-door paths.</w:t>
      </w:r>
    </w:p>
    <w:p>
      <w:pPr>
        <w:numPr>
          <w:ilvl w:val="0"/>
          <w:numId w:val="1038"/>
        </w:numPr>
        <w:pStyle w:val="Compact"/>
      </w:pPr>
      <w:r>
        <w:t xml:space="preserve">To remove the undesirable noncausal association, we must block the two back-door paths.</w:t>
      </w:r>
    </w:p>
    <w:p>
      <w:pPr>
        <w:pStyle w:val="FirstParagraph"/>
      </w:pPr>
      <w:r>
        <w:rPr>
          <w:bCs/>
          <w:b/>
        </w:rPr>
        <w:t xml:space="preserve">Blocking Back-Door Paths</w:t>
      </w:r>
    </w:p>
    <w:p>
      <w:pPr>
        <w:pStyle w:val="BodyText"/>
      </w:pPr>
      <w:r>
        <w:rPr>
          <w:bCs/>
          <w:b/>
        </w:rPr>
        <w:t xml:space="preserve">The purpose of third-variable control is to block open back-door paths.</w:t>
      </w:r>
    </w:p>
    <w:p>
      <w:pPr>
        <w:numPr>
          <w:ilvl w:val="0"/>
          <w:numId w:val="1039"/>
        </w:numPr>
      </w:pPr>
      <w:r>
        <w:t xml:space="preserve">If all back-door paths between the independent and dependent variables can be blocked, then the causal effect connecting the independent and dependent variables can be identified.</w:t>
      </w:r>
    </w:p>
    <w:p>
      <w:pPr>
        <w:numPr>
          <w:ilvl w:val="0"/>
          <w:numId w:val="1039"/>
        </w:numPr>
      </w:pPr>
      <w:r>
        <w:t xml:space="preserve">Such a causal effect would be considered identifiable, always under the assumption that the DAG captures the true underlying causal web.</w:t>
      </w:r>
    </w:p>
    <w:p>
      <w:pPr>
        <w:numPr>
          <w:ilvl w:val="0"/>
          <w:numId w:val="1039"/>
        </w:numPr>
      </w:pPr>
      <w:r>
        <w:t xml:space="preserve">A back-door path can be blocked by</w:t>
      </w:r>
      <w:r>
        <w:t xml:space="preserve"> </w:t>
      </w:r>
      <w:r>
        <w:t xml:space="preserve">“</w:t>
      </w:r>
      <w:r>
        <w:t xml:space="preserve">cutting</w:t>
      </w:r>
      <w:r>
        <w:t xml:space="preserve">”</w:t>
      </w:r>
      <w:r>
        <w:t xml:space="preserve"> </w:t>
      </w:r>
      <w:r>
        <w:t xml:space="preserve">the transmission of association at any point in the path by statistically controlling a node.</w:t>
      </w:r>
    </w:p>
    <w:p>
      <w:pPr>
        <w:pStyle w:val="FirstParagraph"/>
      </w:pPr>
      <w:r>
        <w:rPr>
          <w:bCs/>
          <w:b/>
        </w:rPr>
        <w:t xml:space="preserve">What variables would we want to control for to identify the causal effect of child maltreatment on externalizing?</w:t>
      </w:r>
    </w:p>
    <w:p>
      <w:pPr>
        <w:pStyle w:val="BodyText"/>
      </w:pPr>
      <w:r>
        <w:drawing>
          <wp:inline>
            <wp:extent cx="2645337" cy="1064251"/>
            <wp:effectExtent b="0" l="0" r="0" t="0"/>
            <wp:docPr descr="" title="" id="287" name="Picture"/>
            <a:graphic>
              <a:graphicData uri="http://schemas.openxmlformats.org/drawingml/2006/picture">
                <pic:pic>
                  <pic:nvPicPr>
                    <pic:cNvPr descr="_main_files/figure-docx/unnamed-chunk-81-1.png" id="288" name="Picture"/>
                    <pic:cNvPicPr>
                      <a:picLocks noChangeArrowheads="1" noChangeAspect="1"/>
                    </pic:cNvPicPr>
                  </pic:nvPicPr>
                  <pic:blipFill>
                    <a:blip r:embed="rId286"/>
                    <a:stretch>
                      <a:fillRect/>
                    </a:stretch>
                  </pic:blipFill>
                  <pic:spPr bwMode="auto">
                    <a:xfrm>
                      <a:off x="0" y="0"/>
                      <a:ext cx="2645337" cy="1064251"/>
                    </a:xfrm>
                    <a:prstGeom prst="rect">
                      <a:avLst/>
                    </a:prstGeom>
                    <a:noFill/>
                    <a:ln w="9525">
                      <a:noFill/>
                      <a:headEnd/>
                      <a:tailEnd/>
                    </a:ln>
                  </pic:spPr>
                </pic:pic>
              </a:graphicData>
            </a:graphic>
          </wp:inline>
        </w:drawing>
      </w:r>
    </w:p>
    <w:bookmarkEnd w:id="289"/>
    <w:bookmarkEnd w:id="290"/>
    <w:bookmarkStart w:id="326" w:name="statistical-control-gone-wrong"/>
    <w:p>
      <w:pPr>
        <w:pStyle w:val="Heading2"/>
      </w:pPr>
      <w:r>
        <w:rPr>
          <w:rStyle w:val="SectionNumber"/>
        </w:rPr>
        <w:t xml:space="preserve">7.4</w:t>
      </w:r>
      <w:r>
        <w:tab/>
      </w:r>
      <w:r>
        <w:t xml:space="preserve">Statistical Control Gone Wrong</w:t>
      </w:r>
    </w:p>
    <w:p>
      <w:pPr>
        <w:pStyle w:val="FirstParagraph"/>
      </w:pPr>
      <w:r>
        <w:t xml:space="preserve">In certain fields, it has become common practice to include as many covariates as possible.</w:t>
      </w:r>
    </w:p>
    <w:p>
      <w:pPr>
        <w:pStyle w:val="BodyText"/>
      </w:pPr>
      <w:r>
        <w:t xml:space="preserve">Unfortunately, it is not true that simply adding more covariates will improve the estimate of a causal effect.</w:t>
      </w:r>
    </w:p>
    <w:p>
      <w:pPr>
        <w:pStyle w:val="BodyText"/>
      </w:pPr>
      <w:r>
        <w:rPr>
          <w:bCs/>
          <w:b/>
        </w:rPr>
        <w:t xml:space="preserve">There are two types of variables that researchers should not control for without taking into account potential negative side effects: colliders and mediators.</w:t>
      </w:r>
    </w:p>
    <w:p>
      <w:pPr>
        <w:pStyle w:val="BodyText"/>
      </w:pPr>
      <w:r>
        <w:t xml:space="preserve">Whereas confounders causally affect the independent variable of interest, colliders and mediators are causally affected by the independent variable.</w:t>
      </w:r>
    </w:p>
    <w:bookmarkStart w:id="291" w:name="collider-bias"/>
    <w:p>
      <w:pPr>
        <w:pStyle w:val="Heading3"/>
      </w:pPr>
      <w:r>
        <w:rPr>
          <w:rStyle w:val="SectionNumber"/>
        </w:rPr>
        <w:t xml:space="preserve">7.4.1</w:t>
      </w:r>
      <w:r>
        <w:tab/>
      </w:r>
      <w:r>
        <w:t xml:space="preserve">Collider Bias</w:t>
      </w:r>
    </w:p>
    <w:p>
      <w:pPr>
        <w:pStyle w:val="FirstParagraph"/>
      </w:pPr>
      <w:r>
        <w:t xml:space="preserve">A collider for a certain pair of variables is any variable that is causally influenced by both of them.</w:t>
      </w:r>
    </w:p>
    <w:p>
      <w:pPr>
        <w:pStyle w:val="BodyText"/>
      </w:pPr>
      <w:r>
        <w:rPr>
          <w:bCs/>
          <w:b/>
        </w:rPr>
        <w:t xml:space="preserve">Controlling for, or conditioning analysis on, such a variable (or any of its descendants) can introduce a spurious (i.e., noncausal) association between its causes.</w:t>
      </w:r>
    </w:p>
    <w:p>
      <w:pPr>
        <w:pStyle w:val="BodyText"/>
      </w:pPr>
      <w:r>
        <w:t xml:space="preserve">In DAG terminology, a collider is the variable in the middle of an inverted fork, for example, variable B in A → B ← C.</w:t>
      </w:r>
    </w:p>
    <w:p>
      <w:pPr>
        <w:pStyle w:val="BodyText"/>
      </w:pPr>
      <w:r>
        <w:t xml:space="preserve">The collider variable normally blocks the path, but when one controls for it, a spurious association between A and C can arise.</w:t>
      </w:r>
    </w:p>
    <w:bookmarkEnd w:id="291"/>
    <w:bookmarkStart w:id="298" w:name="conditioning-on-a-collider"/>
    <w:p>
      <w:pPr>
        <w:pStyle w:val="Heading3"/>
      </w:pPr>
      <w:r>
        <w:rPr>
          <w:rStyle w:val="SectionNumber"/>
        </w:rPr>
        <w:t xml:space="preserve">7.4.2</w:t>
      </w:r>
      <w:r>
        <w:tab/>
      </w:r>
      <w:r>
        <w:t xml:space="preserve">Conditioning on a Collider</w:t>
      </w:r>
    </w:p>
    <w:p>
      <w:pPr>
        <w:pStyle w:val="FirstParagraph"/>
      </w:pPr>
      <w:r>
        <w:rPr>
          <w:bCs/>
          <w:b/>
        </w:rPr>
        <w:t xml:space="preserve">Thought Experiment</w:t>
      </w:r>
    </w:p>
    <w:p>
      <w:pPr>
        <w:pStyle w:val="BodyText"/>
      </w:pPr>
      <w:r>
        <w:t xml:space="preserve">Imagine we are interested in the effect of child maltreatment on personality features, such as extroversion.</w:t>
      </w:r>
    </w:p>
    <w:p>
      <w:pPr>
        <w:pStyle w:val="BodyText"/>
      </w:pPr>
      <w:r>
        <w:t xml:space="preserve">For this thought experiment, let us assume that there is actually no causal effect of child maltreatment on extroversion.</w:t>
      </w:r>
    </w:p>
    <w:p>
      <w:pPr>
        <w:pStyle w:val="BodyText"/>
      </w:pPr>
      <w:r>
        <w:t xml:space="preserve">To investigate the association, we look at all individuals with substantiated claims of maltreatment via CPS.</w:t>
      </w:r>
    </w:p>
    <w:p>
      <w:pPr>
        <w:pStyle w:val="BodyText"/>
      </w:pPr>
      <w:r>
        <w:rPr>
          <w:bCs/>
          <w:b/>
        </w:rPr>
        <w:t xml:space="preserve">We find a sizable negative association: those who experienced more maltreatment show less extroversion and vice versa.</w:t>
      </w:r>
    </w:p>
    <w:p>
      <w:pPr>
        <w:pStyle w:val="BodyText"/>
      </w:pPr>
      <w:r>
        <w:t xml:space="preserve">Suppose we then realize bias might be an issue and conduct a follow-up study on individuals who self-report experiencing maltreatment but do not have CPS involvement.</w:t>
      </w:r>
    </w:p>
    <w:p>
      <w:pPr>
        <w:pStyle w:val="BodyText"/>
      </w:pPr>
      <w:r>
        <w:rPr>
          <w:bCs/>
          <w:b/>
        </w:rPr>
        <w:t xml:space="preserve">Again we find a sizable negative association.</w:t>
      </w:r>
    </w:p>
    <w:p>
      <w:pPr>
        <w:pStyle w:val="BodyText"/>
      </w:pPr>
      <w:r>
        <w:t xml:space="preserve">By assessing substantiated and unsubstantiated cases separately, we have stratified, or conditioned, our analyses by CPS involvement.</w:t>
      </w:r>
    </w:p>
    <w:p>
      <w:pPr>
        <w:pStyle w:val="BodyText"/>
      </w:pPr>
      <w:r>
        <w:t xml:space="preserve">However, let’s assume that exposure to child maltreatment and extroversion are likely to be associated with CPS contact.</w:t>
      </w:r>
    </w:p>
    <w:p>
      <w:pPr>
        <w:pStyle w:val="BodyText"/>
      </w:pPr>
      <w:r>
        <w:t xml:space="preserve">In the simplest case, both have a positive effect:</w:t>
      </w:r>
    </w:p>
    <w:p>
      <w:pPr>
        <w:numPr>
          <w:ilvl w:val="0"/>
          <w:numId w:val="1040"/>
        </w:numPr>
        <w:pStyle w:val="Compact"/>
      </w:pPr>
      <w:r>
        <w:t xml:space="preserve">With increasing child maltreatment, the likelihood of CPS involvement increases.</w:t>
      </w:r>
    </w:p>
    <w:p>
      <w:pPr>
        <w:numPr>
          <w:ilvl w:val="0"/>
          <w:numId w:val="1040"/>
        </w:numPr>
        <w:pStyle w:val="Compact"/>
      </w:pPr>
      <w:r>
        <w:t xml:space="preserve">With increasing extroversion, the likelihood of CPS involvement increases.</w:t>
      </w:r>
    </w:p>
    <w:p>
      <w:pPr>
        <w:pStyle w:val="FirstParagraph"/>
      </w:pPr>
      <w:r>
        <w:drawing>
          <wp:inline>
            <wp:extent cx="1889963" cy="975563"/>
            <wp:effectExtent b="0" l="0" r="0" t="0"/>
            <wp:docPr descr="" title="" id="293" name="Picture"/>
            <a:graphic>
              <a:graphicData uri="http://schemas.openxmlformats.org/drawingml/2006/picture">
                <pic:pic>
                  <pic:nvPicPr>
                    <pic:cNvPr descr="_main_files/figure-docx/unnamed-chunk-82-1.png" id="294" name="Picture"/>
                    <pic:cNvPicPr>
                      <a:picLocks noChangeArrowheads="1" noChangeAspect="1"/>
                    </pic:cNvPicPr>
                  </pic:nvPicPr>
                  <pic:blipFill>
                    <a:blip r:embed="rId292"/>
                    <a:stretch>
                      <a:fillRect/>
                    </a:stretch>
                  </pic:blipFill>
                  <pic:spPr bwMode="auto">
                    <a:xfrm>
                      <a:off x="0" y="0"/>
                      <a:ext cx="1889963" cy="975563"/>
                    </a:xfrm>
                    <a:prstGeom prst="rect">
                      <a:avLst/>
                    </a:prstGeom>
                    <a:noFill/>
                    <a:ln w="9525">
                      <a:noFill/>
                      <a:headEnd/>
                      <a:tailEnd/>
                    </a:ln>
                  </pic:spPr>
                </pic:pic>
              </a:graphicData>
            </a:graphic>
          </wp:inline>
        </w:drawing>
      </w:r>
    </w:p>
    <w:p>
      <w:pPr>
        <w:pStyle w:val="BodyText"/>
      </w:pPr>
      <w:r>
        <w:rPr>
          <w:bCs/>
          <w:b/>
        </w:rPr>
        <w:t xml:space="preserve">In our thought experiment, there is no association between child maltreatment and extroversion if all individuals—with and without CPS involvement—are considered simultaneously without statistical control (of the collider or any descendants)</w:t>
      </w:r>
    </w:p>
    <w:p>
      <w:pPr>
        <w:pStyle w:val="CaptionedFigure"/>
      </w:pPr>
      <w:r>
        <w:drawing>
          <wp:inline>
            <wp:extent cx="5334000" cy="3292078"/>
            <wp:effectExtent b="0" l="0" r="0" t="0"/>
            <wp:docPr descr="Collider Bias" title="" id="296" name="Picture"/>
            <a:graphic>
              <a:graphicData uri="http://schemas.openxmlformats.org/drawingml/2006/picture">
                <pic:pic>
                  <pic:nvPicPr>
                    <pic:cNvPr descr="imgs/collider_bias.jpg" id="297" name="Picture"/>
                    <pic:cNvPicPr>
                      <a:picLocks noChangeArrowheads="1" noChangeAspect="1"/>
                    </pic:cNvPicPr>
                  </pic:nvPicPr>
                  <pic:blipFill>
                    <a:blip r:embed="rId295"/>
                    <a:stretch>
                      <a:fillRect/>
                    </a:stretch>
                  </pic:blipFill>
                  <pic:spPr bwMode="auto">
                    <a:xfrm>
                      <a:off x="0" y="0"/>
                      <a:ext cx="5334000" cy="3292078"/>
                    </a:xfrm>
                    <a:prstGeom prst="rect">
                      <a:avLst/>
                    </a:prstGeom>
                    <a:noFill/>
                    <a:ln w="9525">
                      <a:noFill/>
                      <a:headEnd/>
                      <a:tailEnd/>
                    </a:ln>
                  </pic:spPr>
                </pic:pic>
              </a:graphicData>
            </a:graphic>
          </wp:inline>
        </w:drawing>
      </w:r>
    </w:p>
    <w:p>
      <w:pPr>
        <w:pStyle w:val="ImageCaption"/>
      </w:pPr>
      <w:r>
        <w:t xml:space="preserve">Collider Bias</w:t>
      </w:r>
    </w:p>
    <w:p>
      <w:pPr>
        <w:pStyle w:val="BodyText"/>
      </w:pPr>
      <w:r>
        <w:t xml:space="preserve">The spurious negative correlation emerges only when the joint outcome of the two variables of interest is controlled for.</w:t>
      </w:r>
    </w:p>
    <w:p>
      <w:pPr>
        <w:pStyle w:val="BodyText"/>
      </w:pPr>
      <w:r>
        <w:t xml:space="preserve">This observation generalizes to similar situations in which selection into a group is based on multiple desirable features:</w:t>
      </w:r>
    </w:p>
    <w:p>
      <w:pPr>
        <w:numPr>
          <w:ilvl w:val="0"/>
          <w:numId w:val="1041"/>
        </w:numPr>
        <w:pStyle w:val="Compact"/>
      </w:pPr>
      <w:r>
        <w:t xml:space="preserve">Group membership is a collider variable, and conditioning analysis on it will introduce or exaggerate trade-offs between desirable features.</w:t>
      </w:r>
    </w:p>
    <w:bookmarkEnd w:id="298"/>
    <w:bookmarkStart w:id="299" w:name="avoiding-collider-bias"/>
    <w:p>
      <w:pPr>
        <w:pStyle w:val="Heading3"/>
      </w:pPr>
      <w:r>
        <w:rPr>
          <w:rStyle w:val="SectionNumber"/>
        </w:rPr>
        <w:t xml:space="preserve">7.4.3</w:t>
      </w:r>
      <w:r>
        <w:tab/>
      </w:r>
      <w:r>
        <w:t xml:space="preserve">Avoiding Collider Bias</w:t>
      </w:r>
    </w:p>
    <w:p>
      <w:pPr>
        <w:pStyle w:val="FirstParagraph"/>
      </w:pPr>
      <w:r>
        <w:t xml:space="preserve">Avoiding collider bias requires two steps.</w:t>
      </w:r>
    </w:p>
    <w:p>
      <w:pPr>
        <w:numPr>
          <w:ilvl w:val="0"/>
          <w:numId w:val="1042"/>
        </w:numPr>
      </w:pPr>
      <w:r>
        <w:t xml:space="preserve">One must be aware of the collider variable, and this may entail using a DAG to identify colliders that exist between and independent variable and outcome.</w:t>
      </w:r>
    </w:p>
    <w:p>
      <w:pPr>
        <w:numPr>
          <w:ilvl w:val="0"/>
          <w:numId w:val="1042"/>
        </w:numPr>
      </w:pPr>
      <w:r>
        <w:t xml:space="preserve">One must be able to run analyses that are not conditional on the collider. This entails not controlling for the collider when examining the main effect of interest.</w:t>
      </w:r>
    </w:p>
    <w:p>
      <w:pPr>
        <w:pStyle w:val="FirstParagraph"/>
      </w:pPr>
      <w:r>
        <w:rPr>
          <w:bCs/>
          <w:b/>
        </w:rPr>
        <w:t xml:space="preserve">Thought Experiment</w:t>
      </w:r>
    </w:p>
    <w:p>
      <w:pPr>
        <w:numPr>
          <w:ilvl w:val="0"/>
          <w:numId w:val="1043"/>
        </w:numPr>
      </w:pPr>
      <w:r>
        <w:t xml:space="preserve">In our thought experiment, we must include individuals involved and not involved with CPS</w:t>
      </w:r>
    </w:p>
    <w:p>
      <w:pPr>
        <w:numPr>
          <w:ilvl w:val="0"/>
          <w:numId w:val="1043"/>
        </w:numPr>
      </w:pPr>
      <w:r>
        <w:t xml:space="preserve">Outside of thought experiments, one might often be unaware of collider variables or collect data in such a way that collider bias is built in.</w:t>
      </w:r>
    </w:p>
    <w:bookmarkEnd w:id="299"/>
    <w:bookmarkStart w:id="300" w:name="X214b9d749443fce72ae9a287f6c5422a4a633c0"/>
    <w:p>
      <w:pPr>
        <w:pStyle w:val="Heading3"/>
      </w:pPr>
      <w:r>
        <w:rPr>
          <w:rStyle w:val="SectionNumber"/>
        </w:rPr>
        <w:t xml:space="preserve">7.4.4</w:t>
      </w:r>
      <w:r>
        <w:tab/>
      </w:r>
      <w:r>
        <w:t xml:space="preserve">Variations on Collider Bias: Nonresponse Bias</w:t>
      </w:r>
    </w:p>
    <w:p>
      <w:pPr>
        <w:pStyle w:val="FirstParagraph"/>
      </w:pPr>
      <w:r>
        <w:t xml:space="preserve">Nonresponse bias occurs if, for example, a researcher analyzes only completed questionnaires, and the variables of interest are associated with questionnaire completion.</w:t>
      </w:r>
    </w:p>
    <w:p>
      <w:pPr>
        <w:pStyle w:val="BodyText"/>
      </w:pPr>
      <w:r>
        <w:t xml:space="preserve">Assume that we are interested in the association between grit and intelligence, and our assessment ends up being very burdensome.</w:t>
      </w:r>
    </w:p>
    <w:p>
      <w:pPr>
        <w:numPr>
          <w:ilvl w:val="0"/>
          <w:numId w:val="1044"/>
        </w:numPr>
        <w:pStyle w:val="Compact"/>
      </w:pPr>
      <w:r>
        <w:t xml:space="preserve">Both grit and intelligence make it easier for respondents to push through and complete the assessment.</w:t>
      </w:r>
    </w:p>
    <w:p>
      <w:pPr>
        <w:numPr>
          <w:ilvl w:val="0"/>
          <w:numId w:val="1044"/>
        </w:numPr>
        <w:pStyle w:val="Compact"/>
      </w:pPr>
      <w:r>
        <w:t xml:space="preserve">Questionnaire completion is thus a collider between grit and intelligence.</w:t>
      </w:r>
    </w:p>
    <w:p>
      <w:pPr>
        <w:numPr>
          <w:ilvl w:val="0"/>
          <w:numId w:val="1044"/>
        </w:numPr>
        <w:pStyle w:val="Compact"/>
      </w:pPr>
      <w:r>
        <w:t xml:space="preserve">Although there might be no association between grit and intelligence in the population, we might find a spurious negative association if we analyze only completed questionnaires.</w:t>
      </w:r>
    </w:p>
    <w:p>
      <w:pPr>
        <w:numPr>
          <w:ilvl w:val="1"/>
          <w:numId w:val="1045"/>
        </w:numPr>
        <w:pStyle w:val="Compact"/>
      </w:pPr>
      <w:r>
        <w:t xml:space="preserve">completers low on intelligence and high levels of grit</w:t>
      </w:r>
    </w:p>
    <w:p>
      <w:pPr>
        <w:numPr>
          <w:ilvl w:val="1"/>
          <w:numId w:val="1045"/>
        </w:numPr>
        <w:pStyle w:val="Compact"/>
      </w:pPr>
      <w:r>
        <w:t xml:space="preserve">completers low on grit and high on intellgence</w:t>
      </w:r>
    </w:p>
    <w:p>
      <w:pPr>
        <w:numPr>
          <w:ilvl w:val="1"/>
          <w:numId w:val="1045"/>
        </w:numPr>
        <w:pStyle w:val="Compact"/>
      </w:pPr>
      <w:r>
        <w:t xml:space="preserve">noncompleter low on both variables less likely to finish</w:t>
      </w:r>
    </w:p>
    <w:bookmarkEnd w:id="300"/>
    <w:bookmarkStart w:id="325" w:name="controlling-for-mediators"/>
    <w:p>
      <w:pPr>
        <w:pStyle w:val="Heading3"/>
      </w:pPr>
      <w:r>
        <w:rPr>
          <w:rStyle w:val="SectionNumber"/>
        </w:rPr>
        <w:t xml:space="preserve">7.4.5</w:t>
      </w:r>
      <w:r>
        <w:tab/>
      </w:r>
      <w:r>
        <w:t xml:space="preserve">Controlling for Mediators</w:t>
      </w:r>
    </w:p>
    <w:p>
      <w:pPr>
        <w:pStyle w:val="FirstParagraph"/>
      </w:pPr>
      <w:r>
        <w:t xml:space="preserve">Overcontrol bias is another example of statistical control hurting instead of helping:</w:t>
      </w:r>
    </w:p>
    <w:p>
      <w:pPr>
        <w:numPr>
          <w:ilvl w:val="0"/>
          <w:numId w:val="1046"/>
        </w:numPr>
        <w:pStyle w:val="Compact"/>
      </w:pPr>
      <w:r>
        <w:t xml:space="preserve">If mediating variables are controlled for, the very processes of interest are controlled away.</w:t>
      </w:r>
    </w:p>
    <w:p>
      <w:pPr>
        <w:pStyle w:val="FirstParagraph"/>
      </w:pPr>
      <w:r>
        <w:t xml:space="preserve">Consider our previous example, now slightly modified:</w:t>
      </w:r>
    </w:p>
    <w:p>
      <w:pPr>
        <w:pStyle w:val="BodyText"/>
      </w:pPr>
      <w:r>
        <w:drawing>
          <wp:inline>
            <wp:extent cx="2682036" cy="1804334"/>
            <wp:effectExtent b="0" l="0" r="0" t="0"/>
            <wp:docPr descr="" title="" id="302" name="Picture"/>
            <a:graphic>
              <a:graphicData uri="http://schemas.openxmlformats.org/drawingml/2006/picture">
                <pic:pic>
                  <pic:nvPicPr>
                    <pic:cNvPr descr="_main_files/figure-docx/unnamed-chunk-83-1.png" id="303" name="Picture"/>
                    <pic:cNvPicPr>
                      <a:picLocks noChangeArrowheads="1" noChangeAspect="1"/>
                    </pic:cNvPicPr>
                  </pic:nvPicPr>
                  <pic:blipFill>
                    <a:blip r:embed="rId301"/>
                    <a:stretch>
                      <a:fillRect/>
                    </a:stretch>
                  </pic:blipFill>
                  <pic:spPr bwMode="auto">
                    <a:xfrm>
                      <a:off x="0" y="0"/>
                      <a:ext cx="2682036" cy="1804334"/>
                    </a:xfrm>
                    <a:prstGeom prst="rect">
                      <a:avLst/>
                    </a:prstGeom>
                    <a:noFill/>
                    <a:ln w="9525">
                      <a:noFill/>
                      <a:headEnd/>
                      <a:tailEnd/>
                    </a:ln>
                  </pic:spPr>
                </pic:pic>
              </a:graphicData>
            </a:graphic>
          </wp:inline>
        </w:drawing>
      </w:r>
    </w:p>
    <w:bookmarkStart w:id="324" w:name="refs"/>
    <w:bookmarkStart w:id="305"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04">
        <w:r>
          <w:rPr>
            <w:rStyle w:val="Hyperlink"/>
          </w:rPr>
          <w:t xml:space="preserve">https://socialsciences.mcmaster.ca/jfox/Books/Companion/</w:t>
        </w:r>
      </w:hyperlink>
      <w:r>
        <w:t xml:space="preserve">.</w:t>
      </w:r>
    </w:p>
    <w:bookmarkEnd w:id="305"/>
    <w:bookmarkStart w:id="307"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06">
        <w:r>
          <w:rPr>
            <w:rStyle w:val="Hyperlink"/>
          </w:rPr>
          <w:t xml:space="preserve">https://doi.org/10.1007/978-1-4613-0893-5_17</w:t>
        </w:r>
      </w:hyperlink>
      <w:r>
        <w:t xml:space="preserve">.</w:t>
      </w:r>
    </w:p>
    <w:bookmarkEnd w:id="307"/>
    <w:bookmarkStart w:id="309"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08">
        <w:r>
          <w:rPr>
            <w:rStyle w:val="Hyperlink"/>
          </w:rPr>
          <w:t xml:space="preserve">https://doi.org/10.1016/B978-0-12-724960-5.50010-X</w:t>
        </w:r>
      </w:hyperlink>
      <w:r>
        <w:t xml:space="preserve">.</w:t>
      </w:r>
    </w:p>
    <w:bookmarkEnd w:id="309"/>
    <w:bookmarkStart w:id="311"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10">
        <w:r>
          <w:rPr>
            <w:rStyle w:val="Hyperlink"/>
          </w:rPr>
          <w:t xml:space="preserve">https://doi.org/10.2307/1130295</w:t>
        </w:r>
      </w:hyperlink>
      <w:r>
        <w:t xml:space="preserve">.</w:t>
      </w:r>
    </w:p>
    <w:bookmarkEnd w:id="311"/>
    <w:bookmarkStart w:id="312"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12"/>
    <w:bookmarkStart w:id="314"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13">
        <w:r>
          <w:rPr>
            <w:rStyle w:val="Hyperlink"/>
          </w:rPr>
          <w:t xml:space="preserve">https://doi.org/10.1080/00221325.1972.10533131</w:t>
        </w:r>
      </w:hyperlink>
      <w:r>
        <w:t xml:space="preserve">.</w:t>
      </w:r>
    </w:p>
    <w:bookmarkEnd w:id="314"/>
    <w:bookmarkStart w:id="316"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15">
        <w:r>
          <w:rPr>
            <w:rStyle w:val="Hyperlink"/>
          </w:rPr>
          <w:t xml:space="preserve">https://CRAN.R-project.org/package=psych</w:t>
        </w:r>
      </w:hyperlink>
      <w:r>
        <w:t xml:space="preserve">.</w:t>
      </w:r>
    </w:p>
    <w:bookmarkEnd w:id="316"/>
    <w:bookmarkStart w:id="318"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17">
        <w:r>
          <w:rPr>
            <w:rStyle w:val="Hyperlink"/>
          </w:rPr>
          <w:t xml:space="preserve">https://CRAN.R-project.org/package=naniar</w:t>
        </w:r>
      </w:hyperlink>
      <w:r>
        <w:t xml:space="preserve">.</w:t>
      </w:r>
    </w:p>
    <w:bookmarkEnd w:id="318"/>
    <w:bookmarkStart w:id="319"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19"/>
    <w:bookmarkStart w:id="321"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20">
        <w:r>
          <w:rPr>
            <w:rStyle w:val="Hyperlink"/>
          </w:rPr>
          <w:t xml:space="preserve">https://ggplot2.tidyverse.org</w:t>
        </w:r>
      </w:hyperlink>
      <w:r>
        <w:t xml:space="preserve">.</w:t>
      </w:r>
    </w:p>
    <w:bookmarkEnd w:id="321"/>
    <w:bookmarkStart w:id="323" w:name="ref-tidyr"/>
    <w:p>
      <w:pPr>
        <w:pStyle w:val="Bibliography"/>
      </w:pPr>
      <w:r>
        <w:t xml:space="preserve">———. 2021.</w:t>
      </w:r>
      <w:r>
        <w:t xml:space="preserve"> </w:t>
      </w:r>
      <w:r>
        <w:rPr>
          <w:iCs/>
          <w:i/>
        </w:rPr>
        <w:t xml:space="preserve">Tidyr: Tidy Messy Data</w:t>
      </w:r>
      <w:r>
        <w:t xml:space="preserve">.</w:t>
      </w:r>
      <w:r>
        <w:t xml:space="preserve"> </w:t>
      </w:r>
      <w:hyperlink r:id="rId322">
        <w:r>
          <w:rPr>
            <w:rStyle w:val="Hyperlink"/>
          </w:rPr>
          <w:t xml:space="preserve">https://CRAN.R-project.org/package=tidyr</w:t>
        </w:r>
      </w:hyperlink>
      <w:r>
        <w:t xml:space="preserve">.</w:t>
      </w:r>
    </w:p>
    <w:bookmarkEnd w:id="323"/>
    <w:bookmarkEnd w:id="324"/>
    <w:bookmarkEnd w:id="325"/>
    <w:bookmarkEnd w:id="326"/>
    <w:bookmarkEnd w:id="3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1" Target="media/rId181.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210" Target="media/rId210.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28" Target="media/rId22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79" Target="media/rId279.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92" Target="media/rId292.png" /><Relationship Type="http://schemas.openxmlformats.org/officeDocument/2006/relationships/image" Id="rId301" Target="media/rId301.png" /><Relationship Type="http://schemas.openxmlformats.org/officeDocument/2006/relationships/image" Id="rId206" Target="media/rId206.shtml" /><Relationship Type="http://schemas.openxmlformats.org/officeDocument/2006/relationships/image" Id="rId144" Target="media/rId144.png" /><Relationship Type="http://schemas.openxmlformats.org/officeDocument/2006/relationships/image" Id="rId295" Target="media/rId295.jp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17" Target="https://CRAN.R-project.org/package=naniar" TargetMode="External" /><Relationship Type="http://schemas.openxmlformats.org/officeDocument/2006/relationships/hyperlink" Id="rId315" Target="https://CRAN.R-project.org/package=psych" TargetMode="External" /><Relationship Type="http://schemas.openxmlformats.org/officeDocument/2006/relationships/hyperlink" Id="rId322"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06" Target="https://doi.org/10.1007/978-1-4613-0893-5_17" TargetMode="External" /><Relationship Type="http://schemas.openxmlformats.org/officeDocument/2006/relationships/hyperlink" Id="rId308" Target="https://doi.org/10.1016/B978-0-12-724960-5.50010-X" TargetMode="External" /><Relationship Type="http://schemas.openxmlformats.org/officeDocument/2006/relationships/hyperlink" Id="rId313" Target="https://doi.org/10.1080/00221325.1972.10533131" TargetMode="External" /><Relationship Type="http://schemas.openxmlformats.org/officeDocument/2006/relationships/hyperlink" Id="rId310"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20" Target="https://ggplot2.tidyverse.org" TargetMode="External" /><Relationship Type="http://schemas.openxmlformats.org/officeDocument/2006/relationships/hyperlink" Id="rId248"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04" Target="https://socialsciences.mcmaster.ca/jfox/Books/Companion/"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17" Target="https://CRAN.R-project.org/package=naniar" TargetMode="External" /><Relationship Type="http://schemas.openxmlformats.org/officeDocument/2006/relationships/hyperlink" Id="rId315" Target="https://CRAN.R-project.org/package=psych" TargetMode="External" /><Relationship Type="http://schemas.openxmlformats.org/officeDocument/2006/relationships/hyperlink" Id="rId322"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06" Target="https://doi.org/10.1007/978-1-4613-0893-5_17" TargetMode="External" /><Relationship Type="http://schemas.openxmlformats.org/officeDocument/2006/relationships/hyperlink" Id="rId308" Target="https://doi.org/10.1016/B978-0-12-724960-5.50010-X" TargetMode="External" /><Relationship Type="http://schemas.openxmlformats.org/officeDocument/2006/relationships/hyperlink" Id="rId313" Target="https://doi.org/10.1080/00221325.1972.10533131" TargetMode="External" /><Relationship Type="http://schemas.openxmlformats.org/officeDocument/2006/relationships/hyperlink" Id="rId310"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20" Target="https://ggplot2.tidyverse.org" TargetMode="External" /><Relationship Type="http://schemas.openxmlformats.org/officeDocument/2006/relationships/hyperlink" Id="rId248"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04" Target="https://socialsciences.mcmaster.ca/jfox/Books/Companion/"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2025-02-06T17:53:14Z</dcterms:created>
  <dcterms:modified xsi:type="dcterms:W3CDTF">2025-02-06T17:53:14Z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2025-02-06</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