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Updated Use Case diagram and surrounding data to make sure it matched.</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Vehicle State Estimate system changed to Vehicle State Estimation system in all places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Changed the LKS Toggle On to Toggle LMS On/Off to more accurately represent the system.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Updated picture to not have one Use Case highlighted.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Connected the LCS with the Vehicle State Estimation System to more accurately display the system. Updated in the Use Cases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Disconnected the LDWS from the Vehicle State Estimation System. It did not fit with our current outline of the system.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Added the link to the prototype in Section 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Reworked the domain model and updated the data dictionary in associated places to match the system described better.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Renamed some methods.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Adjusted state diagrams accordingly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Added Camera sensing subsystem as well as Image Processing subsystem to domain model and data dictionary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Added Vehicle State Estimation system to domain model and data dictionary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Added more description to the subsystems in section 3.</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We did not fully describe the subsystems because the customer has stated that we may treat them as black boxes. We were not to design them, rather, we were told they would just work.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Added a little more description on the platform that was used to create the prototype in section 5.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Added GPS data as a future element to be used in section 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