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6699EF5">
      <w:pPr>
        <w:pStyle w:val="2"/>
        <w:spacing w:before="0" w:after="0" w:line="360" w:lineRule="auto"/>
        <w:jc w:val="center"/>
        <w:rPr>
          <w:sz w:val="24"/>
          <w:szCs w:val="24"/>
        </w:rPr>
      </w:pPr>
      <w:r>
        <w:rPr>
          <w:sz w:val="24"/>
          <w:szCs w:val="24"/>
        </w:rPr>
        <w:t>CHAPTER THREE</w:t>
      </w:r>
    </w:p>
    <w:p w14:paraId="4D22DE57">
      <w:pPr>
        <w:pStyle w:val="2"/>
        <w:spacing w:before="0" w:after="0" w:line="360" w:lineRule="auto"/>
        <w:jc w:val="center"/>
        <w:rPr>
          <w:sz w:val="24"/>
          <w:szCs w:val="24"/>
        </w:rPr>
      </w:pPr>
      <w:r>
        <w:rPr>
          <w:sz w:val="24"/>
          <w:szCs w:val="24"/>
        </w:rPr>
        <w:t>METHODOLOGY</w:t>
      </w:r>
    </w:p>
    <w:p w14:paraId="14F2A0FC">
      <w:pPr>
        <w:pStyle w:val="3"/>
        <w:spacing w:line="360" w:lineRule="auto"/>
        <w:rPr>
          <w:sz w:val="24"/>
          <w:szCs w:val="24"/>
        </w:rPr>
      </w:pPr>
      <w:r>
        <w:rPr>
          <w:sz w:val="24"/>
          <w:szCs w:val="24"/>
        </w:rPr>
        <w:t>3.1 Research Design</w:t>
      </w:r>
    </w:p>
    <w:p w14:paraId="16516E4C">
      <w:pPr>
        <w:spacing w:after="160" w:line="360" w:lineRule="auto"/>
        <w:ind w:firstLine="720"/>
        <w:jc w:val="both"/>
      </w:pPr>
      <w:r>
        <w:t>This study adopts a quantitative, experimental research design, which is appropriate for investigations that involve the systematic collection of numerical data, application of computational models, and evaluation of outcomes through measurable performance metrics. The experimental design involves the controlled implementation and comparison of multiple predictive models on a standardised dataset, with performance differences attributed to the models' architectural characteristics and learning capacities.</w:t>
      </w:r>
    </w:p>
    <w:p w14:paraId="6321FC84">
      <w:pPr>
        <w:spacing w:after="160" w:line="360" w:lineRule="auto"/>
        <w:ind w:firstLine="720"/>
        <w:jc w:val="both"/>
      </w:pPr>
      <w:r>
        <w:t>The research follows a structured, five-phase process: (1) data collection and initial exploration, (2) data preprocessing and feature engineering, (3) model development and training, (4) performance evaluation and comparative analysis, and (5) prototype system development. This sequential, iterative design is consistent with established software engineering and machine learning project methodologies (Géron, 2019).</w:t>
      </w:r>
    </w:p>
    <w:p w14:paraId="35F87D44">
      <w:pPr>
        <w:spacing w:after="160" w:line="360" w:lineRule="auto"/>
        <w:ind w:firstLine="720"/>
        <w:jc w:val="both"/>
      </w:pPr>
      <w:r>
        <w:t>The study employs a supervised learning paradigm, wherein models are trained on labelled historical data (past stock prices and features) to learn the mapping between input features and the target variable (next-day closing price). Model generalisation is assessed on a held-out test set that the models did not observe during training.</w:t>
      </w:r>
    </w:p>
    <w:p w14:paraId="435260C7">
      <w:pPr>
        <w:spacing w:after="160" w:line="360" w:lineRule="auto"/>
        <w:ind w:firstLine="720"/>
        <w:jc w:val="both"/>
      </w:pPr>
      <w:r>
        <w:t>The choice of an experimental, quantitative design is appropriate for this study because: (a) the research questions pertain to measurable differences in prediction accuracy between models; (b) the stock price data is inherently quantitative; (c) the use of standardised evaluation metrics (MAE, MSE, RMSE, R-squared) enables objective comparison; and (d) the experimental protocol is replicable, supporting the principle of scientific reproducibility.</w:t>
      </w:r>
    </w:p>
    <w:p w14:paraId="2A15B9FA">
      <w:pPr>
        <w:pStyle w:val="3"/>
        <w:spacing w:line="360" w:lineRule="auto"/>
        <w:rPr>
          <w:sz w:val="24"/>
          <w:szCs w:val="24"/>
        </w:rPr>
      </w:pPr>
      <w:r>
        <w:rPr>
          <w:sz w:val="24"/>
          <w:szCs w:val="24"/>
        </w:rPr>
        <w:t>3.2 System Architecture of the Proposed Framework</w:t>
      </w:r>
    </w:p>
    <w:p w14:paraId="1C43B415">
      <w:pPr>
        <w:spacing w:after="160" w:line="360" w:lineRule="auto"/>
        <w:ind w:firstLine="720"/>
        <w:jc w:val="both"/>
      </w:pPr>
      <w:r>
        <w:t>The proposed autonomous stock price prediction framework is designed as a modular, layered architecture that orchestrates the full pipeline from raw data retrieval to prediction output. The framework is composed of five principal components:</w:t>
      </w:r>
    </w:p>
    <w:p w14:paraId="2DB1DE55">
      <w:pPr>
        <w:pStyle w:val="10"/>
        <w:numPr>
          <w:ilvl w:val="0"/>
          <w:numId w:val="1"/>
        </w:numPr>
        <w:spacing w:after="100" w:line="360" w:lineRule="auto"/>
        <w:jc w:val="both"/>
      </w:pPr>
      <w:r>
        <w:t>Data Acquisition Module: Responsible for connecting to the Yahoo Finance API and retrieving historical stock price data (OHLCV) for user-specified tickers and time ranges. This module also handles initial data validation and storage.</w:t>
      </w:r>
    </w:p>
    <w:p w14:paraId="022D71EB">
      <w:pPr>
        <w:pStyle w:val="10"/>
        <w:numPr>
          <w:ilvl w:val="0"/>
          <w:numId w:val="1"/>
        </w:numPr>
        <w:spacing w:after="100" w:line="360" w:lineRule="auto"/>
        <w:jc w:val="both"/>
      </w:pPr>
      <w:r>
        <w:t>Preprocessing and Feature Engineering Module: Applies a standardised sequence of data cleaning operations, normalisation procedures, and technical indicator computations to transform raw data into model-ready feature matrices.</w:t>
      </w:r>
    </w:p>
    <w:p w14:paraId="2FAF7BFB">
      <w:pPr>
        <w:pStyle w:val="10"/>
        <w:numPr>
          <w:ilvl w:val="0"/>
          <w:numId w:val="1"/>
        </w:numPr>
        <w:spacing w:after="100" w:line="360" w:lineRule="auto"/>
        <w:jc w:val="both"/>
      </w:pPr>
      <w:r>
        <w:t>Model Training and Management Module: Implements, trains, and stores four predictive models: Linear Regression, Random Forest Regression, Support Vector Regression (SVR), and LSTM. The module supports automated model retraining and parameter logging.</w:t>
      </w:r>
    </w:p>
    <w:p w14:paraId="3ECE4935">
      <w:pPr>
        <w:pStyle w:val="10"/>
        <w:numPr>
          <w:ilvl w:val="0"/>
          <w:numId w:val="1"/>
        </w:numPr>
        <w:spacing w:after="100" w:line="360" w:lineRule="auto"/>
        <w:jc w:val="both"/>
      </w:pPr>
      <w:r>
        <w:t>Evaluation and Comparison Module: Computes standardised performance metrics (MAE, MSE, RMSE, R-squared) for all models on the test set and generates comparative visualisations, including prediction-vs-actual plots and error distribution charts.</w:t>
      </w:r>
    </w:p>
    <w:p w14:paraId="183D6E5B">
      <w:pPr>
        <w:pStyle w:val="10"/>
        <w:numPr>
          <w:ilvl w:val="0"/>
          <w:numId w:val="1"/>
        </w:numPr>
        <w:spacing w:after="100" w:line="360" w:lineRule="auto"/>
        <w:jc w:val="both"/>
      </w:pPr>
      <w:r>
        <w:t>Prototype Deployment Module: A Streamlit web application that serves as the user-facing interface, allowing users to select stock tickers, specify prediction horizons, trigger model inference, and visualise results interactively.</w:t>
      </w:r>
    </w:p>
    <w:p w14:paraId="7AC63104">
      <w:pPr>
        <w:spacing w:after="160" w:line="360" w:lineRule="auto"/>
        <w:ind w:firstLine="720"/>
        <w:jc w:val="both"/>
      </w:pPr>
      <w:r>
        <w:t>The high-level architecture follows a data flow from left (input) to right (output), with each module receiving the processed output of the preceding module. The autonomous nature of the framework is achieved through scripted automation of each pipeline stage, requiring user input only at the initial configuration stage (ticker selection and date range specification).</w:t>
      </w:r>
    </w:p>
    <w:p w14:paraId="083ED708">
      <w:pPr>
        <w:spacing w:before="160" w:after="80" w:line="360" w:lineRule="auto"/>
        <w:jc w:val="center"/>
      </w:pPr>
      <w:r>
        <w:rPr>
          <w:b/>
          <w:bCs/>
        </w:rPr>
        <w:t>Figure 3.1: High-Level Architecture of the Proposed Framework</w:t>
      </w:r>
    </w:p>
    <w:p w14:paraId="564E733A">
      <w:pPr>
        <w:pBdr>
          <w:top w:val="single" w:color="888888" w:sz="2" w:space="0"/>
          <w:left w:val="single" w:color="888888" w:sz="2" w:space="0"/>
          <w:bottom w:val="single" w:color="888888" w:sz="2" w:space="0"/>
          <w:right w:val="single" w:color="888888" w:sz="2" w:space="0"/>
        </w:pBdr>
        <w:spacing w:before="80" w:after="80" w:line="360" w:lineRule="auto"/>
        <w:ind w:left="360" w:right="360"/>
        <w:jc w:val="center"/>
      </w:pPr>
      <w:r>
        <w:rPr>
          <w:rFonts w:eastAsia="Courier New"/>
        </w:rPr>
        <w:t>[Yahoo Finance API] --&gt; [Data Acquisition] --&gt; [Preprocessing &amp; Feature Engineering]</w:t>
      </w:r>
      <w:r>
        <w:rPr>
          <w:rFonts w:eastAsia="Courier New"/>
        </w:rPr>
        <w:br w:type="textWrapping"/>
      </w:r>
      <w:r>
        <w:rPr>
          <w:rFonts w:eastAsia="Courier New"/>
        </w:rPr>
        <w:t xml:space="preserve">                --&gt; [Model Training: LR | RF | SVR | LSTM]</w:t>
      </w:r>
      <w:r>
        <w:rPr>
          <w:rFonts w:eastAsia="Courier New"/>
        </w:rPr>
        <w:br w:type="textWrapping"/>
      </w:r>
      <w:r>
        <w:rPr>
          <w:rFonts w:eastAsia="Courier New"/>
        </w:rPr>
        <w:t xml:space="preserve">                --&gt; [Evaluation Module] --&gt; [Streamlit Prototype Dashboard]</w:t>
      </w:r>
    </w:p>
    <w:p w14:paraId="5AE9B1B6">
      <w:pPr>
        <w:spacing w:before="40" w:after="160" w:line="360" w:lineRule="auto"/>
        <w:jc w:val="center"/>
        <w:rPr>
          <w:rFonts w:hint="default"/>
          <w:lang w:val="en-US"/>
        </w:rPr>
      </w:pPr>
      <w:r>
        <w:rPr>
          <w:i/>
          <w:iCs/>
        </w:rPr>
        <w:t>Source: Author's design, 202</w:t>
      </w:r>
      <w:r>
        <w:rPr>
          <w:rFonts w:hint="default"/>
          <w:i/>
          <w:iCs/>
          <w:lang w:val="en-US"/>
        </w:rPr>
        <w:t>5</w:t>
      </w:r>
    </w:p>
    <w:p w14:paraId="21F39FE1">
      <w:pPr>
        <w:pStyle w:val="3"/>
        <w:spacing w:line="360" w:lineRule="auto"/>
        <w:rPr>
          <w:sz w:val="24"/>
          <w:szCs w:val="24"/>
        </w:rPr>
      </w:pPr>
      <w:r>
        <w:rPr>
          <w:sz w:val="24"/>
          <w:szCs w:val="24"/>
        </w:rPr>
        <w:t>3.3 Data Collection</w:t>
      </w:r>
    </w:p>
    <w:p w14:paraId="16650A2E">
      <w:pPr>
        <w:spacing w:after="160" w:line="360" w:lineRule="auto"/>
        <w:ind w:firstLine="720"/>
        <w:jc w:val="both"/>
      </w:pPr>
      <w:r>
        <w:t>Historical stock market data for this study was obtained using the yfinance Python library, which provides a programmatic interface to the Yahoo Finance API. Yahoo Finance is a widely used and academically recognised source of historical financial data, having been employed in numerous published studies (Moghar &amp; Hamiche, 2020; Patel et al., 2021).</w:t>
      </w:r>
    </w:p>
    <w:p w14:paraId="159F4EAB">
      <w:pPr>
        <w:spacing w:after="160" w:line="360" w:lineRule="auto"/>
        <w:ind w:firstLine="720"/>
        <w:jc w:val="both"/>
      </w:pPr>
      <w:r>
        <w:t>The data collection procedure involved the following steps. First, a list of target stock tickers was specified. For the purposes of this study, five large-cap equities with long trading histories and high liquidity were selected: Apple Inc. (AAPL), Microsoft Corporation (MSFT), Google (Alphabet) Inc. (GOOGL), Amazon.com Inc. (AMZN), and Tesla Inc. (TSLA). These stocks were selected for their data availability, market significance, and diversity across the technology sector.</w:t>
      </w:r>
    </w:p>
    <w:p w14:paraId="3FC527B0">
      <w:pPr>
        <w:spacing w:after="160" w:line="360" w:lineRule="auto"/>
        <w:ind w:firstLine="720"/>
        <w:jc w:val="both"/>
      </w:pPr>
      <w:r>
        <w:t>Second, the historical data retrieval window was set from January 1, 2019 to December 31, 202</w:t>
      </w:r>
      <w:r>
        <w:rPr>
          <w:rFonts w:hint="default"/>
          <w:lang w:val="en-US"/>
        </w:rPr>
        <w:t>5</w:t>
      </w:r>
      <w:r>
        <w:t>, providing a five-year dataset with approximately 1,260 trading days per ticker. Each record in the retrieved dataset contains the following fields: Date, Open price, High price, Low price, Close price, Adjusted Close price, and Volume.</w:t>
      </w:r>
    </w:p>
    <w:p w14:paraId="63DF684A">
      <w:pPr>
        <w:spacing w:after="160" w:line="360" w:lineRule="auto"/>
        <w:ind w:firstLine="720"/>
        <w:jc w:val="both"/>
      </w:pPr>
      <w:r>
        <w:t>The data was retrieved using the following Python code:</w:t>
      </w:r>
    </w:p>
    <w:p w14:paraId="787F0BB8">
      <w:pPr>
        <w:spacing w:before="80" w:after="80" w:line="360" w:lineRule="auto"/>
        <w:ind w:left="720"/>
      </w:pPr>
      <w:r>
        <w:rPr>
          <w:rFonts w:eastAsia="Courier New"/>
        </w:rPr>
        <w:t>import yfinance as yf</w:t>
      </w:r>
      <w:r>
        <w:rPr>
          <w:rFonts w:eastAsia="Courier New"/>
        </w:rPr>
        <w:br w:type="textWrapping"/>
      </w:r>
      <w:r>
        <w:rPr>
          <w:rFonts w:eastAsia="Courier New"/>
        </w:rPr>
        <w:t>ticker = 'AAPL'</w:t>
      </w:r>
      <w:r>
        <w:rPr>
          <w:rFonts w:eastAsia="Courier New"/>
        </w:rPr>
        <w:br w:type="textWrapping"/>
      </w:r>
      <w:r>
        <w:rPr>
          <w:rFonts w:eastAsia="Courier New"/>
        </w:rPr>
        <w:t>df = yf.download(ticker, start='2019-01-01', end='202</w:t>
      </w:r>
      <w:r>
        <w:rPr>
          <w:rFonts w:hint="default" w:eastAsia="Courier New"/>
          <w:lang w:val="en-US"/>
        </w:rPr>
        <w:t>5</w:t>
      </w:r>
      <w:r>
        <w:rPr>
          <w:rFonts w:eastAsia="Courier New"/>
        </w:rPr>
        <w:t>-12-31')</w:t>
      </w:r>
      <w:r>
        <w:rPr>
          <w:rFonts w:eastAsia="Courier New"/>
        </w:rPr>
        <w:br w:type="textWrapping"/>
      </w:r>
      <w:r>
        <w:rPr>
          <w:rFonts w:eastAsia="Courier New"/>
        </w:rPr>
        <w:t>df.to_csv(f'{ticker}_data.csv')</w:t>
      </w:r>
    </w:p>
    <w:p w14:paraId="0B8F19AD">
      <w:pPr>
        <w:spacing w:after="160" w:line="360" w:lineRule="auto"/>
        <w:ind w:firstLine="720"/>
        <w:jc w:val="both"/>
      </w:pPr>
      <w:r>
        <w:t>The retrieved datasets were stored as CSV files for reproducibility and offline access. An initial exploratory data analysis (EDA) was conducted using Pandas and Matplotlib to inspect data shapes, identify missing values, examine price trends, and visualise volume distributions. Summary statistics (mean, standard deviation, minimum, maximum, and quartiles) were computed for all numerical features.</w:t>
      </w:r>
    </w:p>
    <w:p w14:paraId="4C04AF36">
      <w:pPr>
        <w:spacing w:before="160" w:after="80" w:line="360" w:lineRule="auto"/>
        <w:jc w:val="center"/>
      </w:pPr>
      <w:r>
        <w:rPr>
          <w:b/>
          <w:bCs/>
        </w:rPr>
        <w:t>Table 3.1: Sample Dataset Features (AAPL, 2019–202</w:t>
      </w:r>
      <w:r>
        <w:rPr>
          <w:rFonts w:hint="default"/>
          <w:b/>
          <w:bCs/>
          <w:lang w:val="en-US"/>
        </w:rPr>
        <w:t>5</w:t>
      </w:r>
      <w:r>
        <w:rPr>
          <w:b/>
          <w:bCs/>
        </w:rPr>
        <w:t>)</w:t>
      </w:r>
    </w:p>
    <w:tbl>
      <w:tblPr>
        <w:tblStyle w:val="6"/>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40"/>
        <w:gridCol w:w="2340"/>
        <w:gridCol w:w="2340"/>
        <w:gridCol w:w="2340"/>
      </w:tblGrid>
      <w:tr w14:paraId="2CFBED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rPr>
        <w:tc>
          <w:tcPr>
            <w:tcW w:w="2340" w:type="dxa"/>
            <w:tcBorders>
              <w:top w:val="single" w:color="AAAAAA" w:sz="0" w:space="0"/>
              <w:left w:val="single" w:color="AAAAAA" w:sz="0" w:space="0"/>
              <w:bottom w:val="single" w:color="AAAAAA" w:sz="0" w:space="0"/>
              <w:right w:val="single" w:color="AAAAAA" w:sz="0" w:space="0"/>
            </w:tcBorders>
            <w:shd w:val="clear" w:color="auto" w:fill="D5E8F0"/>
            <w:tcMar>
              <w:top w:w="80" w:type="dxa"/>
              <w:left w:w="120" w:type="dxa"/>
              <w:bottom w:w="80" w:type="dxa"/>
              <w:right w:w="120" w:type="dxa"/>
            </w:tcMar>
          </w:tcPr>
          <w:p w14:paraId="3EB586D5">
            <w:pPr>
              <w:spacing w:line="360" w:lineRule="auto"/>
            </w:pPr>
            <w:r>
              <w:rPr>
                <w:b/>
                <w:bCs/>
              </w:rPr>
              <w:t>Feature</w:t>
            </w:r>
          </w:p>
        </w:tc>
        <w:tc>
          <w:tcPr>
            <w:tcW w:w="2340" w:type="dxa"/>
            <w:tcBorders>
              <w:top w:val="single" w:color="AAAAAA" w:sz="0" w:space="0"/>
              <w:left w:val="single" w:color="AAAAAA" w:sz="0" w:space="0"/>
              <w:bottom w:val="single" w:color="AAAAAA" w:sz="0" w:space="0"/>
              <w:right w:val="single" w:color="AAAAAA" w:sz="0" w:space="0"/>
            </w:tcBorders>
            <w:shd w:val="clear" w:color="auto" w:fill="D5E8F0"/>
            <w:tcMar>
              <w:top w:w="80" w:type="dxa"/>
              <w:left w:w="120" w:type="dxa"/>
              <w:bottom w:w="80" w:type="dxa"/>
              <w:right w:w="120" w:type="dxa"/>
            </w:tcMar>
          </w:tcPr>
          <w:p w14:paraId="186A65B3">
            <w:pPr>
              <w:spacing w:line="360" w:lineRule="auto"/>
            </w:pPr>
            <w:r>
              <w:rPr>
                <w:b/>
                <w:bCs/>
              </w:rPr>
              <w:t>Data Type</w:t>
            </w:r>
          </w:p>
        </w:tc>
        <w:tc>
          <w:tcPr>
            <w:tcW w:w="2340" w:type="dxa"/>
            <w:tcBorders>
              <w:top w:val="single" w:color="AAAAAA" w:sz="0" w:space="0"/>
              <w:left w:val="single" w:color="AAAAAA" w:sz="0" w:space="0"/>
              <w:bottom w:val="single" w:color="AAAAAA" w:sz="0" w:space="0"/>
              <w:right w:val="single" w:color="AAAAAA" w:sz="0" w:space="0"/>
            </w:tcBorders>
            <w:shd w:val="clear" w:color="auto" w:fill="D5E8F0"/>
            <w:tcMar>
              <w:top w:w="80" w:type="dxa"/>
              <w:left w:w="120" w:type="dxa"/>
              <w:bottom w:w="80" w:type="dxa"/>
              <w:right w:w="120" w:type="dxa"/>
            </w:tcMar>
          </w:tcPr>
          <w:p w14:paraId="7F4E189E">
            <w:pPr>
              <w:spacing w:line="360" w:lineRule="auto"/>
            </w:pPr>
            <w:r>
              <w:rPr>
                <w:b/>
                <w:bCs/>
              </w:rPr>
              <w:t>Description</w:t>
            </w:r>
          </w:p>
        </w:tc>
        <w:tc>
          <w:tcPr>
            <w:tcW w:w="2340" w:type="dxa"/>
            <w:tcBorders>
              <w:top w:val="single" w:color="AAAAAA" w:sz="0" w:space="0"/>
              <w:left w:val="single" w:color="AAAAAA" w:sz="0" w:space="0"/>
              <w:bottom w:val="single" w:color="AAAAAA" w:sz="0" w:space="0"/>
              <w:right w:val="single" w:color="AAAAAA" w:sz="0" w:space="0"/>
            </w:tcBorders>
            <w:shd w:val="clear" w:color="auto" w:fill="D5E8F0"/>
            <w:tcMar>
              <w:top w:w="80" w:type="dxa"/>
              <w:left w:w="120" w:type="dxa"/>
              <w:bottom w:w="80" w:type="dxa"/>
              <w:right w:w="120" w:type="dxa"/>
            </w:tcMar>
          </w:tcPr>
          <w:p w14:paraId="318B118F">
            <w:pPr>
              <w:spacing w:line="360" w:lineRule="auto"/>
            </w:pPr>
            <w:r>
              <w:rPr>
                <w:b/>
                <w:bCs/>
              </w:rPr>
              <w:t>Range (Approx.)</w:t>
            </w:r>
          </w:p>
        </w:tc>
      </w:tr>
      <w:tr w14:paraId="73EF5A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527AD220">
            <w:pPr>
              <w:spacing w:line="360" w:lineRule="auto"/>
            </w:pPr>
            <w:r>
              <w:t>Date</w:t>
            </w:r>
          </w:p>
        </w:tc>
        <w:tc>
          <w:tcPr>
            <w:tcW w:w="234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0E6143F2">
            <w:pPr>
              <w:spacing w:line="360" w:lineRule="auto"/>
            </w:pPr>
            <w:r>
              <w:t>datetime</w:t>
            </w:r>
          </w:p>
        </w:tc>
        <w:tc>
          <w:tcPr>
            <w:tcW w:w="234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4AD55C80">
            <w:pPr>
              <w:spacing w:line="360" w:lineRule="auto"/>
            </w:pPr>
            <w:r>
              <w:t>Trading date</w:t>
            </w:r>
          </w:p>
        </w:tc>
        <w:tc>
          <w:tcPr>
            <w:tcW w:w="234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454B7B4C">
            <w:pPr>
              <w:spacing w:line="360" w:lineRule="auto"/>
            </w:pPr>
            <w:r>
              <w:t>2019-01-01 to 202</w:t>
            </w:r>
            <w:r>
              <w:rPr>
                <w:rFonts w:hint="default"/>
                <w:lang w:val="en-US"/>
              </w:rPr>
              <w:t>5</w:t>
            </w:r>
            <w:r>
              <w:t>-12-31</w:t>
            </w:r>
          </w:p>
        </w:tc>
      </w:tr>
      <w:tr w14:paraId="60FEF6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0AAB3255">
            <w:pPr>
              <w:spacing w:line="360" w:lineRule="auto"/>
            </w:pPr>
            <w:r>
              <w:t>Open</w:t>
            </w:r>
          </w:p>
        </w:tc>
        <w:tc>
          <w:tcPr>
            <w:tcW w:w="234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34FAD7EA">
            <w:pPr>
              <w:spacing w:line="360" w:lineRule="auto"/>
            </w:pPr>
            <w:r>
              <w:t>float</w:t>
            </w:r>
          </w:p>
        </w:tc>
        <w:tc>
          <w:tcPr>
            <w:tcW w:w="234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2B0435A3">
            <w:pPr>
              <w:spacing w:line="360" w:lineRule="auto"/>
            </w:pPr>
            <w:r>
              <w:t>Opening price (USD)</w:t>
            </w:r>
          </w:p>
        </w:tc>
        <w:tc>
          <w:tcPr>
            <w:tcW w:w="234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3E611F96">
            <w:pPr>
              <w:spacing w:line="360" w:lineRule="auto"/>
            </w:pPr>
            <w:r>
              <w:t>$35 – $195</w:t>
            </w:r>
          </w:p>
        </w:tc>
      </w:tr>
      <w:tr w14:paraId="4DDA8C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7C1D51D8">
            <w:pPr>
              <w:spacing w:line="360" w:lineRule="auto"/>
            </w:pPr>
            <w:r>
              <w:t>High</w:t>
            </w:r>
          </w:p>
        </w:tc>
        <w:tc>
          <w:tcPr>
            <w:tcW w:w="234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5922F603">
            <w:pPr>
              <w:spacing w:line="360" w:lineRule="auto"/>
            </w:pPr>
            <w:r>
              <w:t>float</w:t>
            </w:r>
          </w:p>
        </w:tc>
        <w:tc>
          <w:tcPr>
            <w:tcW w:w="234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665A49B7">
            <w:pPr>
              <w:spacing w:line="360" w:lineRule="auto"/>
            </w:pPr>
            <w:r>
              <w:t>Daily highest price (USD)</w:t>
            </w:r>
          </w:p>
        </w:tc>
        <w:tc>
          <w:tcPr>
            <w:tcW w:w="234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153B583D">
            <w:pPr>
              <w:spacing w:line="360" w:lineRule="auto"/>
            </w:pPr>
            <w:r>
              <w:t>$36 – $200</w:t>
            </w:r>
          </w:p>
        </w:tc>
      </w:tr>
      <w:tr w14:paraId="279A62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2E1827F0">
            <w:pPr>
              <w:spacing w:line="360" w:lineRule="auto"/>
            </w:pPr>
            <w:r>
              <w:t>Low</w:t>
            </w:r>
          </w:p>
        </w:tc>
        <w:tc>
          <w:tcPr>
            <w:tcW w:w="234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4770031E">
            <w:pPr>
              <w:spacing w:line="360" w:lineRule="auto"/>
            </w:pPr>
            <w:r>
              <w:t>float</w:t>
            </w:r>
          </w:p>
        </w:tc>
        <w:tc>
          <w:tcPr>
            <w:tcW w:w="234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00E326E9">
            <w:pPr>
              <w:spacing w:line="360" w:lineRule="auto"/>
            </w:pPr>
            <w:r>
              <w:t>Daily lowest price (USD)</w:t>
            </w:r>
          </w:p>
        </w:tc>
        <w:tc>
          <w:tcPr>
            <w:tcW w:w="234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19907D36">
            <w:pPr>
              <w:spacing w:line="360" w:lineRule="auto"/>
            </w:pPr>
            <w:r>
              <w:t>$34 – $193</w:t>
            </w:r>
          </w:p>
        </w:tc>
      </w:tr>
      <w:tr w14:paraId="321951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2FE4FA76">
            <w:pPr>
              <w:spacing w:line="360" w:lineRule="auto"/>
            </w:pPr>
            <w:r>
              <w:t>Close</w:t>
            </w:r>
          </w:p>
        </w:tc>
        <w:tc>
          <w:tcPr>
            <w:tcW w:w="234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398FABEB">
            <w:pPr>
              <w:spacing w:line="360" w:lineRule="auto"/>
            </w:pPr>
            <w:r>
              <w:t>float</w:t>
            </w:r>
          </w:p>
        </w:tc>
        <w:tc>
          <w:tcPr>
            <w:tcW w:w="234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0AEC60F7">
            <w:pPr>
              <w:spacing w:line="360" w:lineRule="auto"/>
            </w:pPr>
            <w:r>
              <w:t>Closing price (USD)</w:t>
            </w:r>
          </w:p>
        </w:tc>
        <w:tc>
          <w:tcPr>
            <w:tcW w:w="234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69B72969">
            <w:pPr>
              <w:spacing w:line="360" w:lineRule="auto"/>
            </w:pPr>
            <w:r>
              <w:t>$35 – $196</w:t>
            </w:r>
          </w:p>
        </w:tc>
      </w:tr>
      <w:tr w14:paraId="7B8E36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60793BDA">
            <w:pPr>
              <w:spacing w:line="360" w:lineRule="auto"/>
            </w:pPr>
            <w:r>
              <w:t>Adj Close</w:t>
            </w:r>
          </w:p>
        </w:tc>
        <w:tc>
          <w:tcPr>
            <w:tcW w:w="234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0C7BC0C4">
            <w:pPr>
              <w:spacing w:line="360" w:lineRule="auto"/>
            </w:pPr>
            <w:r>
              <w:t>float</w:t>
            </w:r>
          </w:p>
        </w:tc>
        <w:tc>
          <w:tcPr>
            <w:tcW w:w="234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29E62DD6">
            <w:pPr>
              <w:spacing w:line="360" w:lineRule="auto"/>
            </w:pPr>
            <w:r>
              <w:t>Adjusted closing price</w:t>
            </w:r>
          </w:p>
        </w:tc>
        <w:tc>
          <w:tcPr>
            <w:tcW w:w="234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0E66FB75">
            <w:pPr>
              <w:spacing w:line="360" w:lineRule="auto"/>
            </w:pPr>
            <w:r>
              <w:t>$35 – $196</w:t>
            </w:r>
          </w:p>
        </w:tc>
      </w:tr>
      <w:tr w14:paraId="41CBEA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7CAF7182">
            <w:pPr>
              <w:spacing w:line="360" w:lineRule="auto"/>
            </w:pPr>
            <w:r>
              <w:t>Volume</w:t>
            </w:r>
          </w:p>
        </w:tc>
        <w:tc>
          <w:tcPr>
            <w:tcW w:w="234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37FFA276">
            <w:pPr>
              <w:spacing w:line="360" w:lineRule="auto"/>
            </w:pPr>
            <w:r>
              <w:t>int64</w:t>
            </w:r>
          </w:p>
        </w:tc>
        <w:tc>
          <w:tcPr>
            <w:tcW w:w="234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069EA4AF">
            <w:pPr>
              <w:spacing w:line="360" w:lineRule="auto"/>
            </w:pPr>
            <w:r>
              <w:t>Daily trading volume</w:t>
            </w:r>
          </w:p>
        </w:tc>
        <w:tc>
          <w:tcPr>
            <w:tcW w:w="234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4DFADBF2">
            <w:pPr>
              <w:spacing w:line="360" w:lineRule="auto"/>
            </w:pPr>
            <w:r>
              <w:t>40M – 350M</w:t>
            </w:r>
          </w:p>
        </w:tc>
      </w:tr>
    </w:tbl>
    <w:p w14:paraId="264056AD">
      <w:pPr>
        <w:spacing w:after="100" w:line="360" w:lineRule="auto"/>
      </w:pPr>
    </w:p>
    <w:p w14:paraId="276AC4B5">
      <w:pPr>
        <w:pStyle w:val="3"/>
        <w:spacing w:line="360" w:lineRule="auto"/>
        <w:rPr>
          <w:sz w:val="24"/>
          <w:szCs w:val="24"/>
        </w:rPr>
      </w:pPr>
      <w:r>
        <w:rPr>
          <w:sz w:val="24"/>
          <w:szCs w:val="24"/>
        </w:rPr>
        <w:t>3.4 Data Preprocessing</w:t>
      </w:r>
    </w:p>
    <w:p w14:paraId="222AE551">
      <w:pPr>
        <w:spacing w:after="160" w:line="360" w:lineRule="auto"/>
        <w:ind w:firstLine="720"/>
        <w:jc w:val="both"/>
      </w:pPr>
      <w:r>
        <w:t>Raw financial data obtained from Yahoo Finance, while generally reliable, requires systematic preprocessing to ensure data quality and suitability for machine learning model training. The preprocessing pipeline implemented in this study comprises four sequential stages: data cleaning, handling missing values, normalisation, and feature engineering.</w:t>
      </w:r>
    </w:p>
    <w:p w14:paraId="65CE0F50">
      <w:pPr>
        <w:pStyle w:val="4"/>
        <w:spacing w:line="360" w:lineRule="auto"/>
        <w:rPr>
          <w:i w:val="0"/>
          <w:iCs w:val="0"/>
        </w:rPr>
      </w:pPr>
      <w:r>
        <w:rPr>
          <w:i w:val="0"/>
          <w:iCs w:val="0"/>
        </w:rPr>
        <w:t>3.4.1 Data Cleaning and Missing Value Handling</w:t>
      </w:r>
    </w:p>
    <w:p w14:paraId="32CB7B04">
      <w:pPr>
        <w:spacing w:after="160" w:line="360" w:lineRule="auto"/>
        <w:ind w:firstLine="720"/>
        <w:jc w:val="both"/>
      </w:pPr>
      <w:r>
        <w:t>The retrieved datasets were first inspected for missing values using Pandas' isnull() method. Missing values in financial time series data are most commonly caused by market holidays, trading halts, or API retrieval errors. For this dataset, missing values were found in fewer than 0.5% of records across all tickers.</w:t>
      </w:r>
    </w:p>
    <w:p w14:paraId="1C9380DD">
      <w:pPr>
        <w:spacing w:after="160" w:line="360" w:lineRule="auto"/>
        <w:ind w:firstLine="720"/>
        <w:jc w:val="both"/>
      </w:pPr>
      <w:r>
        <w:t>Missing values were handled using forward filling (ffill), a standard technique in financial time series preprocessing that replaces each missing value with the last known observation. This approach preserves the temporal continuity of the series without introducing forward-looking bias, which would be introduced by backward filling or interpolation. Duplicate date entries were also identified and removed. Price columns were verified to be strictly positive (as stock prices cannot be zero or negative), and any anomalous zero values were treated as missing and forward-filled.</w:t>
      </w:r>
    </w:p>
    <w:p w14:paraId="21E3E05B">
      <w:pPr>
        <w:pStyle w:val="4"/>
        <w:spacing w:line="360" w:lineRule="auto"/>
        <w:rPr>
          <w:i w:val="0"/>
          <w:iCs w:val="0"/>
        </w:rPr>
      </w:pPr>
      <w:r>
        <w:rPr>
          <w:i w:val="0"/>
          <w:iCs w:val="0"/>
        </w:rPr>
        <w:t>3.4.2 Normalisation</w:t>
      </w:r>
    </w:p>
    <w:p w14:paraId="1A3B3673">
      <w:pPr>
        <w:spacing w:after="160" w:line="360" w:lineRule="auto"/>
        <w:ind w:firstLine="720"/>
        <w:jc w:val="both"/>
      </w:pPr>
      <w:r>
        <w:t>Normalisation is a critical preprocessing step for machine learning and deep learning models, as features with different scales can dominate the learning process and introduce bias into model predictions. The Min-Max normalisation technique was applied to rescale all numerical features to the range [0, 1]:</w:t>
      </w:r>
    </w:p>
    <w:p w14:paraId="61DAB898">
      <w:pPr>
        <w:spacing w:before="80" w:after="80" w:line="360" w:lineRule="auto"/>
        <w:jc w:val="center"/>
      </w:pPr>
      <w:r>
        <w:rPr>
          <w:rFonts w:eastAsia="Courier New"/>
          <w:i/>
          <w:iCs/>
        </w:rPr>
        <w:t>X_norm = (X - X_min) / (X_max - X_min)</w:t>
      </w:r>
    </w:p>
    <w:p w14:paraId="6B43415E">
      <w:pPr>
        <w:spacing w:after="160" w:line="360" w:lineRule="auto"/>
        <w:ind w:firstLine="720"/>
        <w:jc w:val="both"/>
      </w:pPr>
      <w:r>
        <w:t>where X is the original feature value, X_min and X_max are the minimum and maximum values of the feature in the training set. It is critical that the normalisation parameters (X_min and X_max) are computed exclusively from the training set to prevent data leakage into the test set. The same parameters are subsequently applied to normalise the test set. The Scikit-learn MinMaxScaler was used for this purpose:</w:t>
      </w:r>
    </w:p>
    <w:p w14:paraId="000EBD8C">
      <w:pPr>
        <w:spacing w:before="80" w:after="80" w:line="360" w:lineRule="auto"/>
        <w:ind w:left="720"/>
      </w:pPr>
      <w:r>
        <w:rPr>
          <w:rFonts w:eastAsia="Courier New"/>
        </w:rPr>
        <w:t>from sklearn.preprocessing import MinMaxScaler</w:t>
      </w:r>
      <w:r>
        <w:rPr>
          <w:rFonts w:eastAsia="Courier New"/>
        </w:rPr>
        <w:br w:type="textWrapping"/>
      </w:r>
      <w:r>
        <w:rPr>
          <w:rFonts w:eastAsia="Courier New"/>
        </w:rPr>
        <w:t>scaler = MinMaxScaler(feature_range=(0, 1))</w:t>
      </w:r>
      <w:r>
        <w:rPr>
          <w:rFonts w:eastAsia="Courier New"/>
        </w:rPr>
        <w:br w:type="textWrapping"/>
      </w:r>
      <w:r>
        <w:rPr>
          <w:rFonts w:eastAsia="Courier New"/>
        </w:rPr>
        <w:t>X_train_scaled = scaler.fit_transform(X_train)</w:t>
      </w:r>
      <w:r>
        <w:rPr>
          <w:rFonts w:eastAsia="Courier New"/>
        </w:rPr>
        <w:br w:type="textWrapping"/>
      </w:r>
      <w:r>
        <w:rPr>
          <w:rFonts w:eastAsia="Courier New"/>
        </w:rPr>
        <w:t>X_test_scaled = scaler.transform(X_test)</w:t>
      </w:r>
    </w:p>
    <w:p w14:paraId="0D2F8BA3">
      <w:pPr>
        <w:spacing w:after="160" w:line="360" w:lineRule="auto"/>
        <w:ind w:firstLine="720"/>
        <w:jc w:val="both"/>
      </w:pPr>
      <w:r>
        <w:t>Inverse transformation was applied after model prediction to convert predicted values back to the original price scale for meaningful error metric computation and visualisation.</w:t>
      </w:r>
    </w:p>
    <w:p w14:paraId="1245A00A">
      <w:pPr>
        <w:pStyle w:val="4"/>
        <w:spacing w:line="360" w:lineRule="auto"/>
        <w:rPr>
          <w:i w:val="0"/>
          <w:iCs w:val="0"/>
        </w:rPr>
      </w:pPr>
      <w:r>
        <w:rPr>
          <w:i w:val="0"/>
          <w:iCs w:val="0"/>
        </w:rPr>
        <w:t>3.4.3 Feature Engineering</w:t>
      </w:r>
    </w:p>
    <w:p w14:paraId="11FBCF0B">
      <w:pPr>
        <w:spacing w:after="160" w:line="360" w:lineRule="auto"/>
        <w:ind w:firstLine="720"/>
        <w:jc w:val="both"/>
      </w:pPr>
      <w:r>
        <w:t>Feature engineering was conducted to construct a rich set of informative technical indicators from the raw OHLCV data. The following indicators were computed:</w:t>
      </w:r>
    </w:p>
    <w:p w14:paraId="574D0C06">
      <w:pPr>
        <w:pStyle w:val="10"/>
        <w:numPr>
          <w:ilvl w:val="0"/>
          <w:numId w:val="2"/>
        </w:numPr>
        <w:spacing w:after="100" w:line="360" w:lineRule="auto"/>
        <w:jc w:val="both"/>
      </w:pPr>
      <w:r>
        <w:t>Simple Moving Average (SMA_20, SMA_50): The arithmetic mean of the closing price over the last 20 and 50 trading days, respectively. SMA provides smoothed trend signals.</w:t>
      </w:r>
    </w:p>
    <w:p w14:paraId="42F345BC">
      <w:pPr>
        <w:pStyle w:val="10"/>
        <w:numPr>
          <w:ilvl w:val="0"/>
          <w:numId w:val="2"/>
        </w:numPr>
        <w:spacing w:after="100" w:line="360" w:lineRule="auto"/>
        <w:jc w:val="both"/>
      </w:pPr>
      <w:r>
        <w:t>Exponential Moving Average (EMA_12, EMA_26): An exponentially weighted moving average that gives more weight to recent prices. The 12-day and 26-day EMAs are the components of the MACD indicator.</w:t>
      </w:r>
    </w:p>
    <w:p w14:paraId="6B2F0F0B">
      <w:pPr>
        <w:pStyle w:val="10"/>
        <w:numPr>
          <w:ilvl w:val="0"/>
          <w:numId w:val="2"/>
        </w:numPr>
        <w:spacing w:after="100" w:line="360" w:lineRule="auto"/>
        <w:jc w:val="both"/>
      </w:pPr>
      <w:r>
        <w:t>Relative Strength Index (RSI_14): A 14-day momentum oscillator. RSI is computed as: RSI = 100 - [100 / (1 + RS)], where RS = Average Gain / Average Loss over the lookback period.</w:t>
      </w:r>
    </w:p>
    <w:p w14:paraId="05BCA074">
      <w:pPr>
        <w:pStyle w:val="10"/>
        <w:numPr>
          <w:ilvl w:val="0"/>
          <w:numId w:val="2"/>
        </w:numPr>
        <w:spacing w:after="100" w:line="360" w:lineRule="auto"/>
        <w:jc w:val="both"/>
      </w:pPr>
      <w:r>
        <w:t>MACD and Signal Line: MACD = EMA_12 - EMA_26; Signal Line = 9-day EMA of MACD. The MACD histogram (MACD - Signal) captures momentum shifts.</w:t>
      </w:r>
    </w:p>
    <w:p w14:paraId="6F2A8C06">
      <w:pPr>
        <w:pStyle w:val="10"/>
        <w:numPr>
          <w:ilvl w:val="0"/>
          <w:numId w:val="2"/>
        </w:numPr>
        <w:spacing w:after="100" w:line="360" w:lineRule="auto"/>
        <w:jc w:val="both"/>
      </w:pPr>
      <w:r>
        <w:t>Bollinger Bands (BB_upper, BB_lower): Upper = SMA_20 + 2 * std_20; Lower = SMA_20 - 2 * std_20, where std_20 is the 20-day standard deviation. The bandwidth (BB_upper - BB_lower) measures volatility.</w:t>
      </w:r>
    </w:p>
    <w:p w14:paraId="06FE1BF1">
      <w:pPr>
        <w:pStyle w:val="10"/>
        <w:numPr>
          <w:ilvl w:val="0"/>
          <w:numId w:val="2"/>
        </w:numPr>
        <w:spacing w:after="100" w:line="360" w:lineRule="auto"/>
        <w:jc w:val="both"/>
      </w:pPr>
      <w:r>
        <w:t>On-Balance Volume (OBV): A cumulative volume indicator that adds volume on up-days and subtracts volume on down-days. OBV tracks buying and selling pressure.</w:t>
      </w:r>
    </w:p>
    <w:p w14:paraId="7526A90C">
      <w:pPr>
        <w:pStyle w:val="10"/>
        <w:numPr>
          <w:ilvl w:val="0"/>
          <w:numId w:val="2"/>
        </w:numPr>
        <w:spacing w:after="100" w:line="360" w:lineRule="auto"/>
        <w:jc w:val="both"/>
      </w:pPr>
      <w:r>
        <w:t>Lagged Features: Closing price returns over 1-day, 5-day, and 20-day lookback periods, capturing momentum effects at different timescales.</w:t>
      </w:r>
    </w:p>
    <w:p w14:paraId="3D66EA84">
      <w:pPr>
        <w:pStyle w:val="10"/>
        <w:numPr>
          <w:ilvl w:val="0"/>
          <w:numId w:val="2"/>
        </w:numPr>
        <w:spacing w:after="100" w:line="360" w:lineRule="auto"/>
        <w:jc w:val="both"/>
      </w:pPr>
      <w:r>
        <w:t>Day of Week and Month: Categorical time features that capture calendar seasonality effects (e.g., Monday effect, January effect).</w:t>
      </w:r>
    </w:p>
    <w:p w14:paraId="7B522A8B">
      <w:pPr>
        <w:spacing w:after="100" w:line="360" w:lineRule="auto"/>
      </w:pPr>
    </w:p>
    <w:p w14:paraId="58762D86">
      <w:pPr>
        <w:spacing w:before="120" w:after="80" w:line="360" w:lineRule="auto"/>
        <w:jc w:val="center"/>
      </w:pPr>
      <w:r>
        <w:rPr>
          <w:b/>
          <w:bCs/>
        </w:rPr>
        <w:t>Table 3.2: Feature Engineering Summary</w:t>
      </w:r>
    </w:p>
    <w:tbl>
      <w:tblPr>
        <w:tblStyle w:val="6"/>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40"/>
        <w:gridCol w:w="2340"/>
        <w:gridCol w:w="2340"/>
        <w:gridCol w:w="2340"/>
      </w:tblGrid>
      <w:tr w14:paraId="217BF0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340" w:type="dxa"/>
            <w:tcBorders>
              <w:top w:val="single" w:color="AAAAAA" w:sz="0" w:space="0"/>
              <w:left w:val="single" w:color="AAAAAA" w:sz="0" w:space="0"/>
              <w:bottom w:val="single" w:color="AAAAAA" w:sz="0" w:space="0"/>
              <w:right w:val="single" w:color="AAAAAA" w:sz="0" w:space="0"/>
            </w:tcBorders>
            <w:shd w:val="clear" w:color="auto" w:fill="D5E8F0"/>
            <w:tcMar>
              <w:top w:w="80" w:type="dxa"/>
              <w:left w:w="120" w:type="dxa"/>
              <w:bottom w:w="80" w:type="dxa"/>
              <w:right w:w="120" w:type="dxa"/>
            </w:tcMar>
          </w:tcPr>
          <w:p w14:paraId="25481E51">
            <w:pPr>
              <w:spacing w:line="360" w:lineRule="auto"/>
            </w:pPr>
            <w:r>
              <w:rPr>
                <w:b/>
                <w:bCs/>
              </w:rPr>
              <w:t>Feature</w:t>
            </w:r>
          </w:p>
        </w:tc>
        <w:tc>
          <w:tcPr>
            <w:tcW w:w="2340" w:type="dxa"/>
            <w:tcBorders>
              <w:top w:val="single" w:color="AAAAAA" w:sz="0" w:space="0"/>
              <w:left w:val="single" w:color="AAAAAA" w:sz="0" w:space="0"/>
              <w:bottom w:val="single" w:color="AAAAAA" w:sz="0" w:space="0"/>
              <w:right w:val="single" w:color="AAAAAA" w:sz="0" w:space="0"/>
            </w:tcBorders>
            <w:shd w:val="clear" w:color="auto" w:fill="D5E8F0"/>
            <w:tcMar>
              <w:top w:w="80" w:type="dxa"/>
              <w:left w:w="120" w:type="dxa"/>
              <w:bottom w:w="80" w:type="dxa"/>
              <w:right w:w="120" w:type="dxa"/>
            </w:tcMar>
          </w:tcPr>
          <w:p w14:paraId="0C156F23">
            <w:pPr>
              <w:spacing w:line="360" w:lineRule="auto"/>
            </w:pPr>
            <w:r>
              <w:rPr>
                <w:b/>
                <w:bCs/>
              </w:rPr>
              <w:t>Formula/Basis</w:t>
            </w:r>
          </w:p>
        </w:tc>
        <w:tc>
          <w:tcPr>
            <w:tcW w:w="2340" w:type="dxa"/>
            <w:tcBorders>
              <w:top w:val="single" w:color="AAAAAA" w:sz="0" w:space="0"/>
              <w:left w:val="single" w:color="AAAAAA" w:sz="0" w:space="0"/>
              <w:bottom w:val="single" w:color="AAAAAA" w:sz="0" w:space="0"/>
              <w:right w:val="single" w:color="AAAAAA" w:sz="0" w:space="0"/>
            </w:tcBorders>
            <w:shd w:val="clear" w:color="auto" w:fill="D5E8F0"/>
            <w:tcMar>
              <w:top w:w="80" w:type="dxa"/>
              <w:left w:w="120" w:type="dxa"/>
              <w:bottom w:w="80" w:type="dxa"/>
              <w:right w:w="120" w:type="dxa"/>
            </w:tcMar>
          </w:tcPr>
          <w:p w14:paraId="1643BF53">
            <w:pPr>
              <w:spacing w:line="360" w:lineRule="auto"/>
            </w:pPr>
            <w:r>
              <w:rPr>
                <w:b/>
                <w:bCs/>
              </w:rPr>
              <w:t>Category</w:t>
            </w:r>
          </w:p>
        </w:tc>
        <w:tc>
          <w:tcPr>
            <w:tcW w:w="2340" w:type="dxa"/>
            <w:tcBorders>
              <w:top w:val="single" w:color="AAAAAA" w:sz="0" w:space="0"/>
              <w:left w:val="single" w:color="AAAAAA" w:sz="0" w:space="0"/>
              <w:bottom w:val="single" w:color="AAAAAA" w:sz="0" w:space="0"/>
              <w:right w:val="single" w:color="AAAAAA" w:sz="0" w:space="0"/>
            </w:tcBorders>
            <w:shd w:val="clear" w:color="auto" w:fill="D5E8F0"/>
            <w:tcMar>
              <w:top w:w="80" w:type="dxa"/>
              <w:left w:w="120" w:type="dxa"/>
              <w:bottom w:w="80" w:type="dxa"/>
              <w:right w:w="120" w:type="dxa"/>
            </w:tcMar>
          </w:tcPr>
          <w:p w14:paraId="42038B23">
            <w:pPr>
              <w:spacing w:line="360" w:lineRule="auto"/>
            </w:pPr>
            <w:r>
              <w:rPr>
                <w:b/>
                <w:bCs/>
              </w:rPr>
              <w:t>Purpose</w:t>
            </w:r>
          </w:p>
        </w:tc>
      </w:tr>
      <w:tr w14:paraId="455D8E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01CF88C8">
            <w:pPr>
              <w:spacing w:line="360" w:lineRule="auto"/>
            </w:pPr>
            <w:r>
              <w:t>SMA_20, SMA_50</w:t>
            </w:r>
          </w:p>
        </w:tc>
        <w:tc>
          <w:tcPr>
            <w:tcW w:w="234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685CE576">
            <w:pPr>
              <w:spacing w:line="360" w:lineRule="auto"/>
            </w:pPr>
            <w:r>
              <w:t>Rolling mean of Close</w:t>
            </w:r>
          </w:p>
        </w:tc>
        <w:tc>
          <w:tcPr>
            <w:tcW w:w="234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7F90FA5B">
            <w:pPr>
              <w:spacing w:line="360" w:lineRule="auto"/>
            </w:pPr>
            <w:r>
              <w:t>Trend</w:t>
            </w:r>
          </w:p>
        </w:tc>
        <w:tc>
          <w:tcPr>
            <w:tcW w:w="234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554C81C8">
            <w:pPr>
              <w:spacing w:line="360" w:lineRule="auto"/>
            </w:pPr>
            <w:r>
              <w:t>Identify price trends</w:t>
            </w:r>
          </w:p>
        </w:tc>
      </w:tr>
      <w:tr w14:paraId="33080D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2AEF3718">
            <w:pPr>
              <w:spacing w:line="360" w:lineRule="auto"/>
            </w:pPr>
            <w:r>
              <w:t>EMA_12, EMA_26</w:t>
            </w:r>
          </w:p>
        </w:tc>
        <w:tc>
          <w:tcPr>
            <w:tcW w:w="234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66B32710">
            <w:pPr>
              <w:spacing w:line="360" w:lineRule="auto"/>
            </w:pPr>
            <w:r>
              <w:t>Exponentially weighted mean</w:t>
            </w:r>
          </w:p>
        </w:tc>
        <w:tc>
          <w:tcPr>
            <w:tcW w:w="234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79577708">
            <w:pPr>
              <w:spacing w:line="360" w:lineRule="auto"/>
            </w:pPr>
            <w:r>
              <w:t>Trend</w:t>
            </w:r>
          </w:p>
        </w:tc>
        <w:tc>
          <w:tcPr>
            <w:tcW w:w="234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0BB0F577">
            <w:pPr>
              <w:spacing w:line="360" w:lineRule="auto"/>
            </w:pPr>
            <w:r>
              <w:t>Responsive trend tracking</w:t>
            </w:r>
          </w:p>
        </w:tc>
      </w:tr>
      <w:tr w14:paraId="22064F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0318D281">
            <w:pPr>
              <w:spacing w:line="360" w:lineRule="auto"/>
            </w:pPr>
            <w:r>
              <w:t>RSI_14</w:t>
            </w:r>
          </w:p>
        </w:tc>
        <w:tc>
          <w:tcPr>
            <w:tcW w:w="234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052DAB6A">
            <w:pPr>
              <w:spacing w:line="360" w:lineRule="auto"/>
            </w:pPr>
            <w:r>
              <w:t>100 - 100/(1+RS)</w:t>
            </w:r>
          </w:p>
        </w:tc>
        <w:tc>
          <w:tcPr>
            <w:tcW w:w="234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6BA2364C">
            <w:pPr>
              <w:spacing w:line="360" w:lineRule="auto"/>
            </w:pPr>
            <w:r>
              <w:t>Momentum</w:t>
            </w:r>
          </w:p>
        </w:tc>
        <w:tc>
          <w:tcPr>
            <w:tcW w:w="234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04FC3FC2">
            <w:pPr>
              <w:spacing w:line="360" w:lineRule="auto"/>
            </w:pPr>
            <w:r>
              <w:t>Overbought/oversold signals</w:t>
            </w:r>
          </w:p>
        </w:tc>
      </w:tr>
      <w:tr w14:paraId="00C9D0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204C27DC">
            <w:pPr>
              <w:spacing w:line="360" w:lineRule="auto"/>
            </w:pPr>
            <w:r>
              <w:t>MACD, Signal</w:t>
            </w:r>
          </w:p>
        </w:tc>
        <w:tc>
          <w:tcPr>
            <w:tcW w:w="234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089AB187">
            <w:pPr>
              <w:spacing w:line="360" w:lineRule="auto"/>
            </w:pPr>
            <w:r>
              <w:t>EMA_12 - EMA_26; 9-day EMA</w:t>
            </w:r>
          </w:p>
        </w:tc>
        <w:tc>
          <w:tcPr>
            <w:tcW w:w="234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6EC29731">
            <w:pPr>
              <w:spacing w:line="360" w:lineRule="auto"/>
            </w:pPr>
            <w:r>
              <w:t>Momentum</w:t>
            </w:r>
          </w:p>
        </w:tc>
        <w:tc>
          <w:tcPr>
            <w:tcW w:w="234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275F46C4">
            <w:pPr>
              <w:spacing w:line="360" w:lineRule="auto"/>
            </w:pPr>
            <w:r>
              <w:t>Trend change detection</w:t>
            </w:r>
          </w:p>
        </w:tc>
      </w:tr>
      <w:tr w14:paraId="178C00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1CD68440">
            <w:pPr>
              <w:spacing w:line="360" w:lineRule="auto"/>
            </w:pPr>
            <w:r>
              <w:t>Bollinger Bands</w:t>
            </w:r>
          </w:p>
        </w:tc>
        <w:tc>
          <w:tcPr>
            <w:tcW w:w="234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63547A43">
            <w:pPr>
              <w:spacing w:line="360" w:lineRule="auto"/>
            </w:pPr>
            <w:r>
              <w:t>SMA ± 2*std</w:t>
            </w:r>
          </w:p>
        </w:tc>
        <w:tc>
          <w:tcPr>
            <w:tcW w:w="234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22E2A941">
            <w:pPr>
              <w:spacing w:line="360" w:lineRule="auto"/>
            </w:pPr>
            <w:r>
              <w:t>Volatility</w:t>
            </w:r>
          </w:p>
        </w:tc>
        <w:tc>
          <w:tcPr>
            <w:tcW w:w="234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358D41FA">
            <w:pPr>
              <w:spacing w:line="360" w:lineRule="auto"/>
            </w:pPr>
            <w:r>
              <w:t>Volatility measurement</w:t>
            </w:r>
          </w:p>
        </w:tc>
      </w:tr>
      <w:tr w14:paraId="5A7B92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41A830F2">
            <w:pPr>
              <w:spacing w:line="360" w:lineRule="auto"/>
            </w:pPr>
            <w:r>
              <w:t>OBV</w:t>
            </w:r>
          </w:p>
        </w:tc>
        <w:tc>
          <w:tcPr>
            <w:tcW w:w="234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27EB08FF">
            <w:pPr>
              <w:spacing w:line="360" w:lineRule="auto"/>
            </w:pPr>
            <w:r>
              <w:t>Cumulative volume +/-</w:t>
            </w:r>
          </w:p>
        </w:tc>
        <w:tc>
          <w:tcPr>
            <w:tcW w:w="234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30A0F2B7">
            <w:pPr>
              <w:spacing w:line="360" w:lineRule="auto"/>
            </w:pPr>
            <w:r>
              <w:t>Volume</w:t>
            </w:r>
          </w:p>
        </w:tc>
        <w:tc>
          <w:tcPr>
            <w:tcW w:w="234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7711B6F4">
            <w:pPr>
              <w:spacing w:line="360" w:lineRule="auto"/>
            </w:pPr>
            <w:r>
              <w:t>Buying/selling pressure</w:t>
            </w:r>
          </w:p>
        </w:tc>
      </w:tr>
      <w:tr w14:paraId="2B63C1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24FDDC24">
            <w:pPr>
              <w:spacing w:line="360" w:lineRule="auto"/>
            </w:pPr>
            <w:r>
              <w:t>Return_1d, 5d, 20d</w:t>
            </w:r>
          </w:p>
        </w:tc>
        <w:tc>
          <w:tcPr>
            <w:tcW w:w="234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5C41858D">
            <w:pPr>
              <w:spacing w:line="360" w:lineRule="auto"/>
            </w:pPr>
            <w:r>
              <w:t>(Pt - Pt-n)/Pt-n</w:t>
            </w:r>
          </w:p>
        </w:tc>
        <w:tc>
          <w:tcPr>
            <w:tcW w:w="234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38481007">
            <w:pPr>
              <w:spacing w:line="360" w:lineRule="auto"/>
            </w:pPr>
            <w:r>
              <w:t>Momentum</w:t>
            </w:r>
          </w:p>
        </w:tc>
        <w:tc>
          <w:tcPr>
            <w:tcW w:w="234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7935436F">
            <w:pPr>
              <w:spacing w:line="360" w:lineRule="auto"/>
            </w:pPr>
            <w:r>
              <w:t>Short/medium-term momentum</w:t>
            </w:r>
          </w:p>
        </w:tc>
      </w:tr>
      <w:tr w14:paraId="1BC50E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7E68B5F7">
            <w:pPr>
              <w:spacing w:line="360" w:lineRule="auto"/>
            </w:pPr>
            <w:r>
              <w:t>DayOfWeek, Month</w:t>
            </w:r>
          </w:p>
        </w:tc>
        <w:tc>
          <w:tcPr>
            <w:tcW w:w="234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3295EA94">
            <w:pPr>
              <w:spacing w:line="360" w:lineRule="auto"/>
            </w:pPr>
            <w:r>
              <w:t>Calendar extraction</w:t>
            </w:r>
          </w:p>
        </w:tc>
        <w:tc>
          <w:tcPr>
            <w:tcW w:w="234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620C6B9F">
            <w:pPr>
              <w:spacing w:line="360" w:lineRule="auto"/>
            </w:pPr>
            <w:r>
              <w:t>Temporal</w:t>
            </w:r>
          </w:p>
        </w:tc>
        <w:tc>
          <w:tcPr>
            <w:tcW w:w="234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420BABE2">
            <w:pPr>
              <w:spacing w:line="360" w:lineRule="auto"/>
            </w:pPr>
            <w:r>
              <w:t>Seasonality capture</w:t>
            </w:r>
          </w:p>
        </w:tc>
      </w:tr>
    </w:tbl>
    <w:p w14:paraId="0139B59B">
      <w:pPr>
        <w:spacing w:after="100" w:line="360" w:lineRule="auto"/>
      </w:pPr>
    </w:p>
    <w:p w14:paraId="5306311A">
      <w:pPr>
        <w:spacing w:after="160" w:line="360" w:lineRule="auto"/>
        <w:ind w:firstLine="720"/>
        <w:jc w:val="both"/>
      </w:pPr>
      <w:r>
        <w:t>After feature engineering, rows with NaN values (resulting from rolling window computations at the start of the series) were removed. The final feature matrix contained 21 input features and approximately 1,200 usable trading day records per ticker after the cleaning and feature engineering process.</w:t>
      </w:r>
    </w:p>
    <w:p w14:paraId="784DA5F3">
      <w:pPr>
        <w:pStyle w:val="4"/>
        <w:spacing w:line="360" w:lineRule="auto"/>
      </w:pPr>
      <w:r>
        <w:t>3.4.4 Sequence Construction for LSTM</w:t>
      </w:r>
    </w:p>
    <w:p w14:paraId="5D422735">
      <w:pPr>
        <w:spacing w:after="160" w:line="360" w:lineRule="auto"/>
        <w:ind w:firstLine="720"/>
        <w:jc w:val="both"/>
      </w:pPr>
      <w:r>
        <w:t>The LSTM model requires input data to be formatted as three-dimensional arrays of shape (samples, time_steps, features). A sliding window approach was used to construct input sequences. A window size of 60 trading days (approximately 3 months) was selected based on findings from the literature (Moghar &amp; Hamiche, 2020; Qiu et al., 2020), as it provides sufficient temporal context for the model to learn seasonal and trend patterns.</w:t>
      </w:r>
    </w:p>
    <w:p w14:paraId="7F65E395">
      <w:pPr>
        <w:spacing w:after="160" w:line="360" w:lineRule="auto"/>
        <w:ind w:firstLine="720"/>
        <w:jc w:val="both"/>
      </w:pPr>
      <w:r>
        <w:t>For each sample, the input sequence consists of the feature values over the 60 days preceding the target day, and the output label is the normalised closing price on the target day. This formulation transforms the time series regression problem into a supervised sequence-to-value learning problem.</w:t>
      </w:r>
    </w:p>
    <w:p w14:paraId="1846FAED">
      <w:pPr>
        <w:spacing w:before="80" w:after="80" w:line="360" w:lineRule="auto"/>
        <w:ind w:left="720"/>
      </w:pPr>
      <w:r>
        <w:rPr>
          <w:rFonts w:eastAsia="Courier New"/>
        </w:rPr>
        <w:t># Construct LSTM sequences</w:t>
      </w:r>
      <w:r>
        <w:rPr>
          <w:rFonts w:eastAsia="Courier New"/>
        </w:rPr>
        <w:br w:type="textWrapping"/>
      </w:r>
      <w:r>
        <w:rPr>
          <w:rFonts w:eastAsia="Courier New"/>
        </w:rPr>
        <w:t>window_size = 60</w:t>
      </w:r>
      <w:r>
        <w:rPr>
          <w:rFonts w:eastAsia="Courier New"/>
        </w:rPr>
        <w:br w:type="textWrapping"/>
      </w:r>
      <w:r>
        <w:rPr>
          <w:rFonts w:eastAsia="Courier New"/>
        </w:rPr>
        <w:t>X_lstm, y_lstm = [], []</w:t>
      </w:r>
      <w:r>
        <w:rPr>
          <w:rFonts w:eastAsia="Courier New"/>
        </w:rPr>
        <w:br w:type="textWrapping"/>
      </w:r>
      <w:r>
        <w:rPr>
          <w:rFonts w:eastAsia="Courier New"/>
        </w:rPr>
        <w:t>for i in range(window_size, len(scaled_data)):</w:t>
      </w:r>
      <w:r>
        <w:rPr>
          <w:rFonts w:eastAsia="Courier New"/>
        </w:rPr>
        <w:br w:type="textWrapping"/>
      </w:r>
      <w:r>
        <w:rPr>
          <w:rFonts w:eastAsia="Courier New"/>
        </w:rPr>
        <w:t xml:space="preserve">    X_lstm.append(scaled_data[i-window_size:i, :])</w:t>
      </w:r>
      <w:r>
        <w:rPr>
          <w:rFonts w:eastAsia="Courier New"/>
        </w:rPr>
        <w:br w:type="textWrapping"/>
      </w:r>
      <w:r>
        <w:rPr>
          <w:rFonts w:eastAsia="Courier New"/>
        </w:rPr>
        <w:t xml:space="preserve">    y_lstm.append(scaled_data[i, close_idx])</w:t>
      </w:r>
      <w:r>
        <w:rPr>
          <w:rFonts w:eastAsia="Courier New"/>
        </w:rPr>
        <w:br w:type="textWrapping"/>
      </w:r>
      <w:r>
        <w:rPr>
          <w:rFonts w:eastAsia="Courier New"/>
        </w:rPr>
        <w:t>X_lstm = np.array(X_lstm)  # shape: (samples, 60, n_features)</w:t>
      </w:r>
    </w:p>
    <w:p w14:paraId="2936E674">
      <w:pPr>
        <w:pStyle w:val="3"/>
        <w:spacing w:line="360" w:lineRule="auto"/>
        <w:rPr>
          <w:sz w:val="24"/>
          <w:szCs w:val="24"/>
        </w:rPr>
      </w:pPr>
      <w:r>
        <w:rPr>
          <w:sz w:val="24"/>
          <w:szCs w:val="24"/>
        </w:rPr>
        <w:t>3.5 Model Development</w:t>
      </w:r>
    </w:p>
    <w:p w14:paraId="45982108">
      <w:pPr>
        <w:spacing w:after="160" w:line="360" w:lineRule="auto"/>
        <w:ind w:firstLine="720"/>
        <w:jc w:val="both"/>
      </w:pPr>
      <w:r>
        <w:t>Four predictive models were developed and implemented for this study, representing a spectrum from simple baseline models to sophisticated deep learning architectures. Each model was implemented within a standardised pipeline that ensures consistent preprocessing inputs and evaluation procedures.</w:t>
      </w:r>
    </w:p>
    <w:p w14:paraId="4953C68F">
      <w:pPr>
        <w:pStyle w:val="4"/>
        <w:spacing w:line="360" w:lineRule="auto"/>
        <w:rPr>
          <w:i w:val="0"/>
          <w:iCs w:val="0"/>
        </w:rPr>
      </w:pPr>
      <w:r>
        <w:rPr>
          <w:i w:val="0"/>
          <w:iCs w:val="0"/>
        </w:rPr>
        <w:t>3.5.1 Model 1: Linear Regression (Baseline)</w:t>
      </w:r>
    </w:p>
    <w:p w14:paraId="64495ECF">
      <w:pPr>
        <w:spacing w:after="160" w:line="360" w:lineRule="auto"/>
        <w:ind w:firstLine="720"/>
        <w:jc w:val="both"/>
      </w:pPr>
      <w:r>
        <w:t>Linear Regression was implemented as the baseline model against which more complex algorithms are evaluated. The model fits a linear function f(X) = W^T * X + b to the training data by minimising the Residual Sum of Squares (RSS):</w:t>
      </w:r>
    </w:p>
    <w:p w14:paraId="284F82DF">
      <w:pPr>
        <w:spacing w:before="80" w:after="80" w:line="360" w:lineRule="auto"/>
        <w:jc w:val="center"/>
      </w:pPr>
      <w:r>
        <w:rPr>
          <w:rFonts w:eastAsia="Courier New"/>
          <w:i/>
          <w:iCs/>
        </w:rPr>
        <w:t>RSS = Sum(y_i - W^T * X_i - b)^2</w:t>
      </w:r>
    </w:p>
    <w:p w14:paraId="2D5DDFB3">
      <w:pPr>
        <w:spacing w:after="160" w:line="360" w:lineRule="auto"/>
        <w:ind w:firstLine="720"/>
        <w:jc w:val="both"/>
      </w:pPr>
      <w:r>
        <w:t>The Scikit-learn LinearRegression class was used for implementation. No hyperparameter tuning was required, as Linear Regression has no tunable regularisation parameters in its basic form. The model was trained on the flattened feature matrix (the OHLCV + technical indicators feature set for the non-sequence models) and tested on the held-out test set.</w:t>
      </w:r>
    </w:p>
    <w:p w14:paraId="6C94107F">
      <w:pPr>
        <w:spacing w:before="80" w:after="80" w:line="360" w:lineRule="auto"/>
        <w:ind w:left="720"/>
      </w:pPr>
      <w:r>
        <w:rPr>
          <w:rFonts w:eastAsia="Courier New"/>
        </w:rPr>
        <w:t>from sklearn.linear_model import LinearRegression</w:t>
      </w:r>
      <w:r>
        <w:rPr>
          <w:rFonts w:eastAsia="Courier New"/>
        </w:rPr>
        <w:br w:type="textWrapping"/>
      </w:r>
      <w:r>
        <w:rPr>
          <w:rFonts w:eastAsia="Courier New"/>
        </w:rPr>
        <w:t>lr_model = LinearRegression()</w:t>
      </w:r>
      <w:r>
        <w:rPr>
          <w:rFonts w:eastAsia="Courier New"/>
        </w:rPr>
        <w:br w:type="textWrapping"/>
      </w:r>
      <w:r>
        <w:rPr>
          <w:rFonts w:eastAsia="Courier New"/>
        </w:rPr>
        <w:t>lr_model.fit(X_train, y_train)</w:t>
      </w:r>
      <w:r>
        <w:rPr>
          <w:rFonts w:eastAsia="Courier New"/>
        </w:rPr>
        <w:br w:type="textWrapping"/>
      </w:r>
      <w:r>
        <w:rPr>
          <w:rFonts w:eastAsia="Courier New"/>
        </w:rPr>
        <w:t>y_pred_lr = lr_model.predict(X_test)</w:t>
      </w:r>
    </w:p>
    <w:p w14:paraId="18E06E21">
      <w:pPr>
        <w:spacing w:after="160" w:line="360" w:lineRule="auto"/>
        <w:ind w:firstLine="720"/>
        <w:jc w:val="both"/>
      </w:pPr>
      <w:r>
        <w:t>Despite its simplicity, Linear Regression provides an essential benchmark: any more complex model should substantially outperform it to justify its additional computational cost and reduced interpretability.</w:t>
      </w:r>
    </w:p>
    <w:p w14:paraId="363CE9C3">
      <w:pPr>
        <w:pStyle w:val="4"/>
        <w:spacing w:line="360" w:lineRule="auto"/>
        <w:rPr>
          <w:i w:val="0"/>
          <w:iCs w:val="0"/>
        </w:rPr>
      </w:pPr>
      <w:r>
        <w:rPr>
          <w:i w:val="0"/>
          <w:iCs w:val="0"/>
        </w:rPr>
        <w:t>3.5.2 Model 2: Random Forest Regression</w:t>
      </w:r>
    </w:p>
    <w:p w14:paraId="0070C92B">
      <w:pPr>
        <w:spacing w:after="160" w:line="360" w:lineRule="auto"/>
        <w:ind w:firstLine="720"/>
        <w:jc w:val="both"/>
      </w:pPr>
      <w:r>
        <w:t>The Random Forest Regressor builds an ensemble of N decision trees, each trained on a bootstrap sample of the training data. For regression, the final prediction is the average of the predictions of all N trees. The algorithm introduces additional randomness by selecting a random subset of features at each split, further reducing the correlation among trees and improving variance reduction.</w:t>
      </w:r>
    </w:p>
    <w:p w14:paraId="2B7623B7">
      <w:pPr>
        <w:spacing w:after="160" w:line="360" w:lineRule="auto"/>
        <w:ind w:firstLine="720"/>
        <w:jc w:val="both"/>
      </w:pPr>
      <w:r>
        <w:t>Key hyperparameters and their configurations:</w:t>
      </w:r>
    </w:p>
    <w:p w14:paraId="41CB9BB1">
      <w:pPr>
        <w:pStyle w:val="10"/>
        <w:numPr>
          <w:ilvl w:val="0"/>
          <w:numId w:val="2"/>
        </w:numPr>
        <w:spacing w:after="100" w:line="360" w:lineRule="auto"/>
        <w:jc w:val="both"/>
      </w:pPr>
      <w:r>
        <w:t>n_estimators (number of trees): 200. More trees reduce variance but increase computational cost. 200 trees provides a balance between accuracy and efficiency.</w:t>
      </w:r>
    </w:p>
    <w:p w14:paraId="4056D296">
      <w:pPr>
        <w:pStyle w:val="10"/>
        <w:numPr>
          <w:ilvl w:val="0"/>
          <w:numId w:val="2"/>
        </w:numPr>
        <w:spacing w:after="100" w:line="360" w:lineRule="auto"/>
        <w:jc w:val="both"/>
      </w:pPr>
      <w:r>
        <w:t>max_depth (maximum tree depth): None (trees grow until all leaves are pure or contain fewer than min_samples_split samples). Unrestricted depth allows the model to capture complex non-linear patterns.</w:t>
      </w:r>
    </w:p>
    <w:p w14:paraId="72AE4301">
      <w:pPr>
        <w:pStyle w:val="10"/>
        <w:numPr>
          <w:ilvl w:val="0"/>
          <w:numId w:val="2"/>
        </w:numPr>
        <w:spacing w:after="100" w:line="360" w:lineRule="auto"/>
        <w:jc w:val="both"/>
      </w:pPr>
      <w:r>
        <w:t>min_samples_split: 5. The minimum number of samples required to split a node, serving as a regularisation constraint.</w:t>
      </w:r>
    </w:p>
    <w:p w14:paraId="24912871">
      <w:pPr>
        <w:pStyle w:val="10"/>
        <w:numPr>
          <w:ilvl w:val="0"/>
          <w:numId w:val="2"/>
        </w:numPr>
        <w:spacing w:after="100" w:line="360" w:lineRule="auto"/>
        <w:jc w:val="both"/>
      </w:pPr>
      <w:r>
        <w:t>max_features: 'sqrt'. At each split, only the square root of the total number of features is considered, ensuring feature diversity across trees.</w:t>
      </w:r>
    </w:p>
    <w:p w14:paraId="6B68C11C">
      <w:pPr>
        <w:spacing w:after="160" w:line="360" w:lineRule="auto"/>
        <w:ind w:firstLine="720"/>
        <w:jc w:val="both"/>
      </w:pPr>
      <w:r>
        <w:t>Hyperparameter tuning was performed using 5-fold cross-validation with GridSearchCV on the training set. Feature importance scores extracted from the trained Random Forest model were used to identify the most predictive technical indicators.</w:t>
      </w:r>
    </w:p>
    <w:p w14:paraId="74C192C4">
      <w:pPr>
        <w:spacing w:before="80" w:after="80" w:line="360" w:lineRule="auto"/>
        <w:ind w:left="720"/>
      </w:pPr>
      <w:r>
        <w:rPr>
          <w:rFonts w:eastAsia="Courier New"/>
        </w:rPr>
        <w:t>from sklearn.ensemble import RandomForestRegressor</w:t>
      </w:r>
      <w:r>
        <w:rPr>
          <w:rFonts w:eastAsia="Courier New"/>
        </w:rPr>
        <w:br w:type="textWrapping"/>
      </w:r>
      <w:r>
        <w:rPr>
          <w:rFonts w:eastAsia="Courier New"/>
        </w:rPr>
        <w:t>rf_model = RandomForestRegressor(</w:t>
      </w:r>
      <w:r>
        <w:rPr>
          <w:rFonts w:eastAsia="Courier New"/>
        </w:rPr>
        <w:br w:type="textWrapping"/>
      </w:r>
      <w:r>
        <w:rPr>
          <w:rFonts w:eastAsia="Courier New"/>
        </w:rPr>
        <w:t xml:space="preserve">    n_estimators=200, max_depth=None,</w:t>
      </w:r>
      <w:r>
        <w:rPr>
          <w:rFonts w:eastAsia="Courier New"/>
        </w:rPr>
        <w:br w:type="textWrapping"/>
      </w:r>
      <w:r>
        <w:rPr>
          <w:rFonts w:eastAsia="Courier New"/>
        </w:rPr>
        <w:t xml:space="preserve">    min_samples_split=5, random_state=42)</w:t>
      </w:r>
      <w:r>
        <w:rPr>
          <w:rFonts w:eastAsia="Courier New"/>
        </w:rPr>
        <w:br w:type="textWrapping"/>
      </w:r>
      <w:r>
        <w:rPr>
          <w:rFonts w:eastAsia="Courier New"/>
        </w:rPr>
        <w:t>rf_model.fit(X_train, y_train)</w:t>
      </w:r>
      <w:r>
        <w:rPr>
          <w:rFonts w:eastAsia="Courier New"/>
        </w:rPr>
        <w:br w:type="textWrapping"/>
      </w:r>
      <w:r>
        <w:rPr>
          <w:rFonts w:eastAsia="Courier New"/>
        </w:rPr>
        <w:t>y_pred_rf = rf_model.predict(X_test)</w:t>
      </w:r>
    </w:p>
    <w:p w14:paraId="2C32F227">
      <w:pPr>
        <w:pStyle w:val="4"/>
        <w:spacing w:line="360" w:lineRule="auto"/>
        <w:rPr>
          <w:i w:val="0"/>
          <w:iCs w:val="0"/>
        </w:rPr>
      </w:pPr>
      <w:r>
        <w:rPr>
          <w:i w:val="0"/>
          <w:iCs w:val="0"/>
        </w:rPr>
        <w:t>3.5.3 Model 3: Support Vector Regression (SVR)</w:t>
      </w:r>
    </w:p>
    <w:p w14:paraId="59592408">
      <w:pPr>
        <w:spacing w:after="160" w:line="360" w:lineRule="auto"/>
        <w:ind w:firstLine="720"/>
        <w:jc w:val="both"/>
      </w:pPr>
      <w:r>
        <w:t>Support Vector Regression (SVR) was implemented using the radial basis function (RBF) kernel, which maps the input features into a higher-dimensional feature space and identifies a regression hyperplane that maximises the margin within which predictions are allowed to deviate from the true values by at most epsilon (the epsilon-insensitive loss).</w:t>
      </w:r>
    </w:p>
    <w:p w14:paraId="0367BB16">
      <w:pPr>
        <w:spacing w:after="160" w:line="360" w:lineRule="auto"/>
        <w:ind w:firstLine="720"/>
        <w:jc w:val="both"/>
      </w:pPr>
      <w:r>
        <w:t>Key hyperparameters:</w:t>
      </w:r>
    </w:p>
    <w:p w14:paraId="3B813CF9">
      <w:pPr>
        <w:pStyle w:val="10"/>
        <w:numPr>
          <w:ilvl w:val="0"/>
          <w:numId w:val="2"/>
        </w:numPr>
        <w:spacing w:after="100" w:line="360" w:lineRule="auto"/>
        <w:jc w:val="both"/>
      </w:pPr>
      <w:r>
        <w:t>Kernel: RBF (Radial Basis Function), which captures non-linear relationships through the Gaussian kernel: K(x_i, x_j) = exp(-gamma * ||x_i - x_j||^2).</w:t>
      </w:r>
    </w:p>
    <w:p w14:paraId="5F11B7F3">
      <w:pPr>
        <w:pStyle w:val="10"/>
        <w:numPr>
          <w:ilvl w:val="0"/>
          <w:numId w:val="2"/>
        </w:numPr>
        <w:spacing w:after="100" w:line="360" w:lineRule="auto"/>
        <w:jc w:val="both"/>
      </w:pPr>
      <w:r>
        <w:t>C (regularisation parameter): Controls the trade-off between margin maximisation and training error minimisation. A higher C allows the model to fit the training data more closely. C = 100 was selected via cross-validation.</w:t>
      </w:r>
    </w:p>
    <w:p w14:paraId="21751681">
      <w:pPr>
        <w:pStyle w:val="10"/>
        <w:numPr>
          <w:ilvl w:val="0"/>
          <w:numId w:val="2"/>
        </w:numPr>
        <w:spacing w:after="100" w:line="360" w:lineRule="auto"/>
        <w:jc w:val="both"/>
      </w:pPr>
      <w:r>
        <w:t>epsilon: The width of the epsilon-insensitive tube. epsilon = 0.01 was used.</w:t>
      </w:r>
    </w:p>
    <w:p w14:paraId="29CEC79D">
      <w:pPr>
        <w:pStyle w:val="10"/>
        <w:numPr>
          <w:ilvl w:val="0"/>
          <w:numId w:val="2"/>
        </w:numPr>
        <w:spacing w:after="100" w:line="360" w:lineRule="auto"/>
        <w:jc w:val="both"/>
      </w:pPr>
      <w:r>
        <w:t>gamma: The kernel bandwidth parameter. Set to 'scale' (1 / (n_features * X.var())).</w:t>
      </w:r>
    </w:p>
    <w:p w14:paraId="49776164">
      <w:pPr>
        <w:spacing w:after="160" w:line="360" w:lineRule="auto"/>
        <w:ind w:firstLine="720"/>
        <w:jc w:val="both"/>
      </w:pPr>
      <w:r>
        <w:t>SVR requires standardised inputs and is sensitive to feature scaling, which was already addressed by the Min-Max normalisation step in the preprocessing pipeline.</w:t>
      </w:r>
    </w:p>
    <w:p w14:paraId="7DC53202">
      <w:pPr>
        <w:spacing w:before="80" w:after="80" w:line="360" w:lineRule="auto"/>
        <w:ind w:left="720"/>
      </w:pPr>
      <w:r>
        <w:rPr>
          <w:rFonts w:eastAsia="Courier New"/>
        </w:rPr>
        <w:t>from sklearn.svm import SVR</w:t>
      </w:r>
      <w:r>
        <w:rPr>
          <w:rFonts w:eastAsia="Courier New"/>
        </w:rPr>
        <w:br w:type="textWrapping"/>
      </w:r>
      <w:r>
        <w:rPr>
          <w:rFonts w:eastAsia="Courier New"/>
        </w:rPr>
        <w:t>svr_model = SVR(kernel='rbf', C=100,</w:t>
      </w:r>
      <w:r>
        <w:rPr>
          <w:rFonts w:eastAsia="Courier New"/>
        </w:rPr>
        <w:br w:type="textWrapping"/>
      </w:r>
      <w:r>
        <w:rPr>
          <w:rFonts w:eastAsia="Courier New"/>
        </w:rPr>
        <w:t xml:space="preserve">               epsilon=0.01, gamma='scale')</w:t>
      </w:r>
      <w:r>
        <w:rPr>
          <w:rFonts w:eastAsia="Courier New"/>
        </w:rPr>
        <w:br w:type="textWrapping"/>
      </w:r>
      <w:r>
        <w:rPr>
          <w:rFonts w:eastAsia="Courier New"/>
        </w:rPr>
        <w:t>svr_model.fit(X_train, y_train)</w:t>
      </w:r>
      <w:r>
        <w:rPr>
          <w:rFonts w:eastAsia="Courier New"/>
        </w:rPr>
        <w:br w:type="textWrapping"/>
      </w:r>
      <w:r>
        <w:rPr>
          <w:rFonts w:eastAsia="Courier New"/>
        </w:rPr>
        <w:t>y_pred_svr = svr_model.predict(X_test)</w:t>
      </w:r>
    </w:p>
    <w:p w14:paraId="7EA0873F">
      <w:pPr>
        <w:pStyle w:val="4"/>
        <w:spacing w:line="360" w:lineRule="auto"/>
        <w:rPr>
          <w:i w:val="0"/>
          <w:iCs w:val="0"/>
        </w:rPr>
      </w:pPr>
      <w:r>
        <w:rPr>
          <w:i w:val="0"/>
          <w:iCs w:val="0"/>
        </w:rPr>
        <w:t>3.5.4 Model 4: Long Short-Term Memory (LSTM) Neural Network</w:t>
      </w:r>
    </w:p>
    <w:p w14:paraId="31E4EE3E">
      <w:pPr>
        <w:spacing w:after="160" w:line="360" w:lineRule="auto"/>
        <w:ind w:firstLine="720"/>
        <w:jc w:val="both"/>
      </w:pPr>
      <w:r>
        <w:t>The LSTM model was implemented using the TensorFlow/Keras deep learning framework. The architecture was designed to balance model expressiveness with the constraints of the available training data to avoid overfitting.</w:t>
      </w:r>
    </w:p>
    <w:p w14:paraId="218AB4ED">
      <w:pPr>
        <w:spacing w:after="160" w:line="360" w:lineRule="auto"/>
        <w:ind w:firstLine="720"/>
        <w:jc w:val="both"/>
      </w:pPr>
      <w:r>
        <w:t>The model architecture consists of:</w:t>
      </w:r>
    </w:p>
    <w:p w14:paraId="547538E1">
      <w:pPr>
        <w:pStyle w:val="10"/>
        <w:numPr>
          <w:ilvl w:val="0"/>
          <w:numId w:val="2"/>
        </w:numPr>
        <w:spacing w:after="100" w:line="360" w:lineRule="auto"/>
        <w:jc w:val="both"/>
      </w:pPr>
      <w:r>
        <w:t>Input Layer: Receives 3D sequences of shape (batch_size, 60, n_features), where 60 is the time window and n_features is the number of input features.</w:t>
      </w:r>
    </w:p>
    <w:p w14:paraId="4BB2C9D6">
      <w:pPr>
        <w:pStyle w:val="10"/>
        <w:numPr>
          <w:ilvl w:val="0"/>
          <w:numId w:val="2"/>
        </w:numPr>
        <w:spacing w:after="100" w:line="360" w:lineRule="auto"/>
        <w:jc w:val="both"/>
      </w:pPr>
      <w:r>
        <w:t>First LSTM Layer: 128 units with return_sequences=True to pass the full sequence to the next LSTM layer. Dropout regularisation with rate 0.2 is applied after this layer.</w:t>
      </w:r>
    </w:p>
    <w:p w14:paraId="1060D657">
      <w:pPr>
        <w:pStyle w:val="10"/>
        <w:numPr>
          <w:ilvl w:val="0"/>
          <w:numId w:val="2"/>
        </w:numPr>
        <w:spacing w:after="100" w:line="360" w:lineRule="auto"/>
        <w:jc w:val="both"/>
      </w:pPr>
      <w:r>
        <w:t>Second LSTM Layer: 64 units with return_sequences=False, outputting only the final time step representation. Dropout rate 0.2.</w:t>
      </w:r>
    </w:p>
    <w:p w14:paraId="4F0220F9">
      <w:pPr>
        <w:pStyle w:val="10"/>
        <w:numPr>
          <w:ilvl w:val="0"/>
          <w:numId w:val="2"/>
        </w:numPr>
        <w:spacing w:after="100" w:line="360" w:lineRule="auto"/>
        <w:jc w:val="both"/>
      </w:pPr>
      <w:r>
        <w:t>Dense Layer 1: A fully connected layer with 32 neurons and ReLU activation, which transforms the LSTM output into a lower-dimensional representation.</w:t>
      </w:r>
    </w:p>
    <w:p w14:paraId="585374E3">
      <w:pPr>
        <w:pStyle w:val="10"/>
        <w:numPr>
          <w:ilvl w:val="0"/>
          <w:numId w:val="2"/>
        </w:numPr>
        <w:spacing w:after="100" w:line="360" w:lineRule="auto"/>
        <w:jc w:val="both"/>
      </w:pPr>
      <w:r>
        <w:t>Output Layer: A single neuron with linear activation that outputs the predicted normalised closing price.</w:t>
      </w:r>
    </w:p>
    <w:p w14:paraId="1C7014C1">
      <w:pPr>
        <w:spacing w:after="160" w:line="360" w:lineRule="auto"/>
        <w:ind w:firstLine="720"/>
        <w:jc w:val="both"/>
      </w:pPr>
      <w:r>
        <w:t>The LSTM network was compiled with the Adam optimiser (learning rate = 0.001) and Mean Squared Error (MSE) loss function. Model training was conducted for up to 100 epochs with a batch size of 32. Early stopping with patience = 15 was implemented to halt training when the validation loss ceased to improve, preventing overfitting.</w:t>
      </w:r>
    </w:p>
    <w:p w14:paraId="0AA5E25B">
      <w:pPr>
        <w:spacing w:before="80" w:after="80" w:line="360" w:lineRule="auto"/>
        <w:ind w:left="720"/>
      </w:pPr>
      <w:r>
        <w:rPr>
          <w:rFonts w:eastAsia="Courier New"/>
        </w:rPr>
        <w:t>import tensorflow as tf</w:t>
      </w:r>
      <w:r>
        <w:rPr>
          <w:rFonts w:eastAsia="Courier New"/>
        </w:rPr>
        <w:br w:type="textWrapping"/>
      </w:r>
      <w:r>
        <w:rPr>
          <w:rFonts w:eastAsia="Courier New"/>
        </w:rPr>
        <w:t>from tensorflow.keras.models import Sequential</w:t>
      </w:r>
      <w:r>
        <w:rPr>
          <w:rFonts w:eastAsia="Courier New"/>
        </w:rPr>
        <w:br w:type="textWrapping"/>
      </w:r>
      <w:r>
        <w:rPr>
          <w:rFonts w:eastAsia="Courier New"/>
        </w:rPr>
        <w:t>from tensorflow.keras.layers import LSTM, Dense, Dropout</w:t>
      </w:r>
      <w:r>
        <w:rPr>
          <w:rFonts w:eastAsia="Courier New"/>
        </w:rPr>
        <w:br w:type="textWrapping"/>
      </w:r>
      <w:r>
        <w:rPr>
          <w:rFonts w:eastAsia="Courier New"/>
        </w:rPr>
        <w:br w:type="textWrapping"/>
      </w:r>
      <w:r>
        <w:rPr>
          <w:rFonts w:eastAsia="Courier New"/>
        </w:rPr>
        <w:t>model = Sequential([</w:t>
      </w:r>
      <w:r>
        <w:rPr>
          <w:rFonts w:eastAsia="Courier New"/>
        </w:rPr>
        <w:br w:type="textWrapping"/>
      </w:r>
      <w:r>
        <w:rPr>
          <w:rFonts w:eastAsia="Courier New"/>
        </w:rPr>
        <w:t xml:space="preserve">    LSTM(128, return_sequences=True,</w:t>
      </w:r>
      <w:r>
        <w:rPr>
          <w:rFonts w:eastAsia="Courier New"/>
        </w:rPr>
        <w:br w:type="textWrapping"/>
      </w:r>
      <w:r>
        <w:rPr>
          <w:rFonts w:eastAsia="Courier New"/>
        </w:rPr>
        <w:t xml:space="preserve">         input_shape=(60, n_features)),</w:t>
      </w:r>
      <w:r>
        <w:rPr>
          <w:rFonts w:eastAsia="Courier New"/>
        </w:rPr>
        <w:br w:type="textWrapping"/>
      </w:r>
      <w:r>
        <w:rPr>
          <w:rFonts w:eastAsia="Courier New"/>
        </w:rPr>
        <w:t xml:space="preserve">    Dropout(0.2),</w:t>
      </w:r>
      <w:r>
        <w:rPr>
          <w:rFonts w:eastAsia="Courier New"/>
        </w:rPr>
        <w:br w:type="textWrapping"/>
      </w:r>
      <w:r>
        <w:rPr>
          <w:rFonts w:eastAsia="Courier New"/>
        </w:rPr>
        <w:t xml:space="preserve">    LSTM(64, return_sequences=False),</w:t>
      </w:r>
      <w:r>
        <w:rPr>
          <w:rFonts w:eastAsia="Courier New"/>
        </w:rPr>
        <w:br w:type="textWrapping"/>
      </w:r>
      <w:r>
        <w:rPr>
          <w:rFonts w:eastAsia="Courier New"/>
        </w:rPr>
        <w:t xml:space="preserve">    Dropout(0.2),</w:t>
      </w:r>
      <w:r>
        <w:rPr>
          <w:rFonts w:eastAsia="Courier New"/>
        </w:rPr>
        <w:br w:type="textWrapping"/>
      </w:r>
      <w:r>
        <w:rPr>
          <w:rFonts w:eastAsia="Courier New"/>
        </w:rPr>
        <w:t xml:space="preserve">    Dense(32, activation='relu'),</w:t>
      </w:r>
      <w:r>
        <w:rPr>
          <w:rFonts w:eastAsia="Courier New"/>
        </w:rPr>
        <w:br w:type="textWrapping"/>
      </w:r>
      <w:r>
        <w:rPr>
          <w:rFonts w:eastAsia="Courier New"/>
        </w:rPr>
        <w:t xml:space="preserve">    Dense(1)  # Output: predicted price</w:t>
      </w:r>
      <w:r>
        <w:rPr>
          <w:rFonts w:eastAsia="Courier New"/>
        </w:rPr>
        <w:br w:type="textWrapping"/>
      </w:r>
      <w:r>
        <w:rPr>
          <w:rFonts w:eastAsia="Courier New"/>
        </w:rPr>
        <w:t>])</w:t>
      </w:r>
      <w:r>
        <w:rPr>
          <w:rFonts w:eastAsia="Courier New"/>
        </w:rPr>
        <w:br w:type="textWrapping"/>
      </w:r>
      <w:r>
        <w:rPr>
          <w:rFonts w:eastAsia="Courier New"/>
        </w:rPr>
        <w:t>model.compile(optimizer='adam', loss='mse')</w:t>
      </w:r>
    </w:p>
    <w:p w14:paraId="59C8EE62">
      <w:pPr>
        <w:spacing w:after="100" w:line="360" w:lineRule="auto"/>
      </w:pPr>
    </w:p>
    <w:p w14:paraId="38B7389A">
      <w:pPr>
        <w:spacing w:before="120" w:after="80" w:line="360" w:lineRule="auto"/>
        <w:jc w:val="center"/>
      </w:pPr>
      <w:r>
        <w:rPr>
          <w:b/>
          <w:bCs/>
        </w:rPr>
        <w:t>Table 3.3: LSTM Hyperparameter Configuration</w:t>
      </w:r>
    </w:p>
    <w:tbl>
      <w:tblPr>
        <w:tblStyle w:val="6"/>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120"/>
        <w:gridCol w:w="3120"/>
        <w:gridCol w:w="3120"/>
      </w:tblGrid>
      <w:tr w14:paraId="5B2A06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120" w:type="dxa"/>
            <w:tcBorders>
              <w:top w:val="single" w:color="AAAAAA" w:sz="0" w:space="0"/>
              <w:left w:val="single" w:color="AAAAAA" w:sz="0" w:space="0"/>
              <w:bottom w:val="single" w:color="AAAAAA" w:sz="0" w:space="0"/>
              <w:right w:val="single" w:color="AAAAAA" w:sz="0" w:space="0"/>
            </w:tcBorders>
            <w:shd w:val="clear" w:color="auto" w:fill="D5E8F0"/>
            <w:tcMar>
              <w:top w:w="80" w:type="dxa"/>
              <w:left w:w="120" w:type="dxa"/>
              <w:bottom w:w="80" w:type="dxa"/>
              <w:right w:w="120" w:type="dxa"/>
            </w:tcMar>
          </w:tcPr>
          <w:p w14:paraId="39F96F77">
            <w:pPr>
              <w:spacing w:line="360" w:lineRule="auto"/>
            </w:pPr>
            <w:r>
              <w:rPr>
                <w:b/>
                <w:bCs/>
              </w:rPr>
              <w:t>Hyperparameter</w:t>
            </w:r>
          </w:p>
        </w:tc>
        <w:tc>
          <w:tcPr>
            <w:tcW w:w="3120" w:type="dxa"/>
            <w:tcBorders>
              <w:top w:val="single" w:color="AAAAAA" w:sz="0" w:space="0"/>
              <w:left w:val="single" w:color="AAAAAA" w:sz="0" w:space="0"/>
              <w:bottom w:val="single" w:color="AAAAAA" w:sz="0" w:space="0"/>
              <w:right w:val="single" w:color="AAAAAA" w:sz="0" w:space="0"/>
            </w:tcBorders>
            <w:shd w:val="clear" w:color="auto" w:fill="D5E8F0"/>
            <w:tcMar>
              <w:top w:w="80" w:type="dxa"/>
              <w:left w:w="120" w:type="dxa"/>
              <w:bottom w:w="80" w:type="dxa"/>
              <w:right w:w="120" w:type="dxa"/>
            </w:tcMar>
          </w:tcPr>
          <w:p w14:paraId="17FD5CCB">
            <w:pPr>
              <w:spacing w:line="360" w:lineRule="auto"/>
            </w:pPr>
            <w:r>
              <w:rPr>
                <w:b/>
                <w:bCs/>
              </w:rPr>
              <w:t>Value</w:t>
            </w:r>
          </w:p>
        </w:tc>
        <w:tc>
          <w:tcPr>
            <w:tcW w:w="3120" w:type="dxa"/>
            <w:tcBorders>
              <w:top w:val="single" w:color="AAAAAA" w:sz="0" w:space="0"/>
              <w:left w:val="single" w:color="AAAAAA" w:sz="0" w:space="0"/>
              <w:bottom w:val="single" w:color="AAAAAA" w:sz="0" w:space="0"/>
              <w:right w:val="single" w:color="AAAAAA" w:sz="0" w:space="0"/>
            </w:tcBorders>
            <w:shd w:val="clear" w:color="auto" w:fill="D5E8F0"/>
            <w:tcMar>
              <w:top w:w="80" w:type="dxa"/>
              <w:left w:w="120" w:type="dxa"/>
              <w:bottom w:w="80" w:type="dxa"/>
              <w:right w:w="120" w:type="dxa"/>
            </w:tcMar>
          </w:tcPr>
          <w:p w14:paraId="157E8174">
            <w:pPr>
              <w:spacing w:line="360" w:lineRule="auto"/>
            </w:pPr>
            <w:r>
              <w:rPr>
                <w:b/>
                <w:bCs/>
              </w:rPr>
              <w:t>Justification</w:t>
            </w:r>
          </w:p>
        </w:tc>
      </w:tr>
      <w:tr w14:paraId="1100E7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05AFDBDC">
            <w:pPr>
              <w:spacing w:line="360" w:lineRule="auto"/>
            </w:pPr>
            <w:r>
              <w:t>Time window (sequence length)</w:t>
            </w:r>
          </w:p>
        </w:tc>
        <w:tc>
          <w:tcPr>
            <w:tcW w:w="312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39759D21">
            <w:pPr>
              <w:spacing w:line="360" w:lineRule="auto"/>
            </w:pPr>
            <w:r>
              <w:t>60 days</w:t>
            </w:r>
          </w:p>
        </w:tc>
        <w:tc>
          <w:tcPr>
            <w:tcW w:w="312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6380FACF">
            <w:pPr>
              <w:spacing w:line="360" w:lineRule="auto"/>
            </w:pPr>
            <w:r>
              <w:t>Captures ~3 months of temporal context</w:t>
            </w:r>
          </w:p>
        </w:tc>
      </w:tr>
      <w:tr w14:paraId="27823C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2EC4E9BD">
            <w:pPr>
              <w:spacing w:line="360" w:lineRule="auto"/>
            </w:pPr>
            <w:r>
              <w:t>LSTM units (Layer 1)</w:t>
            </w:r>
          </w:p>
        </w:tc>
        <w:tc>
          <w:tcPr>
            <w:tcW w:w="312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59F9098E">
            <w:pPr>
              <w:spacing w:line="360" w:lineRule="auto"/>
            </w:pPr>
            <w:r>
              <w:t>128</w:t>
            </w:r>
          </w:p>
        </w:tc>
        <w:tc>
          <w:tcPr>
            <w:tcW w:w="312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6FE1AC48">
            <w:pPr>
              <w:spacing w:line="360" w:lineRule="auto"/>
            </w:pPr>
            <w:r>
              <w:t>Sufficient capacity for pattern learning</w:t>
            </w:r>
          </w:p>
        </w:tc>
      </w:tr>
      <w:tr w14:paraId="237CB5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6855B8E1">
            <w:pPr>
              <w:spacing w:line="360" w:lineRule="auto"/>
            </w:pPr>
            <w:r>
              <w:t>LSTM units (Layer 2)</w:t>
            </w:r>
          </w:p>
        </w:tc>
        <w:tc>
          <w:tcPr>
            <w:tcW w:w="312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74B184CE">
            <w:pPr>
              <w:spacing w:line="360" w:lineRule="auto"/>
            </w:pPr>
            <w:r>
              <w:t>64</w:t>
            </w:r>
          </w:p>
        </w:tc>
        <w:tc>
          <w:tcPr>
            <w:tcW w:w="312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551F3CAC">
            <w:pPr>
              <w:spacing w:line="360" w:lineRule="auto"/>
            </w:pPr>
            <w:r>
              <w:t>Progressive dimensionality reduction</w:t>
            </w:r>
          </w:p>
        </w:tc>
      </w:tr>
      <w:tr w14:paraId="5D2F61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17565AB5">
            <w:pPr>
              <w:spacing w:line="360" w:lineRule="auto"/>
            </w:pPr>
            <w:r>
              <w:t>Dropout rate</w:t>
            </w:r>
          </w:p>
        </w:tc>
        <w:tc>
          <w:tcPr>
            <w:tcW w:w="312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357BD1B0">
            <w:pPr>
              <w:spacing w:line="360" w:lineRule="auto"/>
            </w:pPr>
            <w:r>
              <w:t>0.20</w:t>
            </w:r>
          </w:p>
        </w:tc>
        <w:tc>
          <w:tcPr>
            <w:tcW w:w="312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17077310">
            <w:pPr>
              <w:spacing w:line="360" w:lineRule="auto"/>
            </w:pPr>
            <w:r>
              <w:t>Regularisation to reduce overfitting</w:t>
            </w:r>
          </w:p>
        </w:tc>
      </w:tr>
      <w:tr w14:paraId="761D44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2A7678A2">
            <w:pPr>
              <w:spacing w:line="360" w:lineRule="auto"/>
            </w:pPr>
            <w:r>
              <w:t>Dense hidden units</w:t>
            </w:r>
          </w:p>
        </w:tc>
        <w:tc>
          <w:tcPr>
            <w:tcW w:w="312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640013B4">
            <w:pPr>
              <w:spacing w:line="360" w:lineRule="auto"/>
            </w:pPr>
            <w:r>
              <w:t>32</w:t>
            </w:r>
          </w:p>
        </w:tc>
        <w:tc>
          <w:tcPr>
            <w:tcW w:w="312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7A1FB498">
            <w:pPr>
              <w:spacing w:line="360" w:lineRule="auto"/>
            </w:pPr>
            <w:r>
              <w:t>Non-linear transformation of LSTM output</w:t>
            </w:r>
          </w:p>
        </w:tc>
      </w:tr>
      <w:tr w14:paraId="3846F3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40C9685D">
            <w:pPr>
              <w:spacing w:line="360" w:lineRule="auto"/>
            </w:pPr>
            <w:r>
              <w:t>Optimiser</w:t>
            </w:r>
          </w:p>
        </w:tc>
        <w:tc>
          <w:tcPr>
            <w:tcW w:w="312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57F74FC5">
            <w:pPr>
              <w:spacing w:line="360" w:lineRule="auto"/>
            </w:pPr>
            <w:r>
              <w:t>Adam (lr=0.001)</w:t>
            </w:r>
          </w:p>
        </w:tc>
        <w:tc>
          <w:tcPr>
            <w:tcW w:w="312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20A07108">
            <w:pPr>
              <w:spacing w:line="360" w:lineRule="auto"/>
            </w:pPr>
            <w:r>
              <w:t>Adaptive learning rate; widely used for LSTM</w:t>
            </w:r>
          </w:p>
        </w:tc>
      </w:tr>
      <w:tr w14:paraId="5A68CE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2C8ACD61">
            <w:pPr>
              <w:spacing w:line="360" w:lineRule="auto"/>
            </w:pPr>
            <w:r>
              <w:t>Loss function</w:t>
            </w:r>
          </w:p>
        </w:tc>
        <w:tc>
          <w:tcPr>
            <w:tcW w:w="312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21D2E640">
            <w:pPr>
              <w:spacing w:line="360" w:lineRule="auto"/>
            </w:pPr>
            <w:r>
              <w:t>MSE</w:t>
            </w:r>
          </w:p>
        </w:tc>
        <w:tc>
          <w:tcPr>
            <w:tcW w:w="312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20DCB9A1">
            <w:pPr>
              <w:spacing w:line="360" w:lineRule="auto"/>
            </w:pPr>
            <w:r>
              <w:t>Standard regression loss; penalises large errors</w:t>
            </w:r>
          </w:p>
        </w:tc>
      </w:tr>
      <w:tr w14:paraId="22701A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57A8A1F7">
            <w:pPr>
              <w:spacing w:line="360" w:lineRule="auto"/>
            </w:pPr>
            <w:r>
              <w:t>Batch size</w:t>
            </w:r>
          </w:p>
        </w:tc>
        <w:tc>
          <w:tcPr>
            <w:tcW w:w="312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3B9D8A9E">
            <w:pPr>
              <w:spacing w:line="360" w:lineRule="auto"/>
            </w:pPr>
            <w:r>
              <w:t>32</w:t>
            </w:r>
          </w:p>
        </w:tc>
        <w:tc>
          <w:tcPr>
            <w:tcW w:w="312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7F9CCBB3">
            <w:pPr>
              <w:spacing w:line="360" w:lineRule="auto"/>
            </w:pPr>
            <w:r>
              <w:t>Balance between gradient quality and speed</w:t>
            </w:r>
          </w:p>
        </w:tc>
      </w:tr>
      <w:tr w14:paraId="4B975D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38376E11">
            <w:pPr>
              <w:spacing w:line="360" w:lineRule="auto"/>
            </w:pPr>
            <w:r>
              <w:t>Max epochs</w:t>
            </w:r>
          </w:p>
        </w:tc>
        <w:tc>
          <w:tcPr>
            <w:tcW w:w="312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4AA80466">
            <w:pPr>
              <w:spacing w:line="360" w:lineRule="auto"/>
            </w:pPr>
            <w:r>
              <w:t>100</w:t>
            </w:r>
          </w:p>
        </w:tc>
        <w:tc>
          <w:tcPr>
            <w:tcW w:w="312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1B0F50AE">
            <w:pPr>
              <w:spacing w:line="360" w:lineRule="auto"/>
            </w:pPr>
            <w:r>
              <w:t>Capped to prevent overtraining</w:t>
            </w:r>
          </w:p>
        </w:tc>
      </w:tr>
      <w:tr w14:paraId="1D17A3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06239953">
            <w:pPr>
              <w:spacing w:line="360" w:lineRule="auto"/>
            </w:pPr>
            <w:r>
              <w:t>Early stopping patience</w:t>
            </w:r>
          </w:p>
        </w:tc>
        <w:tc>
          <w:tcPr>
            <w:tcW w:w="312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32B7D56B">
            <w:pPr>
              <w:spacing w:line="360" w:lineRule="auto"/>
            </w:pPr>
            <w:r>
              <w:t>15</w:t>
            </w:r>
          </w:p>
        </w:tc>
        <w:tc>
          <w:tcPr>
            <w:tcW w:w="312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1C1467F0">
            <w:pPr>
              <w:spacing w:line="360" w:lineRule="auto"/>
            </w:pPr>
            <w:r>
              <w:t>Halts training when validation loss stagnates</w:t>
            </w:r>
          </w:p>
        </w:tc>
      </w:tr>
    </w:tbl>
    <w:p w14:paraId="6EA8D04B">
      <w:pPr>
        <w:spacing w:after="100" w:line="360" w:lineRule="auto"/>
      </w:pPr>
    </w:p>
    <w:p w14:paraId="1933B0FF">
      <w:pPr>
        <w:pStyle w:val="3"/>
        <w:spacing w:line="360" w:lineRule="auto"/>
        <w:rPr>
          <w:sz w:val="24"/>
          <w:szCs w:val="24"/>
        </w:rPr>
      </w:pPr>
      <w:r>
        <w:rPr>
          <w:sz w:val="24"/>
          <w:szCs w:val="24"/>
        </w:rPr>
        <w:t>3.6 Training and Testing Procedure</w:t>
      </w:r>
    </w:p>
    <w:p w14:paraId="7EA09BA3">
      <w:pPr>
        <w:spacing w:after="160" w:line="360" w:lineRule="auto"/>
        <w:ind w:firstLine="720"/>
        <w:jc w:val="both"/>
      </w:pPr>
      <w:r>
        <w:t>A temporal train-test split was employed, consistent with best practices in financial time series machine learning to prevent look-ahead bias. Unlike cross-validation on independent and identically distributed (i.i.d.) data, financial time series data has an inherent temporal ordering, and models must be evaluated on future data relative to their training window.</w:t>
      </w:r>
    </w:p>
    <w:p w14:paraId="4B19A1EB">
      <w:pPr>
        <w:spacing w:after="160" w:line="360" w:lineRule="auto"/>
        <w:ind w:firstLine="720"/>
        <w:jc w:val="both"/>
      </w:pPr>
      <w:r>
        <w:t>The dataset was split as follows: 80% of the chronologically ordered data was used for training (approximately 960 trading days), and the remaining 20% was used for testing (approximately 240 trading days, corresponding to approximately one year of out-of-sample data). For LSTM, a further 10% of the training data was withheld as a validation set for early stopping.</w:t>
      </w:r>
    </w:p>
    <w:p w14:paraId="42E4BAF0">
      <w:pPr>
        <w:spacing w:before="80" w:after="80" w:line="360" w:lineRule="auto"/>
        <w:jc w:val="center"/>
        <w:rPr>
          <w:i w:val="0"/>
          <w:iCs w:val="0"/>
        </w:rPr>
      </w:pPr>
      <w:r>
        <w:rPr>
          <w:rFonts w:eastAsia="Courier New"/>
          <w:b/>
          <w:bCs/>
          <w:i w:val="0"/>
          <w:iCs w:val="0"/>
        </w:rPr>
        <w:t>Training Set (80%) | Validation Set (10%) | Test Set (20%)</w:t>
      </w:r>
    </w:p>
    <w:p w14:paraId="0969A8B5">
      <w:pPr>
        <w:spacing w:after="160" w:line="360" w:lineRule="auto"/>
        <w:ind w:firstLine="720"/>
        <w:jc w:val="both"/>
      </w:pPr>
      <w:r>
        <w:t>For the ML models (Linear Regression, Random Forest, SVR), 5-fold time series cross-validation was applied on the training set for hyperparameter tuning. Unlike standard k-fold cross-validation, time series cross-validation (using Scikit-learn's TimeSeriesSplit) ensures that each validation fold contains only data that comes after its corresponding training fold, preserving the temporal order.</w:t>
      </w:r>
    </w:p>
    <w:p w14:paraId="2C62137B">
      <w:pPr>
        <w:spacing w:after="160" w:line="360" w:lineRule="auto"/>
        <w:ind w:firstLine="720"/>
        <w:jc w:val="both"/>
      </w:pPr>
      <w:r>
        <w:t>All models were retrained on the full training set using the optimal hyperparameters identified during cross-validation, and final performance metrics were computed on the held-out test set.</w:t>
      </w:r>
    </w:p>
    <w:p w14:paraId="38C9779E">
      <w:pPr>
        <w:spacing w:before="120" w:after="80" w:line="360" w:lineRule="auto"/>
        <w:jc w:val="center"/>
      </w:pPr>
      <w:r>
        <w:rPr>
          <w:b/>
          <w:bCs/>
        </w:rPr>
        <w:t>Table 3.4: Training and Testing Split Summary</w:t>
      </w:r>
    </w:p>
    <w:tbl>
      <w:tblPr>
        <w:tblStyle w:val="6"/>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40"/>
        <w:gridCol w:w="2340"/>
        <w:gridCol w:w="2340"/>
        <w:gridCol w:w="2340"/>
      </w:tblGrid>
      <w:tr w14:paraId="25AC54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rPr>
        <w:tc>
          <w:tcPr>
            <w:tcW w:w="2340" w:type="dxa"/>
            <w:tcBorders>
              <w:top w:val="single" w:color="AAAAAA" w:sz="0" w:space="0"/>
              <w:left w:val="single" w:color="AAAAAA" w:sz="0" w:space="0"/>
              <w:bottom w:val="single" w:color="AAAAAA" w:sz="0" w:space="0"/>
              <w:right w:val="single" w:color="AAAAAA" w:sz="0" w:space="0"/>
            </w:tcBorders>
            <w:shd w:val="clear" w:color="auto" w:fill="D5E8F0"/>
            <w:tcMar>
              <w:top w:w="80" w:type="dxa"/>
              <w:left w:w="120" w:type="dxa"/>
              <w:bottom w:w="80" w:type="dxa"/>
              <w:right w:w="120" w:type="dxa"/>
            </w:tcMar>
          </w:tcPr>
          <w:p w14:paraId="56095354">
            <w:pPr>
              <w:spacing w:line="360" w:lineRule="auto"/>
            </w:pPr>
            <w:r>
              <w:rPr>
                <w:b/>
                <w:bCs/>
              </w:rPr>
              <w:t>Split</w:t>
            </w:r>
          </w:p>
        </w:tc>
        <w:tc>
          <w:tcPr>
            <w:tcW w:w="2340" w:type="dxa"/>
            <w:tcBorders>
              <w:top w:val="single" w:color="AAAAAA" w:sz="0" w:space="0"/>
              <w:left w:val="single" w:color="AAAAAA" w:sz="0" w:space="0"/>
              <w:bottom w:val="single" w:color="AAAAAA" w:sz="0" w:space="0"/>
              <w:right w:val="single" w:color="AAAAAA" w:sz="0" w:space="0"/>
            </w:tcBorders>
            <w:shd w:val="clear" w:color="auto" w:fill="D5E8F0"/>
            <w:tcMar>
              <w:top w:w="80" w:type="dxa"/>
              <w:left w:w="120" w:type="dxa"/>
              <w:bottom w:w="80" w:type="dxa"/>
              <w:right w:w="120" w:type="dxa"/>
            </w:tcMar>
          </w:tcPr>
          <w:p w14:paraId="0B92D289">
            <w:pPr>
              <w:spacing w:line="360" w:lineRule="auto"/>
            </w:pPr>
            <w:r>
              <w:rPr>
                <w:b/>
                <w:bCs/>
              </w:rPr>
              <w:t>Period</w:t>
            </w:r>
          </w:p>
        </w:tc>
        <w:tc>
          <w:tcPr>
            <w:tcW w:w="2340" w:type="dxa"/>
            <w:tcBorders>
              <w:top w:val="single" w:color="AAAAAA" w:sz="0" w:space="0"/>
              <w:left w:val="single" w:color="AAAAAA" w:sz="0" w:space="0"/>
              <w:bottom w:val="single" w:color="AAAAAA" w:sz="0" w:space="0"/>
              <w:right w:val="single" w:color="AAAAAA" w:sz="0" w:space="0"/>
            </w:tcBorders>
            <w:shd w:val="clear" w:color="auto" w:fill="D5E8F0"/>
            <w:tcMar>
              <w:top w:w="80" w:type="dxa"/>
              <w:left w:w="120" w:type="dxa"/>
              <w:bottom w:w="80" w:type="dxa"/>
              <w:right w:w="120" w:type="dxa"/>
            </w:tcMar>
          </w:tcPr>
          <w:p w14:paraId="2E43ABE6">
            <w:pPr>
              <w:spacing w:line="360" w:lineRule="auto"/>
            </w:pPr>
            <w:r>
              <w:rPr>
                <w:b/>
                <w:bCs/>
              </w:rPr>
              <w:t>Approx. Records</w:t>
            </w:r>
          </w:p>
        </w:tc>
        <w:tc>
          <w:tcPr>
            <w:tcW w:w="2340" w:type="dxa"/>
            <w:tcBorders>
              <w:top w:val="single" w:color="AAAAAA" w:sz="0" w:space="0"/>
              <w:left w:val="single" w:color="AAAAAA" w:sz="0" w:space="0"/>
              <w:bottom w:val="single" w:color="AAAAAA" w:sz="0" w:space="0"/>
              <w:right w:val="single" w:color="AAAAAA" w:sz="0" w:space="0"/>
            </w:tcBorders>
            <w:shd w:val="clear" w:color="auto" w:fill="D5E8F0"/>
            <w:tcMar>
              <w:top w:w="80" w:type="dxa"/>
              <w:left w:w="120" w:type="dxa"/>
              <w:bottom w:w="80" w:type="dxa"/>
              <w:right w:w="120" w:type="dxa"/>
            </w:tcMar>
          </w:tcPr>
          <w:p w14:paraId="604E5749">
            <w:pPr>
              <w:spacing w:line="360" w:lineRule="auto"/>
            </w:pPr>
            <w:r>
              <w:rPr>
                <w:b/>
                <w:bCs/>
              </w:rPr>
              <w:t>Purpose</w:t>
            </w:r>
          </w:p>
        </w:tc>
      </w:tr>
      <w:tr w14:paraId="0AD2BD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15D2DA37">
            <w:pPr>
              <w:spacing w:line="360" w:lineRule="auto"/>
            </w:pPr>
            <w:r>
              <w:t>Training (80%)</w:t>
            </w:r>
          </w:p>
        </w:tc>
        <w:tc>
          <w:tcPr>
            <w:tcW w:w="234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4B74502F">
            <w:pPr>
              <w:spacing w:line="360" w:lineRule="auto"/>
            </w:pPr>
            <w:r>
              <w:t>Jan 2019 – Dec 2022</w:t>
            </w:r>
          </w:p>
        </w:tc>
        <w:tc>
          <w:tcPr>
            <w:tcW w:w="234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08B5AE72">
            <w:pPr>
              <w:spacing w:line="360" w:lineRule="auto"/>
            </w:pPr>
            <w:r>
              <w:t>~960 records</w:t>
            </w:r>
          </w:p>
        </w:tc>
        <w:tc>
          <w:tcPr>
            <w:tcW w:w="234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5AB16345">
            <w:pPr>
              <w:spacing w:line="360" w:lineRule="auto"/>
            </w:pPr>
            <w:r>
              <w:t>Model training</w:t>
            </w:r>
          </w:p>
        </w:tc>
      </w:tr>
      <w:tr w14:paraId="4733E3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4871B4AB">
            <w:pPr>
              <w:spacing w:line="360" w:lineRule="auto"/>
            </w:pPr>
            <w:r>
              <w:t>Validation (10%)</w:t>
            </w:r>
          </w:p>
        </w:tc>
        <w:tc>
          <w:tcPr>
            <w:tcW w:w="234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0CCB00E3">
            <w:pPr>
              <w:spacing w:line="360" w:lineRule="auto"/>
            </w:pPr>
            <w:r>
              <w:t>Jan 2023 – Jun 2023</w:t>
            </w:r>
          </w:p>
        </w:tc>
        <w:tc>
          <w:tcPr>
            <w:tcW w:w="234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43F4C203">
            <w:pPr>
              <w:spacing w:line="360" w:lineRule="auto"/>
            </w:pPr>
            <w:r>
              <w:t>~120 records</w:t>
            </w:r>
          </w:p>
        </w:tc>
        <w:tc>
          <w:tcPr>
            <w:tcW w:w="234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12605917">
            <w:pPr>
              <w:spacing w:line="360" w:lineRule="auto"/>
            </w:pPr>
            <w:r>
              <w:t>Early stopping (LSTM)</w:t>
            </w:r>
          </w:p>
        </w:tc>
      </w:tr>
      <w:tr w14:paraId="06C1CA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10367631">
            <w:pPr>
              <w:spacing w:line="360" w:lineRule="auto"/>
            </w:pPr>
            <w:r>
              <w:t>Test (20%)</w:t>
            </w:r>
          </w:p>
        </w:tc>
        <w:tc>
          <w:tcPr>
            <w:tcW w:w="234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0BFAB525">
            <w:pPr>
              <w:spacing w:line="360" w:lineRule="auto"/>
              <w:rPr>
                <w:rFonts w:hint="default"/>
                <w:lang w:val="en-US"/>
              </w:rPr>
            </w:pPr>
            <w:r>
              <w:t>Jul 2023 – Dec 202</w:t>
            </w:r>
            <w:r>
              <w:rPr>
                <w:rFonts w:hint="default"/>
                <w:lang w:val="en-US"/>
              </w:rPr>
              <w:t>5</w:t>
            </w:r>
          </w:p>
        </w:tc>
        <w:tc>
          <w:tcPr>
            <w:tcW w:w="234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62E382F7">
            <w:pPr>
              <w:spacing w:line="360" w:lineRule="auto"/>
            </w:pPr>
            <w:r>
              <w:t>~240 records</w:t>
            </w:r>
          </w:p>
        </w:tc>
        <w:tc>
          <w:tcPr>
            <w:tcW w:w="234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0249E8E8">
            <w:pPr>
              <w:spacing w:line="360" w:lineRule="auto"/>
            </w:pPr>
            <w:r>
              <w:t>Final evaluation</w:t>
            </w:r>
          </w:p>
        </w:tc>
      </w:tr>
    </w:tbl>
    <w:p w14:paraId="1F3A9FF6">
      <w:pPr>
        <w:spacing w:after="100" w:line="360" w:lineRule="auto"/>
      </w:pPr>
    </w:p>
    <w:p w14:paraId="24AFE6F0">
      <w:pPr>
        <w:pStyle w:val="3"/>
        <w:spacing w:line="360" w:lineRule="auto"/>
        <w:rPr>
          <w:sz w:val="24"/>
          <w:szCs w:val="24"/>
        </w:rPr>
      </w:pPr>
      <w:r>
        <w:rPr>
          <w:sz w:val="24"/>
          <w:szCs w:val="24"/>
        </w:rPr>
        <w:t>3.7 Performance Evaluation Metrics</w:t>
      </w:r>
    </w:p>
    <w:p w14:paraId="003257BB">
      <w:pPr>
        <w:spacing w:after="160" w:line="360" w:lineRule="auto"/>
        <w:ind w:firstLine="720"/>
        <w:jc w:val="both"/>
      </w:pPr>
      <w:r>
        <w:t>Model performance was evaluated using four standard quantitative metrics applied to the inverse-transformed (original scale) predictions and actual values on the test set:</w:t>
      </w:r>
    </w:p>
    <w:p w14:paraId="0DC8D2B8">
      <w:pPr>
        <w:spacing w:after="160" w:line="360" w:lineRule="auto"/>
        <w:ind w:firstLine="720"/>
        <w:jc w:val="both"/>
      </w:pPr>
      <w:r>
        <w:t>Mean Absolute Error (MAE) measures the average absolute deviation of predicted prices from actual prices, expressed in USD:</w:t>
      </w:r>
    </w:p>
    <w:p w14:paraId="1905727F">
      <w:pPr>
        <w:spacing w:before="80" w:after="80" w:line="360" w:lineRule="auto"/>
        <w:jc w:val="center"/>
      </w:pPr>
      <w:r>
        <w:rPr>
          <w:rFonts w:eastAsia="Courier New"/>
          <w:i/>
          <w:iCs/>
        </w:rPr>
        <w:t>MAE = (1/n) * Sum|y_i - y_hat_i|</w:t>
      </w:r>
    </w:p>
    <w:p w14:paraId="5A0BEAA1">
      <w:pPr>
        <w:spacing w:after="160" w:line="360" w:lineRule="auto"/>
        <w:ind w:firstLine="720"/>
        <w:jc w:val="both"/>
      </w:pPr>
      <w:r>
        <w:t>Mean Squared Error (MSE) penalises large prediction errors by squaring the residuals:</w:t>
      </w:r>
    </w:p>
    <w:p w14:paraId="580A64F8">
      <w:pPr>
        <w:spacing w:before="80" w:after="80" w:line="360" w:lineRule="auto"/>
        <w:jc w:val="center"/>
      </w:pPr>
      <w:r>
        <w:rPr>
          <w:rFonts w:eastAsia="Courier New"/>
          <w:i/>
          <w:iCs/>
        </w:rPr>
        <w:t>MSE = (1/n) * Sum(y_i - y_hat_i)^2</w:t>
      </w:r>
    </w:p>
    <w:p w14:paraId="2B7518ED">
      <w:pPr>
        <w:spacing w:after="160" w:line="360" w:lineRule="auto"/>
        <w:ind w:firstLine="720"/>
        <w:jc w:val="both"/>
      </w:pPr>
      <w:r>
        <w:t>Root Mean Squared Error (RMSE) restores the metric to the original price units:</w:t>
      </w:r>
    </w:p>
    <w:p w14:paraId="028ACBDC">
      <w:pPr>
        <w:spacing w:before="80" w:after="80" w:line="360" w:lineRule="auto"/>
        <w:jc w:val="center"/>
      </w:pPr>
      <w:r>
        <w:rPr>
          <w:rFonts w:eastAsia="Courier New"/>
          <w:i/>
          <w:iCs/>
        </w:rPr>
        <w:t>RMSE = sqrt[(1/n) * Sum(y_i - y_hat_i)^2]</w:t>
      </w:r>
    </w:p>
    <w:p w14:paraId="718C34DF">
      <w:pPr>
        <w:spacing w:after="160" w:line="360" w:lineRule="auto"/>
        <w:ind w:firstLine="720"/>
        <w:jc w:val="both"/>
      </w:pPr>
      <w:r>
        <w:t>R-Squared (R²) measures the proportion of variance in actual prices explained by the model:</w:t>
      </w:r>
    </w:p>
    <w:p w14:paraId="5CC09500">
      <w:pPr>
        <w:spacing w:before="80" w:after="80" w:line="360" w:lineRule="auto"/>
        <w:jc w:val="center"/>
      </w:pPr>
      <w:r>
        <w:rPr>
          <w:rFonts w:eastAsia="Courier New"/>
          <w:i/>
          <w:iCs/>
        </w:rPr>
        <w:t>R^2 = 1 - SSres/SStot = 1 - Sum(y_i - y_hat_i)^2 / Sum(y_i - y_mean)^2</w:t>
      </w:r>
    </w:p>
    <w:p w14:paraId="7E712FB5">
      <w:pPr>
        <w:spacing w:after="160" w:line="360" w:lineRule="auto"/>
        <w:ind w:firstLine="720"/>
        <w:jc w:val="both"/>
      </w:pPr>
      <w:r>
        <w:t>Additionally, directional accuracy (DA) was computed to measure the proportion of time steps for which the model correctly predicted the direction of price movement (up or down):</w:t>
      </w:r>
    </w:p>
    <w:p w14:paraId="5EA89B07">
      <w:pPr>
        <w:spacing w:before="80" w:after="80" w:line="360" w:lineRule="auto"/>
        <w:jc w:val="center"/>
      </w:pPr>
      <w:r>
        <w:rPr>
          <w:rFonts w:eastAsia="Courier New"/>
          <w:i/>
          <w:iCs/>
        </w:rPr>
        <w:t>DA = (1/n) * Sum(1 if sign(y_hat_i+1 - y_hat_i) == sign(y_i+1 - y_i))</w:t>
      </w:r>
    </w:p>
    <w:p w14:paraId="55BF4504">
      <w:pPr>
        <w:spacing w:after="160" w:line="360" w:lineRule="auto"/>
        <w:ind w:firstLine="720"/>
        <w:jc w:val="both"/>
      </w:pPr>
      <w:r>
        <w:t>A comparative performance matrix was constructed to present all metrics across all four models for each of the five evaluated stock tickers, enabling systematic ranking of model performance.</w:t>
      </w:r>
    </w:p>
    <w:p w14:paraId="6CFE7C98">
      <w:pPr>
        <w:spacing w:after="100" w:line="360" w:lineRule="auto"/>
      </w:pPr>
    </w:p>
    <w:p w14:paraId="4FE5F4AE">
      <w:pPr>
        <w:spacing w:before="120" w:after="80" w:line="360" w:lineRule="auto"/>
        <w:jc w:val="center"/>
      </w:pPr>
      <w:r>
        <w:rPr>
          <w:b/>
          <w:bCs/>
        </w:rPr>
        <w:t>Table 3.5: Evaluation Metrics Comparison Matrix (Template)</w:t>
      </w:r>
    </w:p>
    <w:tbl>
      <w:tblPr>
        <w:tblStyle w:val="6"/>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160"/>
        <w:gridCol w:w="1800"/>
        <w:gridCol w:w="1800"/>
        <w:gridCol w:w="1800"/>
        <w:gridCol w:w="1800"/>
      </w:tblGrid>
      <w:tr w14:paraId="65CEC9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800" w:type="dxa"/>
            <w:tcBorders>
              <w:top w:val="single" w:color="AAAAAA" w:sz="0" w:space="0"/>
              <w:left w:val="single" w:color="AAAAAA" w:sz="0" w:space="0"/>
              <w:bottom w:val="single" w:color="AAAAAA" w:sz="0" w:space="0"/>
              <w:right w:val="single" w:color="AAAAAA" w:sz="0" w:space="0"/>
            </w:tcBorders>
            <w:shd w:val="clear" w:color="auto" w:fill="D5E8F0"/>
            <w:tcMar>
              <w:top w:w="80" w:type="dxa"/>
              <w:left w:w="120" w:type="dxa"/>
              <w:bottom w:w="80" w:type="dxa"/>
              <w:right w:w="120" w:type="dxa"/>
            </w:tcMar>
          </w:tcPr>
          <w:p w14:paraId="76DA0A84">
            <w:pPr>
              <w:spacing w:line="360" w:lineRule="auto"/>
            </w:pPr>
            <w:r>
              <w:rPr>
                <w:b/>
                <w:bCs/>
              </w:rPr>
              <w:t>Model</w:t>
            </w:r>
          </w:p>
        </w:tc>
        <w:tc>
          <w:tcPr>
            <w:tcW w:w="1800" w:type="dxa"/>
            <w:tcBorders>
              <w:top w:val="single" w:color="AAAAAA" w:sz="0" w:space="0"/>
              <w:left w:val="single" w:color="AAAAAA" w:sz="0" w:space="0"/>
              <w:bottom w:val="single" w:color="AAAAAA" w:sz="0" w:space="0"/>
              <w:right w:val="single" w:color="AAAAAA" w:sz="0" w:space="0"/>
            </w:tcBorders>
            <w:shd w:val="clear" w:color="auto" w:fill="D5E8F0"/>
            <w:tcMar>
              <w:top w:w="80" w:type="dxa"/>
              <w:left w:w="120" w:type="dxa"/>
              <w:bottom w:w="80" w:type="dxa"/>
              <w:right w:w="120" w:type="dxa"/>
            </w:tcMar>
          </w:tcPr>
          <w:p w14:paraId="7FC24186">
            <w:pPr>
              <w:spacing w:line="360" w:lineRule="auto"/>
            </w:pPr>
            <w:r>
              <w:rPr>
                <w:b/>
                <w:bCs/>
              </w:rPr>
              <w:t>MAE (USD)</w:t>
            </w:r>
          </w:p>
        </w:tc>
        <w:tc>
          <w:tcPr>
            <w:tcW w:w="1800" w:type="dxa"/>
            <w:tcBorders>
              <w:top w:val="single" w:color="AAAAAA" w:sz="0" w:space="0"/>
              <w:left w:val="single" w:color="AAAAAA" w:sz="0" w:space="0"/>
              <w:bottom w:val="single" w:color="AAAAAA" w:sz="0" w:space="0"/>
              <w:right w:val="single" w:color="AAAAAA" w:sz="0" w:space="0"/>
            </w:tcBorders>
            <w:shd w:val="clear" w:color="auto" w:fill="D5E8F0"/>
            <w:tcMar>
              <w:top w:w="80" w:type="dxa"/>
              <w:left w:w="120" w:type="dxa"/>
              <w:bottom w:w="80" w:type="dxa"/>
              <w:right w:w="120" w:type="dxa"/>
            </w:tcMar>
          </w:tcPr>
          <w:p w14:paraId="60BDE274">
            <w:pPr>
              <w:spacing w:line="360" w:lineRule="auto"/>
            </w:pPr>
            <w:r>
              <w:rPr>
                <w:b/>
                <w:bCs/>
              </w:rPr>
              <w:t>MSE (USD²)</w:t>
            </w:r>
          </w:p>
        </w:tc>
        <w:tc>
          <w:tcPr>
            <w:tcW w:w="1800" w:type="dxa"/>
            <w:tcBorders>
              <w:top w:val="single" w:color="AAAAAA" w:sz="0" w:space="0"/>
              <w:left w:val="single" w:color="AAAAAA" w:sz="0" w:space="0"/>
              <w:bottom w:val="single" w:color="AAAAAA" w:sz="0" w:space="0"/>
              <w:right w:val="single" w:color="AAAAAA" w:sz="0" w:space="0"/>
            </w:tcBorders>
            <w:shd w:val="clear" w:color="auto" w:fill="D5E8F0"/>
            <w:tcMar>
              <w:top w:w="80" w:type="dxa"/>
              <w:left w:w="120" w:type="dxa"/>
              <w:bottom w:w="80" w:type="dxa"/>
              <w:right w:w="120" w:type="dxa"/>
            </w:tcMar>
          </w:tcPr>
          <w:p w14:paraId="7397DA35">
            <w:pPr>
              <w:spacing w:line="360" w:lineRule="auto"/>
            </w:pPr>
            <w:r>
              <w:rPr>
                <w:b/>
                <w:bCs/>
              </w:rPr>
              <w:t>RMSE (USD)</w:t>
            </w:r>
          </w:p>
        </w:tc>
        <w:tc>
          <w:tcPr>
            <w:tcW w:w="1800" w:type="dxa"/>
            <w:tcBorders>
              <w:top w:val="single" w:color="AAAAAA" w:sz="0" w:space="0"/>
              <w:left w:val="single" w:color="AAAAAA" w:sz="0" w:space="0"/>
              <w:bottom w:val="single" w:color="AAAAAA" w:sz="0" w:space="0"/>
              <w:right w:val="single" w:color="AAAAAA" w:sz="0" w:space="0"/>
            </w:tcBorders>
            <w:shd w:val="clear" w:color="auto" w:fill="D5E8F0"/>
            <w:tcMar>
              <w:top w:w="80" w:type="dxa"/>
              <w:left w:w="120" w:type="dxa"/>
              <w:bottom w:w="80" w:type="dxa"/>
              <w:right w:w="120" w:type="dxa"/>
            </w:tcMar>
          </w:tcPr>
          <w:p w14:paraId="0EFB34F2">
            <w:pPr>
              <w:spacing w:line="360" w:lineRule="auto"/>
            </w:pPr>
            <w:r>
              <w:rPr>
                <w:b/>
                <w:bCs/>
              </w:rPr>
              <w:t>R² Score</w:t>
            </w:r>
          </w:p>
        </w:tc>
      </w:tr>
      <w:tr w14:paraId="49466F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19CE329F">
            <w:pPr>
              <w:spacing w:line="360" w:lineRule="auto"/>
            </w:pPr>
            <w:r>
              <w:t>Linear Regression</w:t>
            </w:r>
          </w:p>
        </w:tc>
        <w:tc>
          <w:tcPr>
            <w:tcW w:w="18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4818FBBE">
            <w:pPr>
              <w:spacing w:line="360" w:lineRule="auto"/>
            </w:pPr>
            <w:r>
              <w:t>–</w:t>
            </w:r>
          </w:p>
        </w:tc>
        <w:tc>
          <w:tcPr>
            <w:tcW w:w="18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390B83C5">
            <w:pPr>
              <w:spacing w:line="360" w:lineRule="auto"/>
            </w:pPr>
            <w:r>
              <w:t>–</w:t>
            </w:r>
          </w:p>
        </w:tc>
        <w:tc>
          <w:tcPr>
            <w:tcW w:w="18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15D15309">
            <w:pPr>
              <w:spacing w:line="360" w:lineRule="auto"/>
            </w:pPr>
            <w:r>
              <w:t>–</w:t>
            </w:r>
          </w:p>
        </w:tc>
        <w:tc>
          <w:tcPr>
            <w:tcW w:w="18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78061E72">
            <w:pPr>
              <w:spacing w:line="360" w:lineRule="auto"/>
            </w:pPr>
            <w:r>
              <w:t>–</w:t>
            </w:r>
          </w:p>
        </w:tc>
      </w:tr>
      <w:tr w14:paraId="7E6AA9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15BC9F06">
            <w:pPr>
              <w:spacing w:line="360" w:lineRule="auto"/>
            </w:pPr>
            <w:r>
              <w:t>Random Forest</w:t>
            </w:r>
          </w:p>
        </w:tc>
        <w:tc>
          <w:tcPr>
            <w:tcW w:w="18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0508219E">
            <w:pPr>
              <w:spacing w:line="360" w:lineRule="auto"/>
            </w:pPr>
            <w:r>
              <w:t>–</w:t>
            </w:r>
          </w:p>
        </w:tc>
        <w:tc>
          <w:tcPr>
            <w:tcW w:w="18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283BD740">
            <w:pPr>
              <w:spacing w:line="360" w:lineRule="auto"/>
            </w:pPr>
            <w:r>
              <w:t>–</w:t>
            </w:r>
          </w:p>
        </w:tc>
        <w:tc>
          <w:tcPr>
            <w:tcW w:w="18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0E85A749">
            <w:pPr>
              <w:spacing w:line="360" w:lineRule="auto"/>
            </w:pPr>
            <w:r>
              <w:t>–</w:t>
            </w:r>
          </w:p>
        </w:tc>
        <w:tc>
          <w:tcPr>
            <w:tcW w:w="18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3EA56B0D">
            <w:pPr>
              <w:spacing w:line="360" w:lineRule="auto"/>
            </w:pPr>
            <w:r>
              <w:t>–</w:t>
            </w:r>
          </w:p>
        </w:tc>
      </w:tr>
      <w:tr w14:paraId="0458F4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05F194D0">
            <w:pPr>
              <w:spacing w:line="360" w:lineRule="auto"/>
            </w:pPr>
            <w:r>
              <w:t>SVR (RBF Kernel)</w:t>
            </w:r>
          </w:p>
        </w:tc>
        <w:tc>
          <w:tcPr>
            <w:tcW w:w="18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3808C950">
            <w:pPr>
              <w:spacing w:line="360" w:lineRule="auto"/>
            </w:pPr>
            <w:r>
              <w:t>–</w:t>
            </w:r>
          </w:p>
        </w:tc>
        <w:tc>
          <w:tcPr>
            <w:tcW w:w="18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7F7464DD">
            <w:pPr>
              <w:spacing w:line="360" w:lineRule="auto"/>
            </w:pPr>
            <w:r>
              <w:t>–</w:t>
            </w:r>
          </w:p>
        </w:tc>
        <w:tc>
          <w:tcPr>
            <w:tcW w:w="18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287FEDAE">
            <w:pPr>
              <w:spacing w:line="360" w:lineRule="auto"/>
            </w:pPr>
            <w:r>
              <w:t>–</w:t>
            </w:r>
          </w:p>
        </w:tc>
        <w:tc>
          <w:tcPr>
            <w:tcW w:w="18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26569C4A">
            <w:pPr>
              <w:spacing w:line="360" w:lineRule="auto"/>
            </w:pPr>
            <w:r>
              <w:t>–</w:t>
            </w:r>
          </w:p>
        </w:tc>
      </w:tr>
      <w:tr w14:paraId="42DB68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1C634342">
            <w:pPr>
              <w:spacing w:line="360" w:lineRule="auto"/>
            </w:pPr>
            <w:r>
              <w:t>LSTM (2-Layer)</w:t>
            </w:r>
          </w:p>
        </w:tc>
        <w:tc>
          <w:tcPr>
            <w:tcW w:w="18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7AD2A6F7">
            <w:pPr>
              <w:spacing w:line="360" w:lineRule="auto"/>
            </w:pPr>
            <w:r>
              <w:t>–</w:t>
            </w:r>
          </w:p>
        </w:tc>
        <w:tc>
          <w:tcPr>
            <w:tcW w:w="18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5D0721A9">
            <w:pPr>
              <w:spacing w:line="360" w:lineRule="auto"/>
            </w:pPr>
            <w:r>
              <w:t>–</w:t>
            </w:r>
          </w:p>
        </w:tc>
        <w:tc>
          <w:tcPr>
            <w:tcW w:w="18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04AFCAD7">
            <w:pPr>
              <w:spacing w:line="360" w:lineRule="auto"/>
            </w:pPr>
            <w:r>
              <w:t>–</w:t>
            </w:r>
          </w:p>
        </w:tc>
        <w:tc>
          <w:tcPr>
            <w:tcW w:w="18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5CA04BA9">
            <w:pPr>
              <w:spacing w:line="360" w:lineRule="auto"/>
            </w:pPr>
            <w:r>
              <w:t>–</w:t>
            </w:r>
          </w:p>
        </w:tc>
      </w:tr>
    </w:tbl>
    <w:p w14:paraId="422676DE">
      <w:pPr>
        <w:spacing w:before="60" w:after="160" w:line="360" w:lineRule="auto"/>
        <w:jc w:val="center"/>
      </w:pPr>
      <w:r>
        <w:rPr>
          <w:i/>
          <w:iCs/>
        </w:rPr>
        <w:t>Note: Values to be populated upon experimental completion. '–' denotes pending results.</w:t>
      </w:r>
    </w:p>
    <w:p w14:paraId="12A88A12">
      <w:pPr>
        <w:pStyle w:val="3"/>
        <w:spacing w:line="360" w:lineRule="auto"/>
        <w:rPr>
          <w:sz w:val="24"/>
          <w:szCs w:val="24"/>
        </w:rPr>
      </w:pPr>
      <w:r>
        <w:rPr>
          <w:sz w:val="24"/>
          <w:szCs w:val="24"/>
        </w:rPr>
        <w:t>3.8 System Implementation Tools</w:t>
      </w:r>
    </w:p>
    <w:p w14:paraId="5BAA81FE">
      <w:pPr>
        <w:spacing w:after="160" w:line="360" w:lineRule="auto"/>
        <w:ind w:firstLine="720"/>
        <w:jc w:val="both"/>
      </w:pPr>
      <w:r>
        <w:t>The entire framework was implemented using Python 3.10, an industry-standard language for data science and machine learning applications. The following libraries and tools were employed:</w:t>
      </w:r>
    </w:p>
    <w:p w14:paraId="1EB9FD49">
      <w:pPr>
        <w:spacing w:after="100" w:line="360" w:lineRule="auto"/>
      </w:pPr>
    </w:p>
    <w:p w14:paraId="74E76901">
      <w:pPr>
        <w:spacing w:before="120" w:after="80" w:line="360" w:lineRule="auto"/>
        <w:jc w:val="center"/>
        <w:rPr>
          <w:b/>
          <w:bCs/>
        </w:rPr>
      </w:pPr>
    </w:p>
    <w:p w14:paraId="0874C300">
      <w:pPr>
        <w:spacing w:before="120" w:after="80" w:line="360" w:lineRule="auto"/>
        <w:jc w:val="center"/>
      </w:pPr>
      <w:r>
        <w:rPr>
          <w:b/>
          <w:bCs/>
        </w:rPr>
        <w:t>Table 3.6: System Implementation Tools and Libraries</w:t>
      </w:r>
    </w:p>
    <w:tbl>
      <w:tblPr>
        <w:tblStyle w:val="6"/>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43"/>
        <w:gridCol w:w="1088"/>
        <w:gridCol w:w="3138"/>
        <w:gridCol w:w="2791"/>
      </w:tblGrid>
      <w:tr w14:paraId="7A51E9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0" w:type="auto"/>
            <w:tcBorders>
              <w:top w:val="single" w:color="AAAAAA" w:sz="0" w:space="0"/>
              <w:left w:val="single" w:color="AAAAAA" w:sz="0" w:space="0"/>
              <w:bottom w:val="single" w:color="AAAAAA" w:sz="0" w:space="0"/>
              <w:right w:val="single" w:color="AAAAAA" w:sz="0" w:space="0"/>
            </w:tcBorders>
            <w:shd w:val="clear" w:color="auto" w:fill="D5E8F0"/>
            <w:tcMar>
              <w:top w:w="80" w:type="dxa"/>
              <w:left w:w="120" w:type="dxa"/>
              <w:bottom w:w="80" w:type="dxa"/>
              <w:right w:w="120" w:type="dxa"/>
            </w:tcMar>
          </w:tcPr>
          <w:p w14:paraId="295F827F">
            <w:pPr>
              <w:spacing w:line="360" w:lineRule="auto"/>
            </w:pPr>
            <w:r>
              <w:rPr>
                <w:b/>
                <w:bCs/>
              </w:rPr>
              <w:t>Tool/Library</w:t>
            </w:r>
          </w:p>
        </w:tc>
        <w:tc>
          <w:tcPr>
            <w:tcW w:w="0" w:type="auto"/>
            <w:tcBorders>
              <w:top w:val="single" w:color="AAAAAA" w:sz="0" w:space="0"/>
              <w:left w:val="single" w:color="AAAAAA" w:sz="0" w:space="0"/>
              <w:bottom w:val="single" w:color="AAAAAA" w:sz="0" w:space="0"/>
              <w:right w:val="single" w:color="AAAAAA" w:sz="0" w:space="0"/>
            </w:tcBorders>
            <w:shd w:val="clear" w:color="auto" w:fill="D5E8F0"/>
            <w:tcMar>
              <w:top w:w="80" w:type="dxa"/>
              <w:left w:w="120" w:type="dxa"/>
              <w:bottom w:w="80" w:type="dxa"/>
              <w:right w:w="120" w:type="dxa"/>
            </w:tcMar>
          </w:tcPr>
          <w:p w14:paraId="433F101E">
            <w:pPr>
              <w:spacing w:line="360" w:lineRule="auto"/>
            </w:pPr>
            <w:r>
              <w:rPr>
                <w:b/>
                <w:bCs/>
              </w:rPr>
              <w:t>Version</w:t>
            </w:r>
          </w:p>
        </w:tc>
        <w:tc>
          <w:tcPr>
            <w:tcW w:w="0" w:type="auto"/>
            <w:tcBorders>
              <w:top w:val="single" w:color="AAAAAA" w:sz="0" w:space="0"/>
              <w:left w:val="single" w:color="AAAAAA" w:sz="0" w:space="0"/>
              <w:bottom w:val="single" w:color="AAAAAA" w:sz="0" w:space="0"/>
              <w:right w:val="single" w:color="AAAAAA" w:sz="0" w:space="0"/>
            </w:tcBorders>
            <w:shd w:val="clear" w:color="auto" w:fill="D5E8F0"/>
            <w:tcMar>
              <w:top w:w="80" w:type="dxa"/>
              <w:left w:w="120" w:type="dxa"/>
              <w:bottom w:w="80" w:type="dxa"/>
              <w:right w:w="120" w:type="dxa"/>
            </w:tcMar>
          </w:tcPr>
          <w:p w14:paraId="73C1DFB0">
            <w:pPr>
              <w:spacing w:line="360" w:lineRule="auto"/>
            </w:pPr>
            <w:r>
              <w:rPr>
                <w:b/>
                <w:bCs/>
              </w:rPr>
              <w:t>Purpose</w:t>
            </w:r>
          </w:p>
        </w:tc>
        <w:tc>
          <w:tcPr>
            <w:tcW w:w="0" w:type="auto"/>
            <w:tcBorders>
              <w:top w:val="single" w:color="AAAAAA" w:sz="0" w:space="0"/>
              <w:left w:val="single" w:color="AAAAAA" w:sz="0" w:space="0"/>
              <w:bottom w:val="single" w:color="AAAAAA" w:sz="0" w:space="0"/>
              <w:right w:val="single" w:color="AAAAAA" w:sz="0" w:space="0"/>
            </w:tcBorders>
            <w:shd w:val="clear" w:color="auto" w:fill="D5E8F0"/>
            <w:tcMar>
              <w:top w:w="80" w:type="dxa"/>
              <w:left w:w="120" w:type="dxa"/>
              <w:bottom w:w="80" w:type="dxa"/>
              <w:right w:w="120" w:type="dxa"/>
            </w:tcMar>
          </w:tcPr>
          <w:p w14:paraId="7E4CA5D8">
            <w:pPr>
              <w:spacing w:line="360" w:lineRule="auto"/>
            </w:pPr>
            <w:r>
              <w:rPr>
                <w:b/>
                <w:bCs/>
              </w:rPr>
              <w:t>Role in Framework</w:t>
            </w:r>
          </w:p>
        </w:tc>
      </w:tr>
      <w:tr w14:paraId="4CDED0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0" w:type="auto"/>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791686C2">
            <w:pPr>
              <w:spacing w:line="360" w:lineRule="auto"/>
            </w:pPr>
            <w:r>
              <w:t>Python</w:t>
            </w:r>
          </w:p>
        </w:tc>
        <w:tc>
          <w:tcPr>
            <w:tcW w:w="0" w:type="auto"/>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0D257946">
            <w:pPr>
              <w:spacing w:line="360" w:lineRule="auto"/>
            </w:pPr>
            <w:r>
              <w:t>3.10</w:t>
            </w:r>
          </w:p>
        </w:tc>
        <w:tc>
          <w:tcPr>
            <w:tcW w:w="0" w:type="auto"/>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4FDA45F4">
            <w:pPr>
              <w:spacing w:line="360" w:lineRule="auto"/>
            </w:pPr>
            <w:r>
              <w:t>Core programming language</w:t>
            </w:r>
          </w:p>
        </w:tc>
        <w:tc>
          <w:tcPr>
            <w:tcW w:w="0" w:type="auto"/>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024F1003">
            <w:pPr>
              <w:spacing w:line="360" w:lineRule="auto"/>
            </w:pPr>
            <w:r>
              <w:t>All modules</w:t>
            </w:r>
          </w:p>
        </w:tc>
      </w:tr>
      <w:tr w14:paraId="565CC6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0" w:type="auto"/>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6FBAC98E">
            <w:pPr>
              <w:spacing w:line="360" w:lineRule="auto"/>
            </w:pPr>
            <w:r>
              <w:t>yfinance</w:t>
            </w:r>
          </w:p>
        </w:tc>
        <w:tc>
          <w:tcPr>
            <w:tcW w:w="0" w:type="auto"/>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17ED63D5">
            <w:pPr>
              <w:spacing w:line="360" w:lineRule="auto"/>
            </w:pPr>
            <w:r>
              <w:t>0.2.x</w:t>
            </w:r>
          </w:p>
        </w:tc>
        <w:tc>
          <w:tcPr>
            <w:tcW w:w="0" w:type="auto"/>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3AE36EB2">
            <w:pPr>
              <w:spacing w:line="360" w:lineRule="auto"/>
            </w:pPr>
            <w:r>
              <w:t>Yahoo Finance API access</w:t>
            </w:r>
          </w:p>
        </w:tc>
        <w:tc>
          <w:tcPr>
            <w:tcW w:w="0" w:type="auto"/>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0EE89190">
            <w:pPr>
              <w:spacing w:line="360" w:lineRule="auto"/>
            </w:pPr>
            <w:r>
              <w:t>Data Acquisition</w:t>
            </w:r>
          </w:p>
        </w:tc>
      </w:tr>
      <w:tr w14:paraId="43201F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0" w:type="auto"/>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71781152">
            <w:pPr>
              <w:spacing w:line="360" w:lineRule="auto"/>
            </w:pPr>
            <w:r>
              <w:t>Pandas</w:t>
            </w:r>
          </w:p>
        </w:tc>
        <w:tc>
          <w:tcPr>
            <w:tcW w:w="0" w:type="auto"/>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76AE0ED6">
            <w:pPr>
              <w:spacing w:line="360" w:lineRule="auto"/>
            </w:pPr>
            <w:r>
              <w:t>2.x</w:t>
            </w:r>
          </w:p>
        </w:tc>
        <w:tc>
          <w:tcPr>
            <w:tcW w:w="0" w:type="auto"/>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548F0441">
            <w:pPr>
              <w:spacing w:line="360" w:lineRule="auto"/>
            </w:pPr>
            <w:r>
              <w:t>Data manipulation/analysis</w:t>
            </w:r>
          </w:p>
        </w:tc>
        <w:tc>
          <w:tcPr>
            <w:tcW w:w="0" w:type="auto"/>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47E75E2F">
            <w:pPr>
              <w:spacing w:line="360" w:lineRule="auto"/>
            </w:pPr>
            <w:r>
              <w:t>Preprocessing</w:t>
            </w:r>
          </w:p>
        </w:tc>
      </w:tr>
      <w:tr w14:paraId="553210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0" w:type="auto"/>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231FF089">
            <w:pPr>
              <w:spacing w:line="360" w:lineRule="auto"/>
            </w:pPr>
            <w:r>
              <w:t>NumPy</w:t>
            </w:r>
          </w:p>
        </w:tc>
        <w:tc>
          <w:tcPr>
            <w:tcW w:w="0" w:type="auto"/>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61A2F591">
            <w:pPr>
              <w:spacing w:line="360" w:lineRule="auto"/>
            </w:pPr>
            <w:r>
              <w:t>1.26.x</w:t>
            </w:r>
          </w:p>
        </w:tc>
        <w:tc>
          <w:tcPr>
            <w:tcW w:w="0" w:type="auto"/>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0BFD476D">
            <w:pPr>
              <w:spacing w:line="360" w:lineRule="auto"/>
            </w:pPr>
            <w:r>
              <w:t>Numerical computing</w:t>
            </w:r>
          </w:p>
        </w:tc>
        <w:tc>
          <w:tcPr>
            <w:tcW w:w="0" w:type="auto"/>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6A669E30">
            <w:pPr>
              <w:spacing w:line="360" w:lineRule="auto"/>
            </w:pPr>
            <w:r>
              <w:t>Array operations</w:t>
            </w:r>
          </w:p>
        </w:tc>
      </w:tr>
      <w:tr w14:paraId="2D9381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0" w:type="auto"/>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7AB99CEE">
            <w:pPr>
              <w:spacing w:line="360" w:lineRule="auto"/>
            </w:pPr>
            <w:r>
              <w:t>Scikit-learn</w:t>
            </w:r>
          </w:p>
        </w:tc>
        <w:tc>
          <w:tcPr>
            <w:tcW w:w="0" w:type="auto"/>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109B3233">
            <w:pPr>
              <w:spacing w:line="360" w:lineRule="auto"/>
            </w:pPr>
            <w:r>
              <w:t>1.3.x</w:t>
            </w:r>
          </w:p>
        </w:tc>
        <w:tc>
          <w:tcPr>
            <w:tcW w:w="0" w:type="auto"/>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5FD47934">
            <w:pPr>
              <w:spacing w:line="360" w:lineRule="auto"/>
            </w:pPr>
            <w:r>
              <w:t>ML algorithms &amp; metrics</w:t>
            </w:r>
          </w:p>
        </w:tc>
        <w:tc>
          <w:tcPr>
            <w:tcW w:w="0" w:type="auto"/>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24D2BC1D">
            <w:pPr>
              <w:spacing w:line="360" w:lineRule="auto"/>
            </w:pPr>
            <w:r>
              <w:t>LR, RF, SVR, evaluation</w:t>
            </w:r>
          </w:p>
        </w:tc>
      </w:tr>
      <w:tr w14:paraId="646C93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0" w:type="auto"/>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14E37F65">
            <w:pPr>
              <w:spacing w:line="360" w:lineRule="auto"/>
            </w:pPr>
            <w:r>
              <w:t>TensorFlow/Keras</w:t>
            </w:r>
          </w:p>
        </w:tc>
        <w:tc>
          <w:tcPr>
            <w:tcW w:w="0" w:type="auto"/>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223FF130">
            <w:pPr>
              <w:spacing w:line="360" w:lineRule="auto"/>
            </w:pPr>
            <w:r>
              <w:t>2.14.x</w:t>
            </w:r>
          </w:p>
        </w:tc>
        <w:tc>
          <w:tcPr>
            <w:tcW w:w="0" w:type="auto"/>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20EF88F6">
            <w:pPr>
              <w:spacing w:line="360" w:lineRule="auto"/>
            </w:pPr>
            <w:r>
              <w:t>Deep learning framework</w:t>
            </w:r>
          </w:p>
        </w:tc>
        <w:tc>
          <w:tcPr>
            <w:tcW w:w="0" w:type="auto"/>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6D1F1B3B">
            <w:pPr>
              <w:spacing w:line="360" w:lineRule="auto"/>
            </w:pPr>
            <w:r>
              <w:t>LSTM implementation</w:t>
            </w:r>
          </w:p>
        </w:tc>
      </w:tr>
      <w:tr w14:paraId="73F433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0" w:type="auto"/>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24348BCF">
            <w:pPr>
              <w:spacing w:line="360" w:lineRule="auto"/>
            </w:pPr>
            <w:r>
              <w:t>TA-Lib / Pandas-TA</w:t>
            </w:r>
          </w:p>
        </w:tc>
        <w:tc>
          <w:tcPr>
            <w:tcW w:w="0" w:type="auto"/>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0F6E0D71">
            <w:pPr>
              <w:spacing w:line="360" w:lineRule="auto"/>
            </w:pPr>
            <w:r>
              <w:t>0.3.x</w:t>
            </w:r>
          </w:p>
        </w:tc>
        <w:tc>
          <w:tcPr>
            <w:tcW w:w="0" w:type="auto"/>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67B03A8F">
            <w:pPr>
              <w:spacing w:line="360" w:lineRule="auto"/>
            </w:pPr>
            <w:r>
              <w:t>Technical indicators</w:t>
            </w:r>
          </w:p>
        </w:tc>
        <w:tc>
          <w:tcPr>
            <w:tcW w:w="0" w:type="auto"/>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0374B2ED">
            <w:pPr>
              <w:spacing w:line="360" w:lineRule="auto"/>
            </w:pPr>
            <w:r>
              <w:t>Feature Engineering</w:t>
            </w:r>
          </w:p>
        </w:tc>
      </w:tr>
      <w:tr w14:paraId="576BD9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0" w:type="auto"/>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49F49CB9">
            <w:pPr>
              <w:spacing w:line="360" w:lineRule="auto"/>
            </w:pPr>
            <w:r>
              <w:t>Matplotlib/Seaborn</w:t>
            </w:r>
          </w:p>
        </w:tc>
        <w:tc>
          <w:tcPr>
            <w:tcW w:w="0" w:type="auto"/>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17CB5863">
            <w:pPr>
              <w:spacing w:line="360" w:lineRule="auto"/>
            </w:pPr>
            <w:r>
              <w:t>3.7.x</w:t>
            </w:r>
          </w:p>
        </w:tc>
        <w:tc>
          <w:tcPr>
            <w:tcW w:w="0" w:type="auto"/>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20BF4B43">
            <w:pPr>
              <w:spacing w:line="360" w:lineRule="auto"/>
            </w:pPr>
            <w:r>
              <w:t>Data visualisation</w:t>
            </w:r>
          </w:p>
        </w:tc>
        <w:tc>
          <w:tcPr>
            <w:tcW w:w="0" w:type="auto"/>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189B25B7">
            <w:pPr>
              <w:spacing w:line="360" w:lineRule="auto"/>
            </w:pPr>
            <w:r>
              <w:t>EDA &amp; result plots</w:t>
            </w:r>
          </w:p>
        </w:tc>
      </w:tr>
      <w:tr w14:paraId="32095C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0" w:type="auto"/>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54421FDD">
            <w:pPr>
              <w:spacing w:line="360" w:lineRule="auto"/>
            </w:pPr>
            <w:r>
              <w:t>Streamlit</w:t>
            </w:r>
          </w:p>
        </w:tc>
        <w:tc>
          <w:tcPr>
            <w:tcW w:w="0" w:type="auto"/>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4F1F44E2">
            <w:pPr>
              <w:spacing w:line="360" w:lineRule="auto"/>
            </w:pPr>
            <w:r>
              <w:t>1.28.x</w:t>
            </w:r>
          </w:p>
        </w:tc>
        <w:tc>
          <w:tcPr>
            <w:tcW w:w="0" w:type="auto"/>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1F63E159">
            <w:pPr>
              <w:spacing w:line="360" w:lineRule="auto"/>
            </w:pPr>
            <w:r>
              <w:t>Web app framework</w:t>
            </w:r>
          </w:p>
        </w:tc>
        <w:tc>
          <w:tcPr>
            <w:tcW w:w="0" w:type="auto"/>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312AB420">
            <w:pPr>
              <w:spacing w:line="360" w:lineRule="auto"/>
            </w:pPr>
            <w:r>
              <w:t>Prototype dashboard</w:t>
            </w:r>
          </w:p>
        </w:tc>
      </w:tr>
      <w:tr w14:paraId="0B8E28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0" w:type="auto"/>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73CD8D74">
            <w:pPr>
              <w:spacing w:line="360" w:lineRule="auto"/>
            </w:pPr>
            <w:r>
              <w:t>Joblib</w:t>
            </w:r>
          </w:p>
        </w:tc>
        <w:tc>
          <w:tcPr>
            <w:tcW w:w="0" w:type="auto"/>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0782BAEF">
            <w:pPr>
              <w:spacing w:line="360" w:lineRule="auto"/>
            </w:pPr>
            <w:r>
              <w:t>1.3.x</w:t>
            </w:r>
          </w:p>
        </w:tc>
        <w:tc>
          <w:tcPr>
            <w:tcW w:w="0" w:type="auto"/>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24BD6002">
            <w:pPr>
              <w:spacing w:line="360" w:lineRule="auto"/>
            </w:pPr>
            <w:r>
              <w:t>Model serialisation</w:t>
            </w:r>
          </w:p>
        </w:tc>
        <w:tc>
          <w:tcPr>
            <w:tcW w:w="0" w:type="auto"/>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0ABD5574">
            <w:pPr>
              <w:spacing w:line="360" w:lineRule="auto"/>
            </w:pPr>
            <w:r>
              <w:t>Save/load trained models</w:t>
            </w:r>
          </w:p>
        </w:tc>
      </w:tr>
      <w:tr w14:paraId="0E8D33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0" w:type="auto"/>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4B7DE375">
            <w:pPr>
              <w:spacing w:line="360" w:lineRule="auto"/>
              <w:rPr>
                <w:rFonts w:hint="default"/>
                <w:lang w:val="en-US"/>
              </w:rPr>
            </w:pPr>
            <w:r>
              <w:rPr>
                <w:rFonts w:hint="default"/>
                <w:lang w:val="en-US"/>
              </w:rPr>
              <w:t>Google Colab</w:t>
            </w:r>
          </w:p>
        </w:tc>
        <w:tc>
          <w:tcPr>
            <w:tcW w:w="0" w:type="auto"/>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5CA93337">
            <w:pPr>
              <w:spacing w:line="360" w:lineRule="auto"/>
              <w:rPr>
                <w:rFonts w:hint="default"/>
                <w:lang w:val="en-US"/>
              </w:rPr>
            </w:pPr>
            <w:r>
              <w:rPr>
                <w:rFonts w:hint="default"/>
                <w:lang w:val="en-US"/>
              </w:rPr>
              <w:t>3.0</w:t>
            </w:r>
          </w:p>
        </w:tc>
        <w:tc>
          <w:tcPr>
            <w:tcW w:w="0" w:type="auto"/>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54DCEB21">
            <w:pPr>
              <w:spacing w:line="360" w:lineRule="auto"/>
            </w:pPr>
            <w:r>
              <w:t>Interactive development</w:t>
            </w:r>
          </w:p>
        </w:tc>
        <w:tc>
          <w:tcPr>
            <w:tcW w:w="0" w:type="auto"/>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719B6971">
            <w:pPr>
              <w:spacing w:line="360" w:lineRule="auto"/>
            </w:pPr>
            <w:r>
              <w:t>Experimentation &amp; EDA</w:t>
            </w:r>
          </w:p>
        </w:tc>
      </w:tr>
    </w:tbl>
    <w:p w14:paraId="047D025C">
      <w:pPr>
        <w:spacing w:after="100" w:line="360" w:lineRule="auto"/>
      </w:pPr>
    </w:p>
    <w:p w14:paraId="243CA322">
      <w:pPr>
        <w:spacing w:after="160" w:line="360" w:lineRule="auto"/>
        <w:ind w:firstLine="720"/>
        <w:jc w:val="both"/>
      </w:pPr>
      <w:r>
        <w:t>All experiments were conducted on a standard laptop computer with an Intel Core i5 processor (8th generation), 8GB RAM, and a 256GB SSD, running Windows 11. No specialised GPU hardware was required for this study, as the LSTM model was trained on a dataset of modest size (approximately 1,200 records per ticker). For larger-scale applications, GPU acceleration via CUDA-enabled TensorFlow would be recommended.</w:t>
      </w:r>
    </w:p>
    <w:p w14:paraId="7772C4C2">
      <w:pPr>
        <w:pStyle w:val="3"/>
        <w:spacing w:line="360" w:lineRule="auto"/>
        <w:rPr>
          <w:sz w:val="24"/>
          <w:szCs w:val="24"/>
        </w:rPr>
      </w:pPr>
      <w:r>
        <w:rPr>
          <w:sz w:val="24"/>
          <w:szCs w:val="24"/>
        </w:rPr>
        <w:t>3.9 Prototype/System Simulation Design</w:t>
      </w:r>
    </w:p>
    <w:p w14:paraId="14356B8B">
      <w:pPr>
        <w:spacing w:after="160" w:line="360" w:lineRule="auto"/>
        <w:ind w:firstLine="720"/>
        <w:jc w:val="both"/>
      </w:pPr>
      <w:r>
        <w:t>A functional prototype web application was developed using Streamlit to demonstrate the end-to-end prediction pipeline in a near real-time simulation environment. Streamlit is a Python-based open-source framework for creating interactive data applications, widely used in the data science community for rapid prototype development.</w:t>
      </w:r>
    </w:p>
    <w:p w14:paraId="15957A59">
      <w:pPr>
        <w:spacing w:after="160" w:line="360" w:lineRule="auto"/>
        <w:ind w:firstLine="720"/>
        <w:jc w:val="both"/>
      </w:pPr>
      <w:r>
        <w:t>The prototype dashboard provides the following functionality:</w:t>
      </w:r>
    </w:p>
    <w:p w14:paraId="23314A7D">
      <w:pPr>
        <w:pStyle w:val="10"/>
        <w:numPr>
          <w:ilvl w:val="0"/>
          <w:numId w:val="1"/>
        </w:numPr>
        <w:spacing w:after="100" w:line="360" w:lineRule="auto"/>
        <w:jc w:val="both"/>
      </w:pPr>
      <w:r>
        <w:t>Stock Ticker Selection: A dropdown menu allows the user to select from the five pre-trained stock tickers (AAPL, MSFT, GOOGL, AMZN, TSLA).</w:t>
      </w:r>
    </w:p>
    <w:p w14:paraId="136BE3B6">
      <w:pPr>
        <w:pStyle w:val="10"/>
        <w:numPr>
          <w:ilvl w:val="0"/>
          <w:numId w:val="1"/>
        </w:numPr>
        <w:spacing w:after="100" w:line="360" w:lineRule="auto"/>
        <w:jc w:val="both"/>
      </w:pPr>
      <w:r>
        <w:t>Prediction Horizon: A slider control allows the user to select a prediction horizon from 1 to 30 trading days.</w:t>
      </w:r>
    </w:p>
    <w:p w14:paraId="799575BA">
      <w:pPr>
        <w:pStyle w:val="10"/>
        <w:numPr>
          <w:ilvl w:val="0"/>
          <w:numId w:val="1"/>
        </w:numPr>
        <w:spacing w:after="100" w:line="360" w:lineRule="auto"/>
        <w:jc w:val="both"/>
      </w:pPr>
      <w:r>
        <w:t>Data Refresh: A button triggers a fresh data pull from the Yahoo Finance API, updating the most recent 60 days of data used as the LSTM input sequence.</w:t>
      </w:r>
    </w:p>
    <w:p w14:paraId="2F48DB94">
      <w:pPr>
        <w:pStyle w:val="10"/>
        <w:numPr>
          <w:ilvl w:val="0"/>
          <w:numId w:val="1"/>
        </w:numPr>
        <w:spacing w:after="100" w:line="360" w:lineRule="auto"/>
        <w:jc w:val="both"/>
      </w:pPr>
      <w:r>
        <w:t>Model Selection: Radio buttons allow the user to select which model to use for prediction (LR, RF, SVR, or LSTM).</w:t>
      </w:r>
    </w:p>
    <w:p w14:paraId="1B3D0308">
      <w:pPr>
        <w:pStyle w:val="10"/>
        <w:numPr>
          <w:ilvl w:val="0"/>
          <w:numId w:val="1"/>
        </w:numPr>
        <w:spacing w:after="100" w:line="360" w:lineRule="auto"/>
        <w:jc w:val="both"/>
      </w:pPr>
      <w:r>
        <w:t>Prediction Visualisation: An interactive Plotly chart displays the historical closing price alongside the model's predicted values for the test period and the requested forecast horizon.</w:t>
      </w:r>
    </w:p>
    <w:p w14:paraId="3CBB6677">
      <w:pPr>
        <w:pStyle w:val="10"/>
        <w:numPr>
          <w:ilvl w:val="0"/>
          <w:numId w:val="1"/>
        </w:numPr>
        <w:spacing w:after="100" w:line="360" w:lineRule="auto"/>
        <w:jc w:val="both"/>
      </w:pPr>
      <w:r>
        <w:t>Performance Metrics Display: A metrics panel displays the MAE, RMSE, and R² for the selected model on the test set, enabling users to assess model reliability.</w:t>
      </w:r>
    </w:p>
    <w:p w14:paraId="48BB096F">
      <w:pPr>
        <w:spacing w:after="160" w:line="360" w:lineRule="auto"/>
        <w:ind w:firstLine="720"/>
        <w:jc w:val="both"/>
      </w:pPr>
      <w:r>
        <w:t>The prototype does not execute real financial transactions and is clearly labelled as a research and educational demonstration tool. All pre-trained model weights are serialised using Joblib (for Scikit-learn models) and TensorFlow's SavedModel format (for LSTM) and loaded at application startup, enabling near-instantaneous inference without retraining.</w:t>
      </w:r>
    </w:p>
    <w:p w14:paraId="36F5D42A">
      <w:pPr>
        <w:pStyle w:val="3"/>
        <w:spacing w:line="360" w:lineRule="auto"/>
        <w:rPr>
          <w:sz w:val="24"/>
          <w:szCs w:val="24"/>
        </w:rPr>
      </w:pPr>
      <w:r>
        <w:rPr>
          <w:sz w:val="24"/>
          <w:szCs w:val="24"/>
        </w:rPr>
        <w:t>3.10 Flowchart and Algorithm Design</w:t>
      </w:r>
    </w:p>
    <w:p w14:paraId="525AD1AC">
      <w:pPr>
        <w:spacing w:after="160" w:line="360" w:lineRule="auto"/>
        <w:ind w:firstLine="720"/>
        <w:jc w:val="both"/>
      </w:pPr>
      <w:r>
        <w:t>Figure 3.9 presents the complete system flowchart illustrating the end-to-end workflow of the proposed algorithmic framework, from data ingestion to prediction output.</w:t>
      </w:r>
    </w:p>
    <w:p w14:paraId="7DCE1370">
      <w:pPr>
        <w:spacing w:after="160" w:line="360" w:lineRule="auto"/>
        <w:ind w:firstLine="720"/>
        <w:jc w:val="both"/>
      </w:pPr>
    </w:p>
    <w:p w14:paraId="6755A063">
      <w:pPr>
        <w:spacing w:after="160" w:line="360" w:lineRule="auto"/>
        <w:ind w:firstLine="720"/>
        <w:jc w:val="both"/>
      </w:pPr>
    </w:p>
    <w:p w14:paraId="6EB7E012">
      <w:pPr>
        <w:spacing w:after="160" w:line="360" w:lineRule="auto"/>
        <w:ind w:firstLine="720"/>
        <w:jc w:val="both"/>
      </w:pPr>
    </w:p>
    <w:p w14:paraId="3874903E">
      <w:pPr>
        <w:spacing w:after="160" w:line="360" w:lineRule="auto"/>
        <w:ind w:firstLine="720"/>
        <w:jc w:val="both"/>
      </w:pPr>
    </w:p>
    <w:p w14:paraId="27BF16A4">
      <w:pPr>
        <w:pBdr>
          <w:top w:val="single" w:color="888888" w:sz="2" w:space="0"/>
          <w:left w:val="single" w:color="888888" w:sz="2" w:space="0"/>
          <w:bottom w:val="single" w:color="888888" w:sz="2" w:space="0"/>
          <w:right w:val="single" w:color="888888" w:sz="2" w:space="0"/>
        </w:pBdr>
        <w:spacing w:before="80" w:after="80" w:line="360" w:lineRule="auto"/>
        <w:ind w:left="360" w:right="360"/>
        <w:jc w:val="center"/>
      </w:pPr>
      <w:r>
        <w:rPr>
          <w:rFonts w:eastAsia="Courier New"/>
          <w:b/>
          <w:bCs/>
        </w:rPr>
        <w:t>START</w:t>
      </w:r>
      <w:r>
        <w:rPr>
          <w:rFonts w:eastAsia="Courier New"/>
        </w:rPr>
        <w:br w:type="textWrapping"/>
      </w:r>
      <w:r>
        <w:rPr>
          <w:rFonts w:eastAsia="Courier New"/>
        </w:rPr>
        <w:t xml:space="preserve">   |</w:t>
      </w:r>
      <w:r>
        <w:rPr>
          <w:rFonts w:eastAsia="Courier New"/>
        </w:rPr>
        <w:br w:type="textWrapping"/>
      </w:r>
      <w:r>
        <w:rPr>
          <w:rFonts w:eastAsia="Courier New"/>
        </w:rPr>
        <w:t>[1] USER INPUT: Ticker Symbol, Date Range</w:t>
      </w:r>
      <w:r>
        <w:rPr>
          <w:rFonts w:eastAsia="Courier New"/>
        </w:rPr>
        <w:br w:type="textWrapping"/>
      </w:r>
      <w:r>
        <w:rPr>
          <w:rFonts w:eastAsia="Courier New"/>
        </w:rPr>
        <w:t xml:space="preserve">   |</w:t>
      </w:r>
      <w:r>
        <w:rPr>
          <w:rFonts w:eastAsia="Courier New"/>
        </w:rPr>
        <w:br w:type="textWrapping"/>
      </w:r>
      <w:r>
        <w:rPr>
          <w:rFonts w:eastAsia="Courier New"/>
        </w:rPr>
        <w:t>[2] DATA ACQUISITION: yfinance API --&gt; OHLCV DataFrame</w:t>
      </w:r>
      <w:r>
        <w:rPr>
          <w:rFonts w:eastAsia="Courier New"/>
        </w:rPr>
        <w:br w:type="textWrapping"/>
      </w:r>
      <w:r>
        <w:rPr>
          <w:rFonts w:eastAsia="Courier New"/>
        </w:rPr>
        <w:t xml:space="preserve">   |</w:t>
      </w:r>
      <w:r>
        <w:rPr>
          <w:rFonts w:eastAsia="Courier New"/>
        </w:rPr>
        <w:br w:type="textWrapping"/>
      </w:r>
      <w:r>
        <w:rPr>
          <w:rFonts w:eastAsia="Courier New"/>
        </w:rPr>
        <w:t>[3] DATA CLEANING: Handle missing values, remove duplicates</w:t>
      </w:r>
      <w:r>
        <w:rPr>
          <w:rFonts w:eastAsia="Courier New"/>
        </w:rPr>
        <w:br w:type="textWrapping"/>
      </w:r>
      <w:r>
        <w:rPr>
          <w:rFonts w:eastAsia="Courier New"/>
        </w:rPr>
        <w:t xml:space="preserve">   |</w:t>
      </w:r>
      <w:r>
        <w:rPr>
          <w:rFonts w:eastAsia="Courier New"/>
        </w:rPr>
        <w:br w:type="textWrapping"/>
      </w:r>
      <w:r>
        <w:rPr>
          <w:rFonts w:eastAsia="Courier New"/>
        </w:rPr>
        <w:t>[4] FEATURE ENGINEERING: Compute SMA, EMA, RSI, MACD, BB, OBV, Lags</w:t>
      </w:r>
      <w:r>
        <w:rPr>
          <w:rFonts w:eastAsia="Courier New"/>
        </w:rPr>
        <w:br w:type="textWrapping"/>
      </w:r>
      <w:r>
        <w:rPr>
          <w:rFonts w:eastAsia="Courier New"/>
        </w:rPr>
        <w:t xml:space="preserve">   |</w:t>
      </w:r>
      <w:r>
        <w:rPr>
          <w:rFonts w:eastAsia="Courier New"/>
        </w:rPr>
        <w:br w:type="textWrapping"/>
      </w:r>
      <w:r>
        <w:rPr>
          <w:rFonts w:eastAsia="Courier New"/>
        </w:rPr>
        <w:t>[5] NORMALISATION: Min-Max Scaling [0,1] on training set only</w:t>
      </w:r>
      <w:r>
        <w:rPr>
          <w:rFonts w:eastAsia="Courier New"/>
        </w:rPr>
        <w:br w:type="textWrapping"/>
      </w:r>
      <w:r>
        <w:rPr>
          <w:rFonts w:eastAsia="Courier New"/>
        </w:rPr>
        <w:t xml:space="preserve">   |</w:t>
      </w:r>
      <w:r>
        <w:rPr>
          <w:rFonts w:eastAsia="Courier New"/>
        </w:rPr>
        <w:br w:type="textWrapping"/>
      </w:r>
      <w:r>
        <w:rPr>
          <w:rFonts w:eastAsia="Courier New"/>
        </w:rPr>
        <w:t>[6] TRAIN/TEST SPLIT: 80% / 20% (temporal order preserved)</w:t>
      </w:r>
      <w:r>
        <w:rPr>
          <w:rFonts w:eastAsia="Courier New"/>
        </w:rPr>
        <w:br w:type="textWrapping"/>
      </w:r>
      <w:r>
        <w:rPr>
          <w:rFonts w:eastAsia="Courier New"/>
        </w:rPr>
        <w:t xml:space="preserve">   |</w:t>
      </w:r>
      <w:r>
        <w:rPr>
          <w:rFonts w:eastAsia="Courier New"/>
        </w:rPr>
        <w:br w:type="textWrapping"/>
      </w:r>
      <w:r>
        <w:rPr>
          <w:rFonts w:eastAsia="Courier New"/>
        </w:rPr>
        <w:t>[7] MODEL TRAINING: LR --&gt; RF --&gt; SVR --&gt; LSTM (parallel)</w:t>
      </w:r>
      <w:r>
        <w:rPr>
          <w:rFonts w:eastAsia="Courier New"/>
        </w:rPr>
        <w:br w:type="textWrapping"/>
      </w:r>
      <w:r>
        <w:rPr>
          <w:rFonts w:eastAsia="Courier New"/>
        </w:rPr>
        <w:t xml:space="preserve">   |</w:t>
      </w:r>
      <w:r>
        <w:rPr>
          <w:rFonts w:eastAsia="Courier New"/>
        </w:rPr>
        <w:br w:type="textWrapping"/>
      </w:r>
      <w:r>
        <w:rPr>
          <w:rFonts w:eastAsia="Courier New"/>
        </w:rPr>
        <w:t>[8] PREDICTION: Apply trained models to test set</w:t>
      </w:r>
      <w:r>
        <w:rPr>
          <w:rFonts w:eastAsia="Courier New"/>
        </w:rPr>
        <w:br w:type="textWrapping"/>
      </w:r>
      <w:r>
        <w:rPr>
          <w:rFonts w:eastAsia="Courier New"/>
        </w:rPr>
        <w:t xml:space="preserve">   |</w:t>
      </w:r>
      <w:r>
        <w:rPr>
          <w:rFonts w:eastAsia="Courier New"/>
        </w:rPr>
        <w:br w:type="textWrapping"/>
      </w:r>
      <w:r>
        <w:rPr>
          <w:rFonts w:eastAsia="Courier New"/>
        </w:rPr>
        <w:t>[9] INVERSE TRANSFORM: Convert predictions to original USD scale</w:t>
      </w:r>
      <w:r>
        <w:rPr>
          <w:rFonts w:eastAsia="Courier New"/>
        </w:rPr>
        <w:br w:type="textWrapping"/>
      </w:r>
      <w:r>
        <w:rPr>
          <w:rFonts w:eastAsia="Courier New"/>
        </w:rPr>
        <w:t xml:space="preserve">   |</w:t>
      </w:r>
      <w:r>
        <w:rPr>
          <w:rFonts w:eastAsia="Courier New"/>
        </w:rPr>
        <w:br w:type="textWrapping"/>
      </w:r>
      <w:r>
        <w:rPr>
          <w:rFonts w:eastAsia="Courier New"/>
        </w:rPr>
        <w:t>[10] EVALUATION: Compute MAE, MSE, RMSE, R², Directional Accuracy</w:t>
      </w:r>
      <w:r>
        <w:rPr>
          <w:rFonts w:eastAsia="Courier New"/>
        </w:rPr>
        <w:br w:type="textWrapping"/>
      </w:r>
      <w:r>
        <w:rPr>
          <w:rFonts w:eastAsia="Courier New"/>
        </w:rPr>
        <w:t xml:space="preserve">   |</w:t>
      </w:r>
      <w:r>
        <w:rPr>
          <w:rFonts w:eastAsia="Courier New"/>
        </w:rPr>
        <w:br w:type="textWrapping"/>
      </w:r>
      <w:r>
        <w:rPr>
          <w:rFonts w:eastAsia="Courier New"/>
        </w:rPr>
        <w:t>[11] COMPARISON: Generate comparative metrics table &amp; plots</w:t>
      </w:r>
      <w:r>
        <w:rPr>
          <w:rFonts w:eastAsia="Courier New"/>
        </w:rPr>
        <w:br w:type="textWrapping"/>
      </w:r>
      <w:r>
        <w:rPr>
          <w:rFonts w:eastAsia="Courier New"/>
        </w:rPr>
        <w:t xml:space="preserve">   |</w:t>
      </w:r>
      <w:r>
        <w:rPr>
          <w:rFonts w:eastAsia="Courier New"/>
        </w:rPr>
        <w:br w:type="textWrapping"/>
      </w:r>
      <w:r>
        <w:rPr>
          <w:rFonts w:eastAsia="Courier New"/>
        </w:rPr>
        <w:t>[12] PROTOTYPE: Streamlit dashboard displays results</w:t>
      </w:r>
      <w:r>
        <w:rPr>
          <w:rFonts w:eastAsia="Courier New"/>
        </w:rPr>
        <w:br w:type="textWrapping"/>
      </w:r>
      <w:r>
        <w:rPr>
          <w:rFonts w:eastAsia="Courier New"/>
        </w:rPr>
        <w:t xml:space="preserve">   |</w:t>
      </w:r>
      <w:r>
        <w:rPr>
          <w:rFonts w:eastAsia="Courier New"/>
          <w:b/>
          <w:bCs/>
        </w:rPr>
        <w:br w:type="textWrapping"/>
      </w:r>
      <w:r>
        <w:rPr>
          <w:rFonts w:eastAsia="Courier New"/>
          <w:b/>
          <w:bCs/>
        </w:rPr>
        <w:t xml:space="preserve">  END</w:t>
      </w:r>
    </w:p>
    <w:p w14:paraId="5E45716D">
      <w:pPr>
        <w:spacing w:before="60" w:after="160" w:line="360" w:lineRule="auto"/>
        <w:jc w:val="center"/>
      </w:pPr>
      <w:r>
        <w:rPr>
          <w:b/>
          <w:bCs/>
          <w:i/>
          <w:iCs/>
        </w:rPr>
        <w:t>Figure 3.9: Complete System Flowchart of the Proposed Framework</w:t>
      </w:r>
    </w:p>
    <w:p w14:paraId="70FAAC5E">
      <w:pPr>
        <w:spacing w:after="160" w:line="360" w:lineRule="auto"/>
        <w:ind w:firstLine="720"/>
        <w:jc w:val="both"/>
      </w:pPr>
      <w:r>
        <w:t>The algorithm design for the autonomous operation of the framework is based on the following high-level pseudo-code, which encapsulates the full pipeline:</w:t>
      </w:r>
    </w:p>
    <w:p w14:paraId="3D4D22FB">
      <w:pPr>
        <w:spacing w:before="80" w:after="80" w:line="360" w:lineRule="auto"/>
        <w:ind w:left="360"/>
      </w:pPr>
      <w:r>
        <w:rPr>
          <w:rFonts w:eastAsia="Courier New"/>
          <w:b/>
          <w:bCs/>
        </w:rPr>
        <w:t>Algorithm: Autonomous Stock Price Prediction Framework</w:t>
      </w:r>
      <w:r>
        <w:rPr>
          <w:rFonts w:eastAsia="Courier New"/>
        </w:rPr>
        <w:br w:type="textWrapping"/>
      </w:r>
      <w:r>
        <w:rPr>
          <w:rFonts w:eastAsia="Courier New"/>
        </w:rPr>
        <w:t>Input:  ticker_symbol, start_date, end_date, window_size=60</w:t>
      </w:r>
      <w:r>
        <w:rPr>
          <w:rFonts w:eastAsia="Courier New"/>
        </w:rPr>
        <w:br w:type="textWrapping"/>
      </w:r>
      <w:r>
        <w:rPr>
          <w:rFonts w:eastAsia="Courier New"/>
        </w:rPr>
        <w:t>Output: Comparative metrics table, prediction plots, forecast</w:t>
      </w:r>
      <w:r>
        <w:rPr>
          <w:rFonts w:eastAsia="Courier New"/>
        </w:rPr>
        <w:br w:type="textWrapping"/>
      </w:r>
      <w:r>
        <w:rPr>
          <w:rFonts w:eastAsia="Courier New"/>
        </w:rPr>
        <w:t>1.  df &lt;- fetch_data(ticker, start, end)  // yfinance</w:t>
      </w:r>
      <w:r>
        <w:rPr>
          <w:rFonts w:eastAsia="Courier New"/>
        </w:rPr>
        <w:br w:type="textWrapping"/>
      </w:r>
      <w:r>
        <w:rPr>
          <w:rFonts w:eastAsia="Courier New"/>
        </w:rPr>
        <w:t>2.  df &lt;- clean_data(df)  // ffill, remove duplicates</w:t>
      </w:r>
      <w:r>
        <w:rPr>
          <w:rFonts w:eastAsia="Courier New"/>
        </w:rPr>
        <w:br w:type="textWrapping"/>
      </w:r>
      <w:r>
        <w:rPr>
          <w:rFonts w:eastAsia="Courier New"/>
        </w:rPr>
        <w:t>3.  df &lt;- engineer_features(df)  // SMA, EMA, RSI, MACD, etc.</w:t>
      </w:r>
      <w:r>
        <w:rPr>
          <w:rFonts w:eastAsia="Courier New"/>
        </w:rPr>
        <w:br w:type="textWrapping"/>
      </w:r>
      <w:r>
        <w:rPr>
          <w:rFonts w:eastAsia="Courier New"/>
        </w:rPr>
        <w:t>4.  X, y &lt;- extract_features_target(df)</w:t>
      </w:r>
      <w:r>
        <w:rPr>
          <w:rFonts w:eastAsia="Courier New"/>
        </w:rPr>
        <w:br w:type="textWrapping"/>
      </w:r>
      <w:r>
        <w:rPr>
          <w:rFonts w:eastAsia="Courier New"/>
        </w:rPr>
        <w:t>5.  X_train, X_test, y_train, y_test &lt;- temporal_split(X, y, 0.8)</w:t>
      </w:r>
      <w:r>
        <w:rPr>
          <w:rFonts w:eastAsia="Courier New"/>
        </w:rPr>
        <w:br w:type="textWrapping"/>
      </w:r>
      <w:r>
        <w:rPr>
          <w:rFonts w:eastAsia="Courier New"/>
        </w:rPr>
        <w:t>6.  X_train, X_test &lt;- normalise(X_train, X_test)  // MinMaxScaler</w:t>
      </w:r>
      <w:r>
        <w:rPr>
          <w:rFonts w:eastAsia="Courier New"/>
        </w:rPr>
        <w:br w:type="textWrapping"/>
      </w:r>
      <w:r>
        <w:rPr>
          <w:rFonts w:eastAsia="Courier New"/>
        </w:rPr>
        <w:t>7.  for model in [LR, RF, SVR, LSTM]:</w:t>
      </w:r>
      <w:r>
        <w:rPr>
          <w:rFonts w:eastAsia="Courier New"/>
        </w:rPr>
        <w:br w:type="textWrapping"/>
      </w:r>
      <w:r>
        <w:rPr>
          <w:rFonts w:eastAsia="Courier New"/>
        </w:rPr>
        <w:t xml:space="preserve">       model.train(X_train, y_train)</w:t>
      </w:r>
      <w:r>
        <w:rPr>
          <w:rFonts w:eastAsia="Courier New"/>
        </w:rPr>
        <w:br w:type="textWrapping"/>
      </w:r>
      <w:r>
        <w:rPr>
          <w:rFonts w:eastAsia="Courier New"/>
        </w:rPr>
        <w:t xml:space="preserve">       y_pred &lt;- model.predict(X_test)</w:t>
      </w:r>
      <w:r>
        <w:rPr>
          <w:rFonts w:eastAsia="Courier New"/>
        </w:rPr>
        <w:br w:type="textWrapping"/>
      </w:r>
      <w:r>
        <w:rPr>
          <w:rFonts w:eastAsia="Courier New"/>
        </w:rPr>
        <w:t xml:space="preserve">       y_pred &lt;- inverse_transform(y_pred)</w:t>
      </w:r>
      <w:r>
        <w:rPr>
          <w:rFonts w:eastAsia="Courier New"/>
        </w:rPr>
        <w:br w:type="textWrapping"/>
      </w:r>
      <w:r>
        <w:rPr>
          <w:rFonts w:eastAsia="Courier New"/>
        </w:rPr>
        <w:t xml:space="preserve">       metrics[model] &lt;- evaluate(y_test, y_pred)</w:t>
      </w:r>
      <w:r>
        <w:rPr>
          <w:rFonts w:eastAsia="Courier New"/>
        </w:rPr>
        <w:br w:type="textWrapping"/>
      </w:r>
      <w:r>
        <w:rPr>
          <w:rFonts w:eastAsia="Courier New"/>
        </w:rPr>
        <w:t>8.  generate_comparison_table(metrics)</w:t>
      </w:r>
      <w:r>
        <w:rPr>
          <w:rFonts w:eastAsia="Courier New"/>
        </w:rPr>
        <w:br w:type="textWrapping"/>
      </w:r>
      <w:r>
        <w:rPr>
          <w:rFonts w:eastAsia="Courier New"/>
        </w:rPr>
        <w:t>9.  plot_predictions(y_test, predictions_dict)</w:t>
      </w:r>
      <w:r>
        <w:rPr>
          <w:rFonts w:eastAsia="Courier New"/>
        </w:rPr>
        <w:br w:type="textWrapping"/>
      </w:r>
      <w:r>
        <w:rPr>
          <w:rFonts w:eastAsia="Courier New"/>
        </w:rPr>
        <w:t>10. best_model &lt;- argmin(metrics, 'RMSE')</w:t>
      </w:r>
      <w:r>
        <w:rPr>
          <w:rFonts w:eastAsia="Courier New"/>
        </w:rPr>
        <w:br w:type="textWrapping"/>
      </w:r>
      <w:r>
        <w:rPr>
          <w:rFonts w:eastAsia="Courier New"/>
        </w:rPr>
        <w:t>11. forecast &lt;- best_model.forecast(X_latest, horizon)</w:t>
      </w:r>
      <w:r>
        <w:rPr>
          <w:rFonts w:eastAsia="Courier New"/>
        </w:rPr>
        <w:br w:type="textWrapping"/>
      </w:r>
      <w:r>
        <w:rPr>
          <w:rFonts w:eastAsia="Courier New"/>
        </w:rPr>
        <w:t>12. return metrics, forecast, plots</w:t>
      </w:r>
    </w:p>
    <w:p w14:paraId="6D4D7944">
      <w:pPr>
        <w:pStyle w:val="3"/>
        <w:spacing w:line="360" w:lineRule="auto"/>
        <w:rPr>
          <w:sz w:val="24"/>
          <w:szCs w:val="24"/>
        </w:rPr>
      </w:pPr>
      <w:r>
        <w:rPr>
          <w:sz w:val="24"/>
          <w:szCs w:val="24"/>
        </w:rPr>
        <w:t>3.11 Risk and Limitation Analysis</w:t>
      </w:r>
    </w:p>
    <w:p w14:paraId="7B172A6B">
      <w:pPr>
        <w:spacing w:after="160" w:line="360" w:lineRule="auto"/>
        <w:ind w:firstLine="720"/>
        <w:jc w:val="both"/>
      </w:pPr>
      <w:r>
        <w:t>A thorough analysis of the risks and limitations associated with the proposed autonomous stock price prediction framework is essential for responsible deployment and for guiding future research. This section identifies and analyses the principal sources of risk and uncertainty.</w:t>
      </w:r>
    </w:p>
    <w:p w14:paraId="7B5A652C">
      <w:pPr>
        <w:pStyle w:val="4"/>
        <w:spacing w:line="360" w:lineRule="auto"/>
        <w:rPr>
          <w:i w:val="0"/>
          <w:iCs w:val="0"/>
        </w:rPr>
      </w:pPr>
      <w:r>
        <w:rPr>
          <w:i w:val="0"/>
          <w:iCs w:val="0"/>
        </w:rPr>
        <w:t>3.11.1 Market Non-Stationarity and Regime Change</w:t>
      </w:r>
    </w:p>
    <w:p w14:paraId="79E4B9F2">
      <w:pPr>
        <w:spacing w:after="160" w:line="360" w:lineRule="auto"/>
        <w:ind w:firstLine="720"/>
        <w:jc w:val="both"/>
      </w:pPr>
      <w:r>
        <w:t>Stock price time series are characterised by non-stationarity: their statistical properties (mean, variance, autocorrelation structure) change over time in response to economic cycles, policy changes, and structural market shifts. All machine learning models, including LSTM, implicitly assume some degree of stationarity in the data generating process. When the market transitions between regimes (e.g., from a bull market to a bear market following a macroeconomic shock), models trained on historical data from a different regime may produce systematically inaccurate predictions. This risk cannot be fully mitigated by the models developed in this study; however, periodic model retraining on the most recent data window is recommended as a partial mitigation strategy.</w:t>
      </w:r>
    </w:p>
    <w:p w14:paraId="6227D811">
      <w:pPr>
        <w:pStyle w:val="4"/>
        <w:spacing w:line="360" w:lineRule="auto"/>
        <w:rPr>
          <w:i w:val="0"/>
          <w:iCs w:val="0"/>
        </w:rPr>
      </w:pPr>
      <w:r>
        <w:rPr>
          <w:i w:val="0"/>
          <w:iCs w:val="0"/>
        </w:rPr>
        <w:t>3.11.2 Overfitting and Generalisation Risk</w:t>
      </w:r>
    </w:p>
    <w:p w14:paraId="247B629A">
      <w:pPr>
        <w:spacing w:after="160" w:line="360" w:lineRule="auto"/>
        <w:ind w:firstLine="720"/>
        <w:jc w:val="both"/>
      </w:pPr>
      <w:r>
        <w:t>Despite the application of regularisation techniques (Dropout for LSTM, cross-validation for ML models), there remains a risk that the models have overfit to patterns specific to the training period or to the selected stock tickers. Performance on stocks not included in the training set, or on future market periods with different characteristics, may be lower than reported. Future work should conduct out-of-sample evaluation across a broader set of tickers and market periods.</w:t>
      </w:r>
    </w:p>
    <w:p w14:paraId="7C50EB26">
      <w:pPr>
        <w:pStyle w:val="4"/>
        <w:spacing w:line="360" w:lineRule="auto"/>
        <w:rPr>
          <w:i w:val="0"/>
          <w:iCs w:val="0"/>
        </w:rPr>
      </w:pPr>
      <w:r>
        <w:rPr>
          <w:i w:val="0"/>
          <w:iCs w:val="0"/>
        </w:rPr>
        <w:t>3.11.3 Data Quality and Survivorship Bias</w:t>
      </w:r>
    </w:p>
    <w:p w14:paraId="057455DF">
      <w:pPr>
        <w:spacing w:after="160" w:line="360" w:lineRule="auto"/>
        <w:ind w:firstLine="720"/>
        <w:jc w:val="both"/>
      </w:pPr>
      <w:r>
        <w:t>The dataset used in this study comprises only actively traded, large-cap equities that have been continuously listed on NYSE and NASDAQ for the full five-year evaluation period. This selection introduces survivorship bias, as stocks that were delisted, went bankrupt, or were merged during this period are excluded. A model trained on only surviving stocks may overestimate the predictive accuracy achievable in a real-world portfolio context.</w:t>
      </w:r>
    </w:p>
    <w:p w14:paraId="5DED8B76">
      <w:pPr>
        <w:pStyle w:val="4"/>
        <w:spacing w:line="360" w:lineRule="auto"/>
        <w:rPr>
          <w:i w:val="0"/>
          <w:iCs w:val="0"/>
        </w:rPr>
      </w:pPr>
      <w:r>
        <w:rPr>
          <w:i w:val="0"/>
          <w:iCs w:val="0"/>
        </w:rPr>
        <w:t>3.11.4 Absence of Fundamental and Sentiment Data</w:t>
      </w:r>
    </w:p>
    <w:p w14:paraId="3EB66F54">
      <w:pPr>
        <w:spacing w:after="160" w:line="360" w:lineRule="auto"/>
        <w:ind w:firstLine="720"/>
        <w:jc w:val="both"/>
      </w:pPr>
      <w:r>
        <w:t>The framework exclusively uses technical price and volume data, without incorporating fundamental financial data (earnings, dividends, debt ratios) or alternative data sources (news sentiment, social media analysis). A significant body of research has demonstrated that these additional data sources can materially improve prediction accuracy, particularly for longer prediction horizons. The limitation to technical data represents a deliberate scoping decision for this undergraduate study, but constitutes a significant constraint on real-world predictive power.</w:t>
      </w:r>
    </w:p>
    <w:p w14:paraId="6B3BC3B9">
      <w:pPr>
        <w:pStyle w:val="4"/>
        <w:spacing w:line="360" w:lineRule="auto"/>
        <w:rPr>
          <w:i w:val="0"/>
          <w:iCs w:val="0"/>
        </w:rPr>
      </w:pPr>
      <w:r>
        <w:rPr>
          <w:i w:val="0"/>
          <w:iCs w:val="0"/>
        </w:rPr>
        <w:t>3.11.5 Transaction Cost Neglect</w:t>
      </w:r>
    </w:p>
    <w:p w14:paraId="3E4E9B4D">
      <w:pPr>
        <w:spacing w:after="160" w:line="360" w:lineRule="auto"/>
        <w:ind w:firstLine="720"/>
        <w:jc w:val="both"/>
      </w:pPr>
      <w:r>
        <w:t>The framework does not account for the transaction costs (brokerage commissions, bid-ask spreads, market impact costs) that would be incurred in real-world trading based on model predictions. Even models with high theoretical prediction accuracy may not generate positive risk-adjusted returns after accounting for transaction costs, particularly for high-frequency prediction strategies.</w:t>
      </w:r>
    </w:p>
    <w:p w14:paraId="48116EC0">
      <w:pPr>
        <w:pStyle w:val="4"/>
        <w:spacing w:line="360" w:lineRule="auto"/>
        <w:rPr>
          <w:i w:val="0"/>
          <w:iCs w:val="0"/>
        </w:rPr>
      </w:pPr>
      <w:r>
        <w:rPr>
          <w:i w:val="0"/>
          <w:iCs w:val="0"/>
        </w:rPr>
        <w:t>3.11.6 Ethical and Regulatory Considerations</w:t>
      </w:r>
    </w:p>
    <w:p w14:paraId="18C11E04">
      <w:pPr>
        <w:spacing w:after="160" w:line="360" w:lineRule="auto"/>
        <w:ind w:firstLine="720"/>
        <w:jc w:val="both"/>
      </w:pPr>
      <w:r>
        <w:t>The deployment of autonomous algorithmic prediction systems in financial markets raises important ethical and regulatory considerations. These include concerns about market stability (the potential for herding behaviour if many investors use similar algorithmic systems), data privacy (the collection and processing of financial data), and the potential for market manipulation. Any real-world deployment of the framework developed in this study would need to comply with applicable securities regulations, including those of the Securities and Exchange Commission Nigeria (SEC-N) and international equivalents.</w:t>
      </w:r>
    </w:p>
    <w:p w14:paraId="31D634A6">
      <w:pPr>
        <w:pStyle w:val="4"/>
        <w:spacing w:line="360" w:lineRule="auto"/>
        <w:rPr>
          <w:i w:val="0"/>
          <w:iCs w:val="0"/>
        </w:rPr>
      </w:pPr>
      <w:bookmarkStart w:id="0" w:name="_GoBack"/>
      <w:r>
        <w:rPr>
          <w:i w:val="0"/>
          <w:iCs w:val="0"/>
        </w:rPr>
        <w:t>3.11.7 Mitigation Strategies and Future Improvements</w:t>
      </w:r>
    </w:p>
    <w:bookmarkEnd w:id="0"/>
    <w:p w14:paraId="41FDDCD2">
      <w:pPr>
        <w:spacing w:after="160" w:line="360" w:lineRule="auto"/>
        <w:ind w:firstLine="720"/>
        <w:jc w:val="both"/>
      </w:pPr>
      <w:r>
        <w:t>Several strategies are recommended to address the identified risks in future research:</w:t>
      </w:r>
    </w:p>
    <w:p w14:paraId="7588A6FA">
      <w:pPr>
        <w:pStyle w:val="10"/>
        <w:numPr>
          <w:ilvl w:val="0"/>
          <w:numId w:val="1"/>
        </w:numPr>
        <w:spacing w:after="100" w:line="360" w:lineRule="auto"/>
        <w:jc w:val="both"/>
      </w:pPr>
      <w:r>
        <w:t>Incorporate adaptive retraining schedules that periodically update model weights on the most recent data to account for market regime changes.</w:t>
      </w:r>
    </w:p>
    <w:p w14:paraId="65EF3EC4">
      <w:pPr>
        <w:pStyle w:val="10"/>
        <w:numPr>
          <w:ilvl w:val="0"/>
          <w:numId w:val="1"/>
        </w:numPr>
        <w:spacing w:after="100" w:line="360" w:lineRule="auto"/>
        <w:jc w:val="both"/>
      </w:pPr>
      <w:r>
        <w:t>Extend the feature set to include fundamental financial indicators, macroeconomic variables, and NLP-derived sentiment scores from financial news and social media.</w:t>
      </w:r>
    </w:p>
    <w:p w14:paraId="0354279C">
      <w:pPr>
        <w:pStyle w:val="10"/>
        <w:numPr>
          <w:ilvl w:val="0"/>
          <w:numId w:val="1"/>
        </w:numPr>
        <w:spacing w:after="100" w:line="360" w:lineRule="auto"/>
        <w:jc w:val="both"/>
      </w:pPr>
      <w:r>
        <w:t>Evaluate the framework on a broader and more representative sample of stocks, including mid-cap, small-cap, and non-US equities, to assess generalisation.</w:t>
      </w:r>
    </w:p>
    <w:p w14:paraId="3CF72C1E">
      <w:pPr>
        <w:pStyle w:val="10"/>
        <w:numPr>
          <w:ilvl w:val="0"/>
          <w:numId w:val="1"/>
        </w:numPr>
        <w:spacing w:after="100" w:line="360" w:lineRule="auto"/>
        <w:jc w:val="both"/>
      </w:pPr>
      <w:r>
        <w:t>Explore more advanced architectures, including Transformer-based models, Temporal Fusion Transformers (TFT), and neural architecture search (NAS) approaches for automated model optimisation.</w:t>
      </w:r>
    </w:p>
    <w:p w14:paraId="6F29582F">
      <w:pPr>
        <w:pStyle w:val="10"/>
        <w:numPr>
          <w:ilvl w:val="0"/>
          <w:numId w:val="1"/>
        </w:numPr>
        <w:spacing w:after="100" w:line="360" w:lineRule="auto"/>
        <w:jc w:val="both"/>
      </w:pPr>
      <w:r>
        <w:t>Integrate financial backtesting frameworks (e.g., Backtrader, Zipline) to evaluate the economic value of predictions after accounting for transaction costs and risk management constraints.</w:t>
      </w:r>
    </w:p>
    <w:p w14:paraId="4CA20327">
      <w:pPr>
        <w:pStyle w:val="10"/>
        <w:numPr>
          <w:ilvl w:val="0"/>
          <w:numId w:val="1"/>
        </w:numPr>
        <w:spacing w:after="100" w:line="360" w:lineRule="auto"/>
        <w:jc w:val="both"/>
      </w:pPr>
      <w:r>
        <w:t>Investigate explainability techniques (e.g., SHAP values, LIME) to improve the interpretability of complex models such as Random Forest and LSTM, addressing the black-box limitation.</w:t>
      </w:r>
    </w:p>
    <w:p w14:paraId="3C3E5C65"/>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A733F50"/>
    <w:multiLevelType w:val="multilevel"/>
    <w:tmpl w:val="5A733F50"/>
    <w:lvl w:ilvl="0" w:tentative="0">
      <w:start w:val="1"/>
      <w:numFmt w:val="bullet"/>
      <w:lvlText w:val="•"/>
      <w:lvlJc w:val="left"/>
      <w:pPr>
        <w:ind w:left="720" w:hanging="360"/>
      </w:p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
    <w:nsid w:val="5AA77ED4"/>
    <w:multiLevelType w:val="multilevel"/>
    <w:tmpl w:val="5AA77ED4"/>
    <w:lvl w:ilvl="0" w:tentative="0">
      <w:start w:val="1"/>
      <w:numFmt w:val="decimal"/>
      <w:lvlText w:val="%1."/>
      <w:lvlJc w:val="left"/>
      <w:pPr>
        <w:ind w:left="720" w:hanging="360"/>
      </w:p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C3076"/>
    <w:rsid w:val="0050270F"/>
    <w:rsid w:val="007C3076"/>
    <w:rsid w:val="022124C3"/>
    <w:rsid w:val="04A8361F"/>
    <w:rsid w:val="08346D03"/>
    <w:rsid w:val="0EAC66EA"/>
    <w:rsid w:val="23011F7A"/>
    <w:rsid w:val="259F45C7"/>
    <w:rsid w:val="33BE15F8"/>
    <w:rsid w:val="3EA652A9"/>
    <w:rsid w:val="401056C1"/>
    <w:rsid w:val="4BE16982"/>
    <w:rsid w:val="51BA3D65"/>
    <w:rsid w:val="646B33CA"/>
    <w:rsid w:val="672C3C51"/>
    <w:rsid w:val="6AFA162D"/>
    <w:rsid w:val="6BD31BC0"/>
    <w:rsid w:val="6E1F37B5"/>
    <w:rsid w:val="703716AB"/>
    <w:rsid w:val="77A41857"/>
    <w:rsid w:val="78623D3D"/>
    <w:rsid w:val="7EB85AF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240" w:lineRule="auto"/>
    </w:pPr>
    <w:rPr>
      <w:rFonts w:ascii="Times New Roman" w:hAnsi="Times New Roman" w:eastAsia="Times New Roman" w:cs="Times New Roman"/>
      <w:sz w:val="24"/>
      <w:szCs w:val="24"/>
      <w:lang w:val="en-US" w:eastAsia="en-US" w:bidi="ar-SA"/>
    </w:rPr>
  </w:style>
  <w:style w:type="paragraph" w:styleId="2">
    <w:name w:val="heading 1"/>
    <w:link w:val="7"/>
    <w:qFormat/>
    <w:uiPriority w:val="0"/>
    <w:pPr>
      <w:spacing w:before="400" w:after="200" w:line="240" w:lineRule="auto"/>
      <w:outlineLvl w:val="0"/>
    </w:pPr>
    <w:rPr>
      <w:rFonts w:ascii="Times New Roman" w:hAnsi="Times New Roman" w:eastAsia="Times New Roman" w:cs="Times New Roman"/>
      <w:b/>
      <w:bCs/>
      <w:color w:val="000000"/>
      <w:sz w:val="28"/>
      <w:szCs w:val="28"/>
      <w:lang w:val="en-US" w:eastAsia="en-US" w:bidi="ar-SA"/>
    </w:rPr>
  </w:style>
  <w:style w:type="paragraph" w:styleId="3">
    <w:name w:val="heading 2"/>
    <w:link w:val="8"/>
    <w:qFormat/>
    <w:uiPriority w:val="0"/>
    <w:pPr>
      <w:spacing w:before="300" w:after="150" w:line="240" w:lineRule="auto"/>
      <w:outlineLvl w:val="1"/>
    </w:pPr>
    <w:rPr>
      <w:rFonts w:ascii="Times New Roman" w:hAnsi="Times New Roman" w:eastAsia="Times New Roman" w:cs="Times New Roman"/>
      <w:b/>
      <w:bCs/>
      <w:color w:val="000000"/>
      <w:sz w:val="26"/>
      <w:szCs w:val="26"/>
      <w:lang w:val="en-US" w:eastAsia="en-US" w:bidi="ar-SA"/>
    </w:rPr>
  </w:style>
  <w:style w:type="paragraph" w:styleId="4">
    <w:name w:val="heading 3"/>
    <w:link w:val="9"/>
    <w:qFormat/>
    <w:uiPriority w:val="0"/>
    <w:pPr>
      <w:spacing w:before="240" w:after="120" w:line="240" w:lineRule="auto"/>
      <w:outlineLvl w:val="2"/>
    </w:pPr>
    <w:rPr>
      <w:rFonts w:ascii="Times New Roman" w:hAnsi="Times New Roman" w:eastAsia="Times New Roman" w:cs="Times New Roman"/>
      <w:b/>
      <w:bCs/>
      <w:i/>
      <w:iCs/>
      <w:color w:val="000000"/>
      <w:sz w:val="24"/>
      <w:szCs w:val="24"/>
      <w:lang w:val="en-US" w:eastAsia="en-US" w:bidi="ar-SA"/>
    </w:rPr>
  </w:style>
  <w:style w:type="character" w:default="1" w:styleId="5">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character" w:customStyle="1" w:styleId="7">
    <w:name w:val="Heading 1 Char"/>
    <w:basedOn w:val="5"/>
    <w:link w:val="2"/>
    <w:uiPriority w:val="0"/>
    <w:rPr>
      <w:rFonts w:ascii="Times New Roman" w:hAnsi="Times New Roman" w:eastAsia="Times New Roman" w:cs="Times New Roman"/>
      <w:b/>
      <w:bCs/>
      <w:color w:val="000000"/>
      <w:sz w:val="28"/>
      <w:szCs w:val="28"/>
    </w:rPr>
  </w:style>
  <w:style w:type="character" w:customStyle="1" w:styleId="8">
    <w:name w:val="Heading 2 Char"/>
    <w:basedOn w:val="5"/>
    <w:link w:val="3"/>
    <w:uiPriority w:val="0"/>
    <w:rPr>
      <w:rFonts w:ascii="Times New Roman" w:hAnsi="Times New Roman" w:eastAsia="Times New Roman" w:cs="Times New Roman"/>
      <w:b/>
      <w:bCs/>
      <w:color w:val="000000"/>
      <w:sz w:val="26"/>
      <w:szCs w:val="26"/>
    </w:rPr>
  </w:style>
  <w:style w:type="character" w:customStyle="1" w:styleId="9">
    <w:name w:val="Heading 3 Char"/>
    <w:basedOn w:val="5"/>
    <w:link w:val="4"/>
    <w:uiPriority w:val="0"/>
    <w:rPr>
      <w:rFonts w:ascii="Times New Roman" w:hAnsi="Times New Roman" w:eastAsia="Times New Roman" w:cs="Times New Roman"/>
      <w:b/>
      <w:bCs/>
      <w:i/>
      <w:iCs/>
      <w:color w:val="000000"/>
      <w:sz w:val="24"/>
      <w:szCs w:val="24"/>
    </w:rPr>
  </w:style>
  <w:style w:type="paragraph" w:styleId="10">
    <w:name w:val="List Paragraph"/>
    <w:qFormat/>
    <w:uiPriority w:val="0"/>
    <w:pPr>
      <w:spacing w:after="0" w:line="240" w:lineRule="auto"/>
    </w:pPr>
    <w:rPr>
      <w:rFonts w:ascii="Times New Roman" w:hAnsi="Times New Roman" w:eastAsia="Times New Roman" w:cs="Times New Roman"/>
      <w:sz w:val="24"/>
      <w:szCs w:val="24"/>
      <w:lang w:val="en-US" w:eastAsia="en-US" w:bidi="ar-SA"/>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20</Pages>
  <Words>4801</Words>
  <Characters>27371</Characters>
  <Lines>228</Lines>
  <Paragraphs>64</Paragraphs>
  <TotalTime>13</TotalTime>
  <ScaleCrop>false</ScaleCrop>
  <LinksUpToDate>false</LinksUpToDate>
  <CharactersWithSpaces>32108</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2026-03-04T11:58:00Z</dcterms:created>
  <dc:creator>DELL</dc:creator>
  <cp:lastModifiedBy>DELL</cp:lastModifiedBy>
  <dcterms:modified xsi:type="dcterms:W3CDTF">2026-03-06T22:03:43Z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2057-12.2.0.23196</vt:lpwstr>
  </property>
  <property fmtid="{D5CDD505-2E9C-101B-9397-08002B2CF9AE}" pid="3" name="ICV">
    <vt:lpwstr>6EAC6FC048AF4CCAB0B88548088A7033_12</vt:lpwstr>
  </property>
</Properties>
</file>