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29A900">
      <w:pPr>
        <w:pStyle w:val="2"/>
        <w:spacing w:before="0" w:after="0" w:line="360" w:lineRule="auto"/>
        <w:jc w:val="center"/>
        <w:rPr>
          <w:sz w:val="24"/>
          <w:szCs w:val="24"/>
        </w:rPr>
      </w:pPr>
      <w:r>
        <w:rPr>
          <w:sz w:val="24"/>
          <w:szCs w:val="24"/>
        </w:rPr>
        <w:t>CHAPTER TWO</w:t>
      </w:r>
    </w:p>
    <w:p w14:paraId="5F949EE1">
      <w:pPr>
        <w:pStyle w:val="2"/>
        <w:spacing w:before="0" w:after="0" w:line="360" w:lineRule="auto"/>
        <w:jc w:val="center"/>
        <w:rPr>
          <w:sz w:val="24"/>
          <w:szCs w:val="24"/>
        </w:rPr>
      </w:pPr>
      <w:r>
        <w:rPr>
          <w:sz w:val="24"/>
          <w:szCs w:val="24"/>
        </w:rPr>
        <w:t>LITERATURE REVIEW</w:t>
      </w:r>
    </w:p>
    <w:p w14:paraId="22786739">
      <w:pPr>
        <w:pStyle w:val="3"/>
        <w:spacing w:line="360" w:lineRule="auto"/>
        <w:rPr>
          <w:sz w:val="24"/>
          <w:szCs w:val="24"/>
        </w:rPr>
      </w:pPr>
      <w:r>
        <w:rPr>
          <w:sz w:val="24"/>
          <w:szCs w:val="24"/>
        </w:rPr>
        <w:t>2.1 Overview of Stock Market Prediction</w:t>
      </w:r>
    </w:p>
    <w:p w14:paraId="4607B36C">
      <w:pPr>
        <w:spacing w:after="160" w:line="360" w:lineRule="auto"/>
        <w:ind w:firstLine="720"/>
        <w:jc w:val="both"/>
      </w:pPr>
      <w:r>
        <w:t>The prediction of stock market prices has been a subject of sustained scientific inquiry for over a century, driven by the enormous economic stakes associated with accurate financial forecasting. The theoretical foundation of modern financial economics was long dominated by the Efficient Market Hypothesis (EMH), formulated by Fama (1970), which posited that asset prices instantaneously and fully reflect all publicly available information, thereby rendering systematic profitable prediction impossible. Under the strong form of the EMH, no model however sophisticated could consistently outperform the market.</w:t>
      </w:r>
    </w:p>
    <w:p w14:paraId="4C82C498">
      <w:pPr>
        <w:spacing w:after="160" w:line="360" w:lineRule="auto"/>
        <w:ind w:firstLine="720"/>
        <w:jc w:val="both"/>
      </w:pPr>
      <w:r>
        <w:t>However, empirical evidence accumulated over subsequent decades has repeatedly challenged the EMH. Researchers documented numerous market anomalies systematic deviations from random walk behaviour including momentum effects, mean reversion, calendar anomalies (e.g., the January effect), and post-earnings announcement drift (Jegadeesh &amp; Titman, 1993). These anomalies suggested that stock prices contain exploitable temporal patterns, providing empirical justification for the application of predictive models.</w:t>
      </w:r>
    </w:p>
    <w:p w14:paraId="66BB18A1">
      <w:pPr>
        <w:spacing w:after="160" w:line="360" w:lineRule="auto"/>
        <w:ind w:firstLine="720"/>
        <w:jc w:val="both"/>
      </w:pPr>
      <w:r>
        <w:t>From a broader methodological standpoint, stock price prediction approaches can be broadly classified into three principal categories: technical analysis, fundamental analysis, and quantitative/computational analysis. Technical analysis, pioneered by Dow Theory and refined by subsequent practitioners, involves the identification of price patterns, trends, and momentum signals in historical price and volume data. Fundamental analysis, by contrast, focuses on estimating the intrinsic value of a security by analysing financial statements, earnings growth, dividends, and macroeconomic conditions. Quantitative and computational analysis, which is the focus of this study, applies mathematical models and algorithms to identify statistical regularities in financial data and generate predictions.</w:t>
      </w:r>
    </w:p>
    <w:p w14:paraId="3E80874A">
      <w:pPr>
        <w:spacing w:after="160" w:line="360" w:lineRule="auto"/>
        <w:ind w:firstLine="720"/>
        <w:jc w:val="both"/>
      </w:pPr>
      <w:r>
        <w:t>The application of computational methods to stock price prediction gained momentum with the proliferation of large-scale digital financial databases and advances in computing power in the 1980s and 1990s. Early work focused on univariate time series models such as ARIMA and GARCH (Generalised Autoregressive Conditional Heteroskedasticity), which captured autocorrelation and conditional volatility in price returns. These were followed by artificial neural networks in the 1990s, which began demonstrating the ability to model non-linear relationships in financial data (Kaastra &amp; Boyd, 1996).</w:t>
      </w:r>
    </w:p>
    <w:p w14:paraId="7882EECD">
      <w:pPr>
        <w:spacing w:after="160" w:line="360" w:lineRule="auto"/>
        <w:ind w:firstLine="720"/>
        <w:jc w:val="both"/>
      </w:pPr>
      <w:r>
        <w:t>The explosion of big data and the development of sophisticated ML and DL frameworks in the 2010s and 2020s transformed the landscape of stock market prediction research. Studies leveraging ensemble methods, deep neural networks, and hybrid models proliferated, consistently reporting improvements over statistical baselines (Nayak et al., 2016; Moghar &amp; Hamiche, 2020). The availability of alternative data sources including social media sentiment, satellite imagery, and web search trends further expanded the frontier of predictive inputs.</w:t>
      </w:r>
    </w:p>
    <w:p w14:paraId="08EF204A">
      <w:pPr>
        <w:spacing w:after="160" w:line="360" w:lineRule="auto"/>
        <w:ind w:firstLine="720"/>
        <w:jc w:val="both"/>
      </w:pPr>
      <w:r>
        <w:t>Contemporary research increasingly emphasises the development of end-to-end automated or semi-autonomous prediction systems that integrate data sourcing, preprocessing, model training, and deployment into unified pipelines. This shift reflects the growing recognition that the true value of predictive models is realised not through isolated academic experiments but through their integration into actionable decision-support tools (Gu et al., 2020). This research aligns with this contemporary orientation by proposing a comprehensive autonomous framework rather than a standalone model.</w:t>
      </w:r>
    </w:p>
    <w:p w14:paraId="4D56F2EF">
      <w:pPr>
        <w:pStyle w:val="3"/>
        <w:spacing w:line="360" w:lineRule="auto"/>
        <w:rPr>
          <w:sz w:val="24"/>
          <w:szCs w:val="24"/>
        </w:rPr>
      </w:pPr>
      <w:r>
        <w:rPr>
          <w:sz w:val="24"/>
          <w:szCs w:val="24"/>
        </w:rPr>
        <w:t>2.2 Traditional Statistical Models</w:t>
      </w:r>
    </w:p>
    <w:p w14:paraId="0D48B2BF">
      <w:pPr>
        <w:spacing w:after="160" w:line="360" w:lineRule="auto"/>
        <w:ind w:firstLine="720"/>
        <w:jc w:val="both"/>
      </w:pPr>
      <w:r>
        <w:t>Statistical models represent the classical approach to financial time series forecasting and continue to serve as essential baselines against which more complex methods are benchmarked. The most prominent statistical models employed in stock price prediction are reviewed below.</w:t>
      </w:r>
    </w:p>
    <w:p w14:paraId="44E8C1DC">
      <w:pPr>
        <w:pStyle w:val="4"/>
        <w:spacing w:line="360" w:lineRule="auto"/>
        <w:rPr>
          <w:i w:val="0"/>
          <w:iCs w:val="0"/>
        </w:rPr>
      </w:pPr>
      <w:r>
        <w:rPr>
          <w:i w:val="0"/>
          <w:iCs w:val="0"/>
        </w:rPr>
        <w:t>2.2.1 Autoregressive Integrated Moving Average (ARIMA)</w:t>
      </w:r>
    </w:p>
    <w:p w14:paraId="4AEBC1F2">
      <w:pPr>
        <w:spacing w:after="160" w:line="360" w:lineRule="auto"/>
        <w:ind w:firstLine="720"/>
        <w:jc w:val="both"/>
      </w:pPr>
      <w:r>
        <w:t>The ARIMA model, developed by Box and Jenkins (1976), is one of the most widely applied univariate time series models in econometrics. ARIMA(p, d, q) combines autoregression (AR), differencing (I) to achieve stationarity, and a moving average (MA) component. The AR(p) component models the current value as a linear combination of its p past values; the MA(q) component models the current value as a linear function of past forecast errors; and the differencing parameter d specifies the number of times the series must be differenced to achieve stationarity.</w:t>
      </w:r>
    </w:p>
    <w:p w14:paraId="5F5B8891">
      <w:pPr>
        <w:spacing w:after="160" w:line="360" w:lineRule="auto"/>
        <w:ind w:firstLine="720"/>
        <w:jc w:val="both"/>
      </w:pPr>
      <w:r>
        <w:t>The ARIMA model has been extensively applied to stock price data. Ariyo et al. (2014) evaluated the applicability of ARIMA for short-term stock price forecasting on NYSE-listed stocks and reported moderate predictive accuracy for relatively stable periods. Wei et al. (2020) noted that ARIMA models perform reasonably well under conditions of approximate stationarity and low volatility but degrade significantly during periods of high market turbulence. The key limitations of ARIMA include its linearity assumption, its inability to capture non-linear relationships, and the stationarity requirement, which frequently necessitates multiple rounds of differencing and transformation.</w:t>
      </w:r>
    </w:p>
    <w:p w14:paraId="315AF961">
      <w:pPr>
        <w:spacing w:after="160" w:line="360" w:lineRule="auto"/>
        <w:ind w:firstLine="720"/>
        <w:jc w:val="both"/>
      </w:pPr>
      <w:r>
        <w:t>Extensions of ARIMA, including the Seasonal ARIMA (SARIMA) and ARIMAX (ARIMA with exogenous variables), have been proposed to address some of these limitations, but they remain fundamentally linear and fail to capture the complex non-linear dynamics of modern financial markets.</w:t>
      </w:r>
    </w:p>
    <w:p w14:paraId="3E93B44D">
      <w:pPr>
        <w:pStyle w:val="4"/>
        <w:spacing w:line="360" w:lineRule="auto"/>
        <w:rPr>
          <w:i w:val="0"/>
          <w:iCs w:val="0"/>
        </w:rPr>
      </w:pPr>
      <w:r>
        <w:rPr>
          <w:i w:val="0"/>
          <w:iCs w:val="0"/>
        </w:rPr>
        <w:t>2.2.2 Linear Regression</w:t>
      </w:r>
    </w:p>
    <w:p w14:paraId="1957C109">
      <w:pPr>
        <w:spacing w:after="160" w:line="360" w:lineRule="auto"/>
        <w:ind w:firstLine="720"/>
        <w:jc w:val="both"/>
      </w:pPr>
      <w:r>
        <w:t>Linear Regression is the simplest and most interpretable predictive model for stock prices. In the univariate case, it models the relationship between the current stock price and a single predictor (e.g., time or the previous day's price). In the multivariate case, it regresses the target price against multiple features including technical indicators, macroeconomic variables, and lagged returns. The model estimates coefficients using the Ordinary Least Squares (OLS) method, minimising the residual sum of squares.</w:t>
      </w:r>
    </w:p>
    <w:p w14:paraId="7003C2DB">
      <w:pPr>
        <w:spacing w:after="160" w:line="360" w:lineRule="auto"/>
        <w:ind w:firstLine="720"/>
        <w:jc w:val="both"/>
      </w:pPr>
      <w:r>
        <w:t>Despite its simplicity, Linear Regression has been shown to provide competitive short-term predictions under stable market conditions (Qian &amp; Rasheed, 2007). Patel et al. (2021) used Linear Regression as a baseline model in their comparative study and found it to be consistently outperformed by ensemble and deep learning methods, particularly in volatile market environments. The model's primary limitations include its inability to capture non-linear relationships, its sensitivity to multicollinearity among feature variables, and its assumption of homoscedasticity, which is frequently violated in financial data.</w:t>
      </w:r>
    </w:p>
    <w:p w14:paraId="51C98094">
      <w:pPr>
        <w:pStyle w:val="4"/>
        <w:spacing w:line="360" w:lineRule="auto"/>
        <w:rPr>
          <w:i w:val="0"/>
          <w:iCs w:val="0"/>
        </w:rPr>
      </w:pPr>
      <w:r>
        <w:rPr>
          <w:i w:val="0"/>
          <w:iCs w:val="0"/>
        </w:rPr>
        <w:t>2.2.3 Exponential Smoothing and Moving Averages</w:t>
      </w:r>
    </w:p>
    <w:p w14:paraId="61A8358E">
      <w:pPr>
        <w:spacing w:after="160" w:line="360" w:lineRule="auto"/>
        <w:ind w:firstLine="720"/>
        <w:jc w:val="both"/>
      </w:pPr>
      <w:r>
        <w:t>Exponential smoothing methods, including Simple Exponential Smoothing (SES), Holt's linear trend method, and the Holt-Winters seasonal model, are widely used for short-term financial forecasting. These models assign exponentially decreasing weights to past observations, emphasising recent data more than historical observations. Moving averages (simple and exponential) are also foundational to technical analysis, serving both as standalone indicators and as features in machine learning models.</w:t>
      </w:r>
    </w:p>
    <w:p w14:paraId="6E58874F">
      <w:pPr>
        <w:spacing w:after="160" w:line="360" w:lineRule="auto"/>
        <w:ind w:firstLine="720"/>
        <w:jc w:val="both"/>
      </w:pPr>
      <w:r>
        <w:t>Makridakis et al. (2018) demonstrated in the M4 forecasting competition that simpler statistical methods, including exponential smoothing, often compete favourably with complex ML models on standard time series benchmarks. However, their performance on highly volatile financial time series such as individual stock prices remains limited relative to modern deep learning approaches.</w:t>
      </w:r>
    </w:p>
    <w:p w14:paraId="32E766D5">
      <w:pPr>
        <w:pStyle w:val="3"/>
        <w:spacing w:line="360" w:lineRule="auto"/>
        <w:rPr>
          <w:sz w:val="24"/>
          <w:szCs w:val="24"/>
        </w:rPr>
      </w:pPr>
      <w:r>
        <w:rPr>
          <w:sz w:val="24"/>
          <w:szCs w:val="24"/>
        </w:rPr>
        <w:t>2.3 Machine Learning Models</w:t>
      </w:r>
    </w:p>
    <w:p w14:paraId="2BF4656C">
      <w:pPr>
        <w:spacing w:after="160" w:line="360" w:lineRule="auto"/>
        <w:ind w:firstLine="720"/>
        <w:jc w:val="both"/>
      </w:pPr>
      <w:r>
        <w:t>Machine learning models have substantially advanced the state of the art in stock price prediction by enabling the modelling of non-linear relationships, handling high-dimensional feature spaces, and adapting to complex data distributions without explicit parametric assumptions.</w:t>
      </w:r>
    </w:p>
    <w:p w14:paraId="0C2AC0AB">
      <w:pPr>
        <w:pStyle w:val="4"/>
        <w:spacing w:line="360" w:lineRule="auto"/>
      </w:pPr>
      <w:r>
        <w:rPr>
          <w:i w:val="0"/>
          <w:iCs w:val="0"/>
        </w:rPr>
        <w:t>2.3.1 Support Vector Machines (SVM)</w:t>
      </w:r>
    </w:p>
    <w:p w14:paraId="3E0F5487">
      <w:pPr>
        <w:spacing w:after="160" w:line="360" w:lineRule="auto"/>
        <w:ind w:firstLine="720"/>
        <w:jc w:val="both"/>
      </w:pPr>
      <w:r>
        <w:t>Support Vector Machines, originally developed for classification tasks, were extended to regression problems through the formulation of Support Vector Regression (SVR) by Vapnik (1995). SVR maps input features into a high-dimensional kernel space and identifies a regression hyperplane that maximises the margin within which predictions fall, controlled by an epsilon-insensitive loss function. The use of the kernel trick (e.g., RBF kernel) enables SVR to model non-linear relationships effectively.</w:t>
      </w:r>
    </w:p>
    <w:p w14:paraId="6EB4B1AF">
      <w:pPr>
        <w:spacing w:after="160" w:line="360" w:lineRule="auto"/>
        <w:ind w:firstLine="720"/>
        <w:jc w:val="both"/>
      </w:pPr>
      <w:r>
        <w:t>Huang et al. (2005) demonstrated that SVM-based classifiers could predict the direction of S&amp;P 500 index changes more accurately than Linear Discriminant Analysis and Backpropagation Neural Networks. More recent work by Kim (2020) and Zhang et al. (2023) confirmed that SVR models outperform ARIMA and Linear Regression on daily stock price prediction tasks, particularly when applied to well-engineered feature sets. A limitation of SVR is its computational intensity for large datasets and sensitivity to kernel and regularisation hyperparameters.</w:t>
      </w:r>
    </w:p>
    <w:p w14:paraId="7F5E0C99">
      <w:pPr>
        <w:pStyle w:val="4"/>
        <w:spacing w:line="360" w:lineRule="auto"/>
        <w:rPr>
          <w:i w:val="0"/>
          <w:iCs w:val="0"/>
        </w:rPr>
      </w:pPr>
      <w:r>
        <w:rPr>
          <w:i w:val="0"/>
          <w:iCs w:val="0"/>
        </w:rPr>
        <w:t>2.3.2 Random Forest</w:t>
      </w:r>
    </w:p>
    <w:p w14:paraId="4AC3542E">
      <w:pPr>
        <w:spacing w:after="160" w:line="360" w:lineRule="auto"/>
        <w:ind w:firstLine="720"/>
        <w:jc w:val="both"/>
      </w:pPr>
      <w:r>
        <w:t>Random Forest, introduced by Breiman (2001), is an ensemble learning method that constructs a large number of decision trees during training and aggregates their predictions (by averaging for regression) to improve accuracy and reduce overfitting. Each tree is trained on a bootstrap sample of the training data, and at each split, a random subset of features is considered, promoting diversity among the trees.</w:t>
      </w:r>
    </w:p>
    <w:p w14:paraId="5651035F">
      <w:pPr>
        <w:spacing w:after="160" w:line="360" w:lineRule="auto"/>
        <w:ind w:firstLine="720"/>
        <w:jc w:val="both"/>
      </w:pPr>
      <w:r>
        <w:t>Random Forest has been widely applied to stock price prediction with consistently strong results. Patel et al. (2021) demonstrated that Random Forest outperformed ARIMA, Linear Regression, and single decision trees on closing price prediction for ten Indian National Stock Exchange (NSE) equities. The model's key advantages include its robustness to overfitting, its ability to handle high-dimensional feature spaces, and its provision of feature importance scores, which support interpretability. Its limitations include the inability to extrapolate beyond the range of training data and the black-box nature of the ensemble prediction.</w:t>
      </w:r>
    </w:p>
    <w:p w14:paraId="4FE09F69">
      <w:pPr>
        <w:pStyle w:val="4"/>
        <w:spacing w:line="360" w:lineRule="auto"/>
        <w:rPr>
          <w:i w:val="0"/>
          <w:iCs w:val="0"/>
        </w:rPr>
      </w:pPr>
      <w:r>
        <w:rPr>
          <w:i w:val="0"/>
          <w:iCs w:val="0"/>
        </w:rPr>
        <w:t>2.3.3 Gradient Boosting Methods</w:t>
      </w:r>
    </w:p>
    <w:p w14:paraId="5505F8CC">
      <w:pPr>
        <w:spacing w:after="160" w:line="360" w:lineRule="auto"/>
        <w:ind w:firstLine="720"/>
        <w:jc w:val="both"/>
      </w:pPr>
      <w:r>
        <w:t>Gradient Boosting algorithms, including XGBoost (Chen &amp; Guestrin, 2016), LightGBM, and CatBoost, have gained considerable popularity in financial machine learning due to their exceptional predictive performance on structured tabular data. These algorithms build an ensemble of weak learners (typically shallow decision trees) sequentially, with each tree correcting the residual errors of the previous ensemble.</w:t>
      </w:r>
    </w:p>
    <w:p w14:paraId="6BE1A812">
      <w:pPr>
        <w:spacing w:after="160" w:line="360" w:lineRule="auto"/>
        <w:ind w:firstLine="720"/>
        <w:jc w:val="both"/>
      </w:pPr>
      <w:r>
        <w:t>Gu et al. (2020) conducted one of the largest systematic studies of ML models for stock return prediction, evaluating linear, tree-based, neural network, and ensemble models on US equities data. They reported that tree-based ensemble methods, particularly gradient boosting variants, delivered the most robust out-of-sample performance. However, for time series tasks requiring the capture of temporal dependencies, sequential models such as LSTM remain competitive (Zhang et al., 2023).</w:t>
      </w:r>
    </w:p>
    <w:p w14:paraId="7E17D9A2">
      <w:pPr>
        <w:spacing w:after="160" w:line="360" w:lineRule="auto"/>
        <w:ind w:firstLine="720"/>
        <w:jc w:val="both"/>
      </w:pPr>
    </w:p>
    <w:p w14:paraId="29276412">
      <w:pPr>
        <w:spacing w:after="160" w:line="360" w:lineRule="auto"/>
        <w:ind w:firstLine="720"/>
        <w:jc w:val="both"/>
      </w:pPr>
    </w:p>
    <w:p w14:paraId="3D1076AC">
      <w:pPr>
        <w:spacing w:after="160" w:line="360" w:lineRule="auto"/>
        <w:ind w:firstLine="720"/>
        <w:jc w:val="both"/>
      </w:pPr>
    </w:p>
    <w:p w14:paraId="40BCD0D5">
      <w:pPr>
        <w:pStyle w:val="3"/>
        <w:spacing w:line="360" w:lineRule="auto"/>
        <w:rPr>
          <w:sz w:val="24"/>
          <w:szCs w:val="24"/>
        </w:rPr>
      </w:pPr>
      <w:r>
        <w:rPr>
          <w:sz w:val="24"/>
          <w:szCs w:val="24"/>
        </w:rPr>
        <w:t>2.4 Deep Learning Approaches</w:t>
      </w:r>
    </w:p>
    <w:p w14:paraId="3E3031FC">
      <w:pPr>
        <w:spacing w:after="160" w:line="360" w:lineRule="auto"/>
        <w:ind w:firstLine="720"/>
        <w:jc w:val="both"/>
      </w:pPr>
      <w:r>
        <w:t>Deep learning has emerged as the most powerful class of methods for stock price prediction, offering the ability to learn hierarchical feature representations directly from raw data and to model complex temporal dynamics across multiple timescales.</w:t>
      </w:r>
    </w:p>
    <w:p w14:paraId="4999C4A3">
      <w:pPr>
        <w:pStyle w:val="4"/>
        <w:spacing w:line="360" w:lineRule="auto"/>
        <w:rPr>
          <w:i w:val="0"/>
          <w:iCs w:val="0"/>
        </w:rPr>
      </w:pPr>
      <w:r>
        <w:rPr>
          <w:i w:val="0"/>
          <w:iCs w:val="0"/>
        </w:rPr>
        <w:t>2.4.1 Recurrent Neural Networks (RNNs)</w:t>
      </w:r>
    </w:p>
    <w:p w14:paraId="318CA9BC">
      <w:pPr>
        <w:spacing w:after="160" w:line="360" w:lineRule="auto"/>
        <w:ind w:firstLine="720"/>
        <w:jc w:val="both"/>
      </w:pPr>
      <w:r>
        <w:t>Recurrent Neural Networks are neural network architectures designed for sequential data. Unlike feedforward networks, RNNs contain recurrent connections that allow information to persist across time steps, making them theoretically capable of modelling temporal dependencies in time series. The network maintains a hidden state h_t that is updated at each time step t based on the current input x_t and the previous hidden state h_{t-1}:</w:t>
      </w:r>
    </w:p>
    <w:p w14:paraId="3C3D5070">
      <w:pPr>
        <w:spacing w:before="100" w:after="100" w:line="360" w:lineRule="auto"/>
        <w:jc w:val="center"/>
      </w:pPr>
      <w:r>
        <w:rPr>
          <w:rFonts w:eastAsia="Courier New"/>
          <w:i/>
          <w:iCs/>
        </w:rPr>
        <w:t>h_t = tanh(W_h * h_{t-1} + W_x * x_t + b)</w:t>
      </w:r>
    </w:p>
    <w:p w14:paraId="5E3E66A5">
      <w:pPr>
        <w:spacing w:after="160" w:line="360" w:lineRule="auto"/>
        <w:ind w:firstLine="720"/>
        <w:jc w:val="both"/>
      </w:pPr>
      <w:r>
        <w:t>where W_h and W_x are weight matrices, and b is the bias vector. Despite their theoretical appeal, standard RNNs suffer from the vanishing gradient problem during backpropagation through time, which severely limits their ability to capture long-range dependencies in sequences longer than approximately 10-20 time steps (Bengio et al., 1994).</w:t>
      </w:r>
    </w:p>
    <w:p w14:paraId="7858F963">
      <w:pPr>
        <w:pStyle w:val="4"/>
        <w:spacing w:line="360" w:lineRule="auto"/>
        <w:rPr>
          <w:i w:val="0"/>
          <w:iCs w:val="0"/>
        </w:rPr>
      </w:pPr>
      <w:r>
        <w:rPr>
          <w:i w:val="0"/>
          <w:iCs w:val="0"/>
        </w:rPr>
        <w:t>2.4.2 Long Short-Term Memory (LSTM) Networks</w:t>
      </w:r>
    </w:p>
    <w:p w14:paraId="2DDB59A4">
      <w:pPr>
        <w:spacing w:after="160" w:line="360" w:lineRule="auto"/>
        <w:ind w:firstLine="720"/>
        <w:jc w:val="both"/>
      </w:pPr>
      <w:r>
        <w:t>Long Short-Term Memory networks, introduced by Hochreiter and Schmidhuber (1997), address the vanishing gradient problem through the introduction of a memory cell and three gating mechanisms: the input gate, the forget gate, and the output gate. These gates regulate the flow of information into, within, and out of the memory cell, enabling the network to selectively retain or discard information over arbitrarily long sequences.</w:t>
      </w:r>
    </w:p>
    <w:p w14:paraId="70DA98F2">
      <w:pPr>
        <w:spacing w:after="160" w:line="360" w:lineRule="auto"/>
        <w:ind w:firstLine="720"/>
        <w:jc w:val="both"/>
      </w:pPr>
      <w:r>
        <w:t>The LSTM update equations at each time step t are as follows:</w:t>
      </w:r>
    </w:p>
    <w:p w14:paraId="5F93BABC">
      <w:pPr>
        <w:spacing w:before="80" w:after="40" w:line="360" w:lineRule="auto"/>
        <w:ind w:left="720"/>
      </w:pPr>
      <w:r>
        <w:rPr>
          <w:rFonts w:eastAsia="Courier New"/>
        </w:rPr>
        <w:t>Forget gate:     f_t = sigma(W_f * [h_{t-1}, x_t] + b_f)</w:t>
      </w:r>
    </w:p>
    <w:p w14:paraId="08D3E92B">
      <w:pPr>
        <w:spacing w:before="40" w:after="40" w:line="360" w:lineRule="auto"/>
        <w:ind w:left="720"/>
      </w:pPr>
      <w:r>
        <w:rPr>
          <w:rFonts w:eastAsia="Courier New"/>
        </w:rPr>
        <w:t>Input gate:      i_t = sigma(W_i * [h_{t-1}, x_t] + b_i)</w:t>
      </w:r>
    </w:p>
    <w:p w14:paraId="6C5BFA76">
      <w:pPr>
        <w:spacing w:before="40" w:after="40" w:line="360" w:lineRule="auto"/>
        <w:ind w:left="720"/>
      </w:pPr>
      <w:r>
        <w:rPr>
          <w:rFonts w:eastAsia="Courier New"/>
        </w:rPr>
        <w:t>Candidate:       C~_t = tanh(W_C * [h_{t-1}, x_t] + b_C)</w:t>
      </w:r>
    </w:p>
    <w:p w14:paraId="14236C3C">
      <w:pPr>
        <w:spacing w:before="40" w:after="40" w:line="360" w:lineRule="auto"/>
        <w:ind w:left="720"/>
      </w:pPr>
      <w:r>
        <w:rPr>
          <w:rFonts w:eastAsia="Courier New"/>
        </w:rPr>
        <w:t>Cell update:     C_t = f_t * C_{t-1} + i_t * C~_t</w:t>
      </w:r>
    </w:p>
    <w:p w14:paraId="74E8EFFB">
      <w:pPr>
        <w:spacing w:before="40" w:after="80" w:line="360" w:lineRule="auto"/>
        <w:ind w:left="720"/>
      </w:pPr>
      <w:r>
        <w:rPr>
          <w:rFonts w:eastAsia="Courier New"/>
        </w:rPr>
        <w:t>Output gate:     o_t = sigma(W_o * [h_{t-1}, x_t] + b_o)</w:t>
      </w:r>
    </w:p>
    <w:p w14:paraId="595ECD96">
      <w:pPr>
        <w:spacing w:before="40" w:after="80" w:line="360" w:lineRule="auto"/>
        <w:ind w:left="720"/>
      </w:pPr>
      <w:r>
        <w:rPr>
          <w:rFonts w:eastAsia="Courier New"/>
        </w:rPr>
        <w:t>Hidden state:    h_t = o_t * tanh(C_t)</w:t>
      </w:r>
    </w:p>
    <w:p w14:paraId="7D0BA675">
      <w:pPr>
        <w:spacing w:after="160" w:line="360" w:lineRule="auto"/>
        <w:ind w:firstLine="720"/>
        <w:jc w:val="both"/>
      </w:pPr>
      <w:r>
        <w:t>where sigma denotes the sigmoid activation function, and W and b represent the weight matrices and biases for each respective gate.</w:t>
      </w:r>
    </w:p>
    <w:p w14:paraId="5E12F2B9">
      <w:pPr>
        <w:spacing w:after="160" w:line="360" w:lineRule="auto"/>
        <w:ind w:firstLine="720"/>
        <w:jc w:val="both"/>
      </w:pPr>
      <w:r>
        <w:t>LSTM networks have been extensively applied to financial time series forecasting. Fischer and Krauss (2018) applied LSTM networks to predict the direction of S&amp;P 500 constituent stock returns and reported significant outperformance relative to Random Forests, deep neural networks, and ARIMA. Moghar and Hamiche (2020) used LSTM for stock market prediction on Moroccan exchange data and achieved RMSE values significantly lower than ARIMA. Liu and Long (2020) developed a hybrid LSTM-attention model that demonstrated improved predictive accuracy by combining the temporal learning capacity of LSTM with an attention mechanism that weighted the importance of different time steps.</w:t>
      </w:r>
    </w:p>
    <w:p w14:paraId="01FD8564">
      <w:pPr>
        <w:pStyle w:val="4"/>
        <w:spacing w:line="360" w:lineRule="auto"/>
        <w:rPr>
          <w:i w:val="0"/>
          <w:iCs w:val="0"/>
        </w:rPr>
      </w:pPr>
      <w:r>
        <w:rPr>
          <w:i w:val="0"/>
          <w:iCs w:val="0"/>
        </w:rPr>
        <w:t>2.4.3 Convolutional Neural Networks (CNNs) and Hybrid Models</w:t>
      </w:r>
    </w:p>
    <w:p w14:paraId="685D2FF7">
      <w:pPr>
        <w:spacing w:after="160" w:line="360" w:lineRule="auto"/>
        <w:ind w:firstLine="720"/>
        <w:jc w:val="both"/>
      </w:pPr>
      <w:r>
        <w:t>Convolutional Neural Networks, originally designed for image processing, have been adapted for one-dimensional financial time series by treating price sequences as signals to which convolutional filters can be applied. CNNs excel at extracting local patterns (e.g., short-term price patterns) through their convolutional and pooling operations. Hybrid CNN-LSTM architectures, which combine the local feature extraction capability of CNNs with the temporal modelling capacity of LSTMs, have been reported to outperform standalone models in several studies (Sezer et al., 2020).</w:t>
      </w:r>
    </w:p>
    <w:p w14:paraId="2984B651">
      <w:pPr>
        <w:spacing w:after="160" w:line="360" w:lineRule="auto"/>
        <w:ind w:firstLine="720"/>
        <w:jc w:val="both"/>
      </w:pPr>
      <w:r>
        <w:t>Transformer-based architectures, originally introduced for natural language processing by Vaswani et al. (2017), have more recently been applied to financial time series prediction. The self-attention mechanism of Transformers enables them to capture dependencies across the full sequence length simultaneously, without the sequential bottleneck of RNNs. Studies by Zhou et al. (2021) and Li et al. (2022) demonstrated promising results for transformer-based stock prediction models, though their computational requirements and data demands are substantially higher than those of LSTM models.</w:t>
      </w:r>
    </w:p>
    <w:p w14:paraId="41E67C1D">
      <w:pPr>
        <w:pStyle w:val="3"/>
        <w:spacing w:line="360" w:lineRule="auto"/>
        <w:rPr>
          <w:sz w:val="24"/>
          <w:szCs w:val="24"/>
        </w:rPr>
      </w:pPr>
    </w:p>
    <w:p w14:paraId="0D18DBAC">
      <w:pPr>
        <w:pStyle w:val="3"/>
        <w:spacing w:line="360" w:lineRule="auto"/>
        <w:rPr>
          <w:sz w:val="24"/>
          <w:szCs w:val="24"/>
        </w:rPr>
      </w:pPr>
    </w:p>
    <w:p w14:paraId="2BE4B2DC">
      <w:pPr>
        <w:pStyle w:val="3"/>
        <w:spacing w:line="360" w:lineRule="auto"/>
        <w:rPr>
          <w:sz w:val="24"/>
          <w:szCs w:val="24"/>
        </w:rPr>
      </w:pPr>
      <w:r>
        <w:rPr>
          <w:sz w:val="24"/>
          <w:szCs w:val="24"/>
        </w:rPr>
        <w:t>2.5 Feature Engineering in Financial Data</w:t>
      </w:r>
    </w:p>
    <w:p w14:paraId="14C4BB5F">
      <w:pPr>
        <w:spacing w:after="160" w:line="360" w:lineRule="auto"/>
        <w:ind w:firstLine="720"/>
        <w:jc w:val="both"/>
      </w:pPr>
      <w:r>
        <w:t>Feature engineering the process of constructing informative input variables from raw financial data is a critical determinant of model performance in stock price prediction. Well-engineered features can substantially improve the predictive accuracy of models by providing them with domain-relevant signals that are not directly observable in raw price data.</w:t>
      </w:r>
    </w:p>
    <w:p w14:paraId="2EFF91C5">
      <w:pPr>
        <w:spacing w:after="160" w:line="360" w:lineRule="auto"/>
        <w:ind w:firstLine="720"/>
        <w:jc w:val="both"/>
      </w:pPr>
      <w:r>
        <w:t>Technical indicators constitute the most widely used category of engineered features in financial ML. These include:</w:t>
      </w:r>
    </w:p>
    <w:p w14:paraId="0863B6F2">
      <w:pPr>
        <w:pStyle w:val="11"/>
        <w:numPr>
          <w:ilvl w:val="0"/>
          <w:numId w:val="1"/>
        </w:numPr>
        <w:spacing w:after="100" w:line="360" w:lineRule="auto"/>
        <w:jc w:val="both"/>
      </w:pPr>
      <w:r>
        <w:t>Moving Averages (MA): Simple Moving Average (SMA) and Exponential Moving Average (EMA) smooth price fluctuations and identify trends over specified lookback periods. A common configuration uses 10-day, 20-day, and 50-day moving averages.</w:t>
      </w:r>
    </w:p>
    <w:p w14:paraId="746458BF">
      <w:pPr>
        <w:pStyle w:val="11"/>
        <w:numPr>
          <w:ilvl w:val="0"/>
          <w:numId w:val="1"/>
        </w:numPr>
        <w:spacing w:after="100" w:line="360" w:lineRule="auto"/>
        <w:jc w:val="both"/>
      </w:pPr>
      <w:r>
        <w:t>Relative Strength Index (RSI): A momentum oscillator developed by Wilder (1978), RSI measures the speed and magnitude of recent price changes on a scale of 0 to 100. Values above 70 signal potential overbought conditions, while values below 30 indicate potential oversold conditions.</w:t>
      </w:r>
    </w:p>
    <w:p w14:paraId="5B64F16D">
      <w:pPr>
        <w:pStyle w:val="11"/>
        <w:numPr>
          <w:ilvl w:val="0"/>
          <w:numId w:val="1"/>
        </w:numPr>
        <w:spacing w:after="100" w:line="360" w:lineRule="auto"/>
        <w:jc w:val="both"/>
      </w:pPr>
      <w:r>
        <w:t>Moving Average Convergence Divergence (MACD): The MACD indicator calculates the difference between a 12-day EMA and a 26-day EMA, along with a signal line (9-day EMA of the MACD). It is used to identify potential trend reversals and momentum shifts.</w:t>
      </w:r>
    </w:p>
    <w:p w14:paraId="292C5A2E">
      <w:pPr>
        <w:pStyle w:val="11"/>
        <w:numPr>
          <w:ilvl w:val="0"/>
          <w:numId w:val="1"/>
        </w:numPr>
        <w:spacing w:after="100" w:line="360" w:lineRule="auto"/>
        <w:jc w:val="both"/>
      </w:pPr>
      <w:r>
        <w:t>Bollinger Bands: Developed by Bollinger (1983), these consist of a 20-day SMA (middle band) and upper and lower bands set at two standard deviations above and below the middle band. They provide a volatility measure and identify price levels that may be relatively high or low.</w:t>
      </w:r>
    </w:p>
    <w:p w14:paraId="671E0D64">
      <w:pPr>
        <w:pStyle w:val="11"/>
        <w:numPr>
          <w:ilvl w:val="0"/>
          <w:numId w:val="1"/>
        </w:numPr>
        <w:spacing w:after="100" w:line="360" w:lineRule="auto"/>
        <w:jc w:val="both"/>
      </w:pPr>
      <w:r>
        <w:t>Trading Volume: The daily traded volume of a security is a measure of market activity and can indicate the strength or significance of a price movement.</w:t>
      </w:r>
    </w:p>
    <w:p w14:paraId="29DF2900">
      <w:pPr>
        <w:pStyle w:val="11"/>
        <w:numPr>
          <w:ilvl w:val="0"/>
          <w:numId w:val="1"/>
        </w:numPr>
        <w:spacing w:after="100" w:line="360" w:lineRule="auto"/>
        <w:jc w:val="both"/>
      </w:pPr>
      <w:r>
        <w:t>Lagged Returns: The percentage returns over various lookback periods (e.g., 1-day, 5-day, 20-day) provide information about recent momentum and mean reversion tendencies.</w:t>
      </w:r>
    </w:p>
    <w:p w14:paraId="7EB69BF9">
      <w:pPr>
        <w:spacing w:after="160" w:line="360" w:lineRule="auto"/>
        <w:ind w:firstLine="720"/>
        <w:jc w:val="both"/>
      </w:pPr>
      <w:r>
        <w:t xml:space="preserve">Feng et al. (2019) demonstrated that including technical indicators as engineered features significantly improved the prediction accuracy of deep learning models compared to using raw OHLCV (Open, </w:t>
      </w:r>
      <w:bookmarkStart w:id="0" w:name="_GoBack"/>
      <w:bookmarkEnd w:id="0"/>
      <w:r>
        <w:t>High, Low, Close, Volume) data alone. Nti et al. (2020) conducted a systematic review of feature selection and engineering approaches in stock market prediction and concluded that the judicious combination of technical, fundamental, and sentiment-based features consistently delivers the best model performance.</w:t>
      </w:r>
    </w:p>
    <w:p w14:paraId="4F6551BE">
      <w:pPr>
        <w:spacing w:after="160" w:line="360" w:lineRule="auto"/>
        <w:ind w:firstLine="720"/>
        <w:jc w:val="both"/>
      </w:pPr>
      <w:r>
        <w:t>Dimensionality reduction techniques such as Principal Component Analysis (PCA) and feature selection methods such as Recursive Feature Elimination (RFE) are also employed to identify the most informative subset of features and reduce the risk of overfitting. Ma et al. (2021) applied PCA-based feature reduction prior to LSTM training and reported improved generalisation performance on held-out test data.</w:t>
      </w:r>
    </w:p>
    <w:p w14:paraId="4F81A633">
      <w:pPr>
        <w:pStyle w:val="3"/>
        <w:spacing w:line="360" w:lineRule="auto"/>
        <w:rPr>
          <w:sz w:val="24"/>
          <w:szCs w:val="24"/>
        </w:rPr>
      </w:pPr>
      <w:r>
        <w:rPr>
          <w:sz w:val="24"/>
          <w:szCs w:val="24"/>
        </w:rPr>
        <w:t>2.6 Evaluation Metrics</w:t>
      </w:r>
    </w:p>
    <w:p w14:paraId="2F1F9B86">
      <w:pPr>
        <w:spacing w:after="160" w:line="360" w:lineRule="auto"/>
        <w:ind w:firstLine="720"/>
        <w:jc w:val="both"/>
      </w:pPr>
      <w:r>
        <w:t>The evaluation of stock price prediction models requires the use of appropriate quantitative metrics that measure the discrepancy between predicted and actual values. The most commonly employed metrics in the literature are as follows:</w:t>
      </w:r>
    </w:p>
    <w:p w14:paraId="66C008C0">
      <w:pPr>
        <w:pStyle w:val="4"/>
        <w:spacing w:line="360" w:lineRule="auto"/>
        <w:rPr>
          <w:i w:val="0"/>
          <w:iCs w:val="0"/>
        </w:rPr>
      </w:pPr>
      <w:r>
        <w:rPr>
          <w:i w:val="0"/>
          <w:iCs w:val="0"/>
        </w:rPr>
        <w:t>2.6.1 Mean Absolute Error (MAE)</w:t>
      </w:r>
    </w:p>
    <w:p w14:paraId="0773ACE1">
      <w:pPr>
        <w:spacing w:after="160" w:line="360" w:lineRule="auto"/>
        <w:ind w:firstLine="720"/>
        <w:jc w:val="both"/>
      </w:pPr>
      <w:r>
        <w:t>MAE measures the average absolute difference between predicted and actual values. It provides an easily interpretable measure of prediction error in the same units as the target variable:</w:t>
      </w:r>
    </w:p>
    <w:p w14:paraId="11B5954D">
      <w:pPr>
        <w:spacing w:before="80" w:after="80" w:line="360" w:lineRule="auto"/>
        <w:jc w:val="center"/>
      </w:pPr>
      <m:oMathPara>
        <m:oMath>
          <m:r>
            <m:rPr/>
            <w:rPr>
              <w:rFonts w:ascii="Cambria Math" w:hAnsi="Cambria Math" w:eastAsia="Courier New"/>
            </w:rPr>
            <m:t>MAE = (1/n) ∗ Sum|y_i − y_hat_i|</m:t>
          </m:r>
        </m:oMath>
      </m:oMathPara>
    </w:p>
    <w:p w14:paraId="2B3123BF">
      <w:pPr>
        <w:spacing w:after="160" w:line="360" w:lineRule="auto"/>
        <w:ind w:firstLine="720"/>
        <w:jc w:val="both"/>
      </w:pPr>
      <w:r>
        <w:t>where n is the number of observations, y_i is the actual value, and y_hat_i is the predicted value. MAE is robust to outliers relative to MSE, as it does not square the errors.</w:t>
      </w:r>
    </w:p>
    <w:p w14:paraId="5B9852FD">
      <w:pPr>
        <w:pStyle w:val="4"/>
        <w:spacing w:line="360" w:lineRule="auto"/>
        <w:rPr>
          <w:i w:val="0"/>
          <w:iCs w:val="0"/>
        </w:rPr>
      </w:pPr>
      <w:r>
        <w:rPr>
          <w:i w:val="0"/>
          <w:iCs w:val="0"/>
        </w:rPr>
        <w:t>2.6.2 Mean Squared Error (MSE)</w:t>
      </w:r>
    </w:p>
    <w:p w14:paraId="78E009C7">
      <w:pPr>
        <w:spacing w:after="160" w:line="360" w:lineRule="auto"/>
        <w:ind w:firstLine="720"/>
        <w:jc w:val="both"/>
      </w:pPr>
      <w:r>
        <w:t>MSE measures the average squared difference between predicted and actual values, placing greater weight on large errors:</w:t>
      </w:r>
    </w:p>
    <w:p w14:paraId="6B8C7C39">
      <w:pPr>
        <w:spacing w:before="80" w:after="80" w:line="360" w:lineRule="auto"/>
        <w:jc w:val="center"/>
      </w:pPr>
      <m:oMathPara>
        <m:oMath>
          <m:r>
            <m:rPr/>
            <w:rPr>
              <w:rFonts w:ascii="Cambria Math" w:hAnsi="Cambria Math" w:eastAsia="Courier New"/>
            </w:rPr>
            <m:t>MSE = (1/n) ∗ Sum(y_i − y_hat_i)^2</m:t>
          </m:r>
        </m:oMath>
      </m:oMathPara>
    </w:p>
    <w:p w14:paraId="0F308F15">
      <w:pPr>
        <w:spacing w:after="160" w:line="360" w:lineRule="auto"/>
        <w:ind w:firstLine="720"/>
        <w:jc w:val="both"/>
      </w:pPr>
      <w:r>
        <w:t>While MSE penalises large errors more heavily than MAE, its units are the square of the target variable's units, making direct interpretation less intuitive. It remains widely used as an optimisation objective for regression models.</w:t>
      </w:r>
    </w:p>
    <w:p w14:paraId="60064602">
      <w:pPr>
        <w:pStyle w:val="4"/>
        <w:spacing w:line="360" w:lineRule="auto"/>
        <w:rPr>
          <w:i w:val="0"/>
          <w:iCs w:val="0"/>
        </w:rPr>
      </w:pPr>
      <w:r>
        <w:rPr>
          <w:i w:val="0"/>
          <w:iCs w:val="0"/>
        </w:rPr>
        <w:t>2.6.3 Root Mean Squared Error (RMSE)</w:t>
      </w:r>
    </w:p>
    <w:p w14:paraId="7513A934">
      <w:pPr>
        <w:spacing w:after="160" w:line="360" w:lineRule="auto"/>
        <w:ind w:firstLine="720"/>
        <w:jc w:val="both"/>
      </w:pPr>
      <w:r>
        <w:t>RMSE is the square root of MSE, restoring the metric to the same units as the target variable while retaining the sensitivity to large errors:</w:t>
      </w:r>
    </w:p>
    <w:p w14:paraId="0E50EAF4">
      <w:pPr>
        <w:spacing w:before="80" w:after="80" w:line="360" w:lineRule="auto"/>
        <w:jc w:val="center"/>
      </w:pPr>
      <m:oMathPara>
        <m:oMath>
          <m:r>
            <m:rPr/>
            <w:rPr>
              <w:rFonts w:ascii="Cambria Math" w:hAnsi="Cambria Math" w:eastAsia="Courier New"/>
            </w:rPr>
            <m:t>RMSE = sqrt[(1/n) ∗ Sum(y_i − y_hat_i)^2]</m:t>
          </m:r>
        </m:oMath>
      </m:oMathPara>
    </w:p>
    <w:p w14:paraId="4A0565A3">
      <w:pPr>
        <w:spacing w:after="160" w:line="360" w:lineRule="auto"/>
        <w:ind w:firstLine="720"/>
        <w:jc w:val="both"/>
      </w:pPr>
      <w:r>
        <w:t>RMSE is one of the most commonly reported metrics in stock price prediction studies and provides a balanced measure of prediction accuracy that is sensitive to outlier errors.</w:t>
      </w:r>
    </w:p>
    <w:p w14:paraId="09552213">
      <w:pPr>
        <w:pStyle w:val="4"/>
        <w:spacing w:line="360" w:lineRule="auto"/>
        <w:rPr>
          <w:i w:val="0"/>
          <w:iCs w:val="0"/>
        </w:rPr>
      </w:pPr>
      <w:r>
        <w:rPr>
          <w:i w:val="0"/>
          <w:iCs w:val="0"/>
        </w:rPr>
        <w:t>2.6.4 R-Squared (Coefficient of Determination)</w:t>
      </w:r>
    </w:p>
    <w:p w14:paraId="325E2D4A">
      <w:pPr>
        <w:spacing w:after="160" w:line="360" w:lineRule="auto"/>
        <w:ind w:firstLine="720"/>
        <w:jc w:val="both"/>
      </w:pPr>
      <w:r>
        <w:t>The R-squared metric measures the proportion of variance in the dependent variable that is explained by the model. It is bounded between negative infinity and 1, with 1 indicating perfect prediction:</w:t>
      </w:r>
    </w:p>
    <w:p w14:paraId="325A16DE">
      <w:pPr>
        <w:spacing w:before="80" w:after="80" w:line="360" w:lineRule="auto"/>
        <w:jc w:val="center"/>
      </w:pPr>
      <m:oMathPara>
        <m:oMath>
          <m:r>
            <m:rPr/>
            <w:rPr>
              <w:rFonts w:ascii="Cambria Math" w:hAnsi="Cambria Math" w:eastAsia="Courier New"/>
            </w:rPr>
            <m:t>R^2 = 1 − [Sum(y_i − y_hat_i)^2 / Sum(y_i − y_mean)^2]</m:t>
          </m:r>
        </m:oMath>
      </m:oMathPara>
    </w:p>
    <w:p w14:paraId="41D761B7">
      <w:pPr>
        <w:spacing w:after="160" w:line="360" w:lineRule="auto"/>
        <w:ind w:firstLine="720"/>
        <w:jc w:val="both"/>
      </w:pPr>
      <w:r>
        <w:t>An R-squared value close to 1 indicates that the model explains a large proportion of the variance in the target variable. Negative values indicate that the model performs worse than a naive mean prediction.</w:t>
      </w:r>
    </w:p>
    <w:p w14:paraId="3E019325">
      <w:pPr>
        <w:pStyle w:val="3"/>
        <w:spacing w:line="360" w:lineRule="auto"/>
        <w:rPr>
          <w:sz w:val="24"/>
          <w:szCs w:val="24"/>
        </w:rPr>
      </w:pPr>
      <w:r>
        <w:rPr>
          <w:sz w:val="24"/>
          <w:szCs w:val="24"/>
        </w:rPr>
        <w:t>2.7 Review of Related Works</w:t>
      </w:r>
    </w:p>
    <w:p w14:paraId="463E383F">
      <w:pPr>
        <w:spacing w:after="160" w:line="360" w:lineRule="auto"/>
        <w:ind w:firstLine="720"/>
        <w:jc w:val="both"/>
      </w:pPr>
      <w:r>
        <w:t>A substantial body of recent literature (2020–2025) has investigated various aspects of machine learning and deep learning for stock price prediction. This section reviews the most relevant studies, with particular attention to methodological contributions and comparative findings.</w:t>
      </w:r>
    </w:p>
    <w:p w14:paraId="7DDC1E89">
      <w:pPr>
        <w:spacing w:after="160" w:line="360" w:lineRule="auto"/>
        <w:ind w:firstLine="720"/>
        <w:jc w:val="both"/>
      </w:pPr>
      <w:r>
        <w:t>Moghar and Hamiche (2020) applied LSTM networks to predict the stock prices of ten companies listed on the Casablanca Stock Exchange (CSE) over a five-year period. Their preprocessing pipeline included Min-Max normalisation and a 60-day sliding window for sequence construction. The LSTM model achieved an RMSE of 1.25% on the test set, outperforming ARIMA and traditional feed-forward neural networks. The study highlighted the importance of window size selection and the superiority of LSTM over shallow networks for long-sequence financial prediction.</w:t>
      </w:r>
    </w:p>
    <w:p w14:paraId="10FFB0FC">
      <w:pPr>
        <w:spacing w:after="160" w:line="360" w:lineRule="auto"/>
        <w:ind w:firstLine="720"/>
        <w:jc w:val="both"/>
      </w:pPr>
      <w:r>
        <w:t>Patel et al. (2021) conducted a comparative study of multiple ML models including Linear Regression, SVM, Random Forest, and Gradient Boosting for predicting the closing prices of ten Indian NSE equities. Feature engineering included 15 technical indicators derived from OHLCV data. Random Forest delivered the best overall performance across the test equities, with an average RMSE 34% lower than the Linear Regression baseline. The authors attributed the strong performance of Random Forest to its robustness to feature multicollinearity and its ability to capture non-linear interactions.</w:t>
      </w:r>
    </w:p>
    <w:p w14:paraId="5918AE6A">
      <w:pPr>
        <w:spacing w:after="160" w:line="360" w:lineRule="auto"/>
        <w:ind w:firstLine="720"/>
        <w:jc w:val="both"/>
      </w:pPr>
      <w:r>
        <w:t>Jiang (2021) published a comprehensive survey of deep learning models applied to stock market prediction, reviewing over 150 studies published between 2015 and 2020. The survey identified LSTM as the dominant architecture in the literature, used in approximately 45% of reviewed studies. Key findings included the consistent superiority of DL models over statistical baselines (average 20–30% reduction in RMSE), the importance of feature selection and engineering, and the frequent failure of models to generalise across different market conditions.</w:t>
      </w:r>
    </w:p>
    <w:p w14:paraId="35BCB3C0">
      <w:pPr>
        <w:spacing w:after="160" w:line="360" w:lineRule="auto"/>
        <w:ind w:firstLine="720"/>
        <w:jc w:val="both"/>
      </w:pPr>
      <w:r>
        <w:t>Qiu et al. (2020) proposed a hybrid model combining LSTM with a Genetic Algorithm (GA) for hyperparameter optimisation, applied to the prediction of Shanghai Composite Index daily closing prices. The GA-LSTM model achieved an RMSE of 20.3 compared to 28.7 for a standard LSTM and 45.2 for ARIMA, demonstrating the performance benefits of systematic hyperparameter search. This study underscored the importance of optimisation techniques in maximising DL model performance.</w:t>
      </w:r>
    </w:p>
    <w:p w14:paraId="638B1897">
      <w:pPr>
        <w:spacing w:after="160" w:line="360" w:lineRule="auto"/>
        <w:ind w:firstLine="720"/>
        <w:jc w:val="both"/>
      </w:pPr>
      <w:r>
        <w:t>Chung and Shin (2020) integrated sentiment analysis of financial news articles with technical LSTM models to predict KOSPI (Korean Stock Price Index) movements. Their hybrid sentiment-LSTM model achieved a directional accuracy of 68.3%, outperforming a technical-only LSTM model (61.2%) and an ARIMA baseline (54.7%). The study demonstrated the complementary value of unstructured text data as a predictive input alongside traditional price-based features.</w:t>
      </w:r>
    </w:p>
    <w:p w14:paraId="137EC862">
      <w:pPr>
        <w:spacing w:after="160" w:line="360" w:lineRule="auto"/>
        <w:ind w:firstLine="720"/>
        <w:jc w:val="both"/>
      </w:pPr>
      <w:r>
        <w:t>Nabipour et al. (2020) compared ten different ML algorithms including Decision Trees, k-NN, SVM, Random Forest, XGBoost, and LSTM for stock price prediction on Tehran Stock Exchange data. The study evaluated both classification (predicting price direction) and regression (predicting price magnitude) tasks. XGBoost and LSTM achieved the best performance in the classification and regression tasks, respectively, while k-NN and Decision Trees performed poorly in both. Notably, the study emphasised the importance of balanced evaluation combining directional accuracy with regression metrics for a comprehensive assessment of model performance.</w:t>
      </w:r>
    </w:p>
    <w:p w14:paraId="0647FAB6">
      <w:pPr>
        <w:spacing w:after="160" w:line="360" w:lineRule="auto"/>
        <w:ind w:firstLine="720"/>
        <w:jc w:val="both"/>
      </w:pPr>
      <w:r>
        <w:t>Zhang et al. (2023) developed a multi-scale temporal fusion model that combined CNN, LSTM, and attention mechanisms for stock price prediction on NYSE-listed equities. The model demonstrated superior performance compared to standalone CNN, LSTM, and transformer models, achieving an average RMSE reduction of 18% over the best single-architecture baseline. The study highlighted the potential of architectural fusion for capturing both local and global temporal patterns in financial time series.</w:t>
      </w:r>
    </w:p>
    <w:p w14:paraId="3DE6C686">
      <w:pPr>
        <w:spacing w:after="160" w:line="360" w:lineRule="auto"/>
        <w:ind w:firstLine="720"/>
        <w:jc w:val="both"/>
      </w:pPr>
      <w:r>
        <w:t>Okonkwo et al. (2021) investigated the application of deep learning for stock price prediction on the Nigerian Exchange Group (NGX), focusing on three banking sector equities (GTBank, Zenith Bank, and First Bank) over a three-year period (2017–2020). Their LSTM model achieved an average RMSE of N1.82 (approximately 2.3% of the mean stock price) and outperformed both ARIMA and Random Forest baselines. This study is particularly noteworthy as one of the few to specifically address stock prediction in the Nigerian market context, confirming the applicability of LSTM models to emerging market equities.</w:t>
      </w:r>
    </w:p>
    <w:p w14:paraId="5D2022F4">
      <w:pPr>
        <w:spacing w:after="160" w:line="360" w:lineRule="auto"/>
        <w:ind w:firstLine="720"/>
        <w:jc w:val="both"/>
      </w:pPr>
      <w:r>
        <w:t>Ma et al. (2021) introduced a framework combining PCA-based feature reduction with a stacked LSTM architecture for prediction of Chinese A-share market equities. By reducing the 52-dimensional feature space to 15 principal components before LSTM training, they achieved both improved prediction accuracy and reduced training time. The average MAE on the test set decreased by 12% relative to an LSTM model trained on the full feature set, demonstrating the value of dimensionality reduction in high-dimensional financial prediction tasks.</w:t>
      </w:r>
    </w:p>
    <w:p w14:paraId="46981219">
      <w:pPr>
        <w:spacing w:after="160" w:line="360" w:lineRule="auto"/>
        <w:ind w:firstLine="720"/>
        <w:jc w:val="both"/>
      </w:pPr>
      <w:r>
        <w:t>Mehtab and Sen (2022) developed an ensemble model integrating LSTM, Bidirectional LSTM (Bi-LSTM), and GRU (Gated Recurrent Unit) architectures for Indian NSE stock prediction. Their ensemble achieved an RMSE 22% lower than the best individual model (Bi-LSTM), confirming that ensemble combination of multiple DL architectures can yield additional gains over single-model approaches.</w:t>
      </w:r>
    </w:p>
    <w:p w14:paraId="5EAC2402">
      <w:pPr>
        <w:spacing w:after="160" w:line="360" w:lineRule="auto"/>
        <w:ind w:firstLine="720"/>
        <w:jc w:val="both"/>
      </w:pPr>
    </w:p>
    <w:p w14:paraId="5ED8DF03">
      <w:pPr>
        <w:spacing w:after="160" w:line="360" w:lineRule="auto"/>
        <w:ind w:firstLine="720"/>
        <w:jc w:val="both"/>
      </w:pPr>
    </w:p>
    <w:p w14:paraId="278D6EFD">
      <w:pPr>
        <w:spacing w:before="160" w:after="80" w:line="360" w:lineRule="auto"/>
        <w:jc w:val="center"/>
      </w:pPr>
      <w:r>
        <w:rPr>
          <w:b/>
          <w:bCs/>
        </w:rPr>
        <w:t>Table 2.1: Summary of Related Works (2020–2025)</w:t>
      </w:r>
    </w:p>
    <w:tbl>
      <w:tblPr>
        <w:tblStyle w:val="7"/>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00"/>
        <w:gridCol w:w="1500"/>
        <w:gridCol w:w="1800"/>
        <w:gridCol w:w="2100"/>
        <w:gridCol w:w="2360"/>
      </w:tblGrid>
      <w:tr w14:paraId="6F71E3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00" w:type="dxa"/>
            <w:tcBorders>
              <w:top w:val="single" w:color="auto" w:sz="4" w:space="0"/>
              <w:bottom w:val="single" w:color="auto" w:sz="4" w:space="0"/>
            </w:tcBorders>
          </w:tcPr>
          <w:p w14:paraId="10AE9A88">
            <w:pPr>
              <w:spacing w:line="360" w:lineRule="auto"/>
            </w:pPr>
            <w:r>
              <w:rPr>
                <w:b/>
                <w:bCs/>
              </w:rPr>
              <w:t>Author(s) &amp; Year</w:t>
            </w:r>
          </w:p>
        </w:tc>
        <w:tc>
          <w:tcPr>
            <w:tcW w:w="1500" w:type="dxa"/>
            <w:tcBorders>
              <w:top w:val="single" w:color="auto" w:sz="4" w:space="0"/>
              <w:bottom w:val="single" w:color="auto" w:sz="4" w:space="0"/>
            </w:tcBorders>
          </w:tcPr>
          <w:p w14:paraId="319DBA36">
            <w:pPr>
              <w:spacing w:line="360" w:lineRule="auto"/>
            </w:pPr>
            <w:r>
              <w:rPr>
                <w:b/>
                <w:bCs/>
              </w:rPr>
              <w:t>Dataset</w:t>
            </w:r>
          </w:p>
        </w:tc>
        <w:tc>
          <w:tcPr>
            <w:tcW w:w="1800" w:type="dxa"/>
            <w:tcBorders>
              <w:top w:val="single" w:color="auto" w:sz="4" w:space="0"/>
              <w:bottom w:val="single" w:color="auto" w:sz="4" w:space="0"/>
            </w:tcBorders>
          </w:tcPr>
          <w:p w14:paraId="3A4F5982">
            <w:pPr>
              <w:spacing w:line="360" w:lineRule="auto"/>
            </w:pPr>
            <w:r>
              <w:rPr>
                <w:b/>
                <w:bCs/>
              </w:rPr>
              <w:t>Model(s) Used</w:t>
            </w:r>
          </w:p>
        </w:tc>
        <w:tc>
          <w:tcPr>
            <w:tcW w:w="2100" w:type="dxa"/>
            <w:tcBorders>
              <w:top w:val="single" w:color="auto" w:sz="4" w:space="0"/>
              <w:bottom w:val="single" w:color="auto" w:sz="4" w:space="0"/>
            </w:tcBorders>
          </w:tcPr>
          <w:p w14:paraId="6F2F7C0A">
            <w:pPr>
              <w:spacing w:line="360" w:lineRule="auto"/>
            </w:pPr>
            <w:r>
              <w:rPr>
                <w:b/>
                <w:bCs/>
              </w:rPr>
              <w:t>Key Findings</w:t>
            </w:r>
          </w:p>
        </w:tc>
        <w:tc>
          <w:tcPr>
            <w:tcW w:w="2360" w:type="dxa"/>
            <w:tcBorders>
              <w:top w:val="single" w:color="auto" w:sz="4" w:space="0"/>
              <w:bottom w:val="single" w:color="auto" w:sz="4" w:space="0"/>
            </w:tcBorders>
          </w:tcPr>
          <w:p w14:paraId="5FBADA2A">
            <w:pPr>
              <w:spacing w:line="360" w:lineRule="auto"/>
            </w:pPr>
            <w:r>
              <w:rPr>
                <w:b/>
                <w:bCs/>
              </w:rPr>
              <w:t>Limitations</w:t>
            </w:r>
          </w:p>
        </w:tc>
      </w:tr>
      <w:tr w14:paraId="142C7D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00" w:type="dxa"/>
            <w:tcBorders>
              <w:top w:val="single" w:color="auto" w:sz="4" w:space="0"/>
            </w:tcBorders>
          </w:tcPr>
          <w:p w14:paraId="7CD39705">
            <w:pPr>
              <w:spacing w:line="360" w:lineRule="auto"/>
            </w:pPr>
            <w:r>
              <w:t>Moghar &amp; Hamiche (2020)</w:t>
            </w:r>
          </w:p>
        </w:tc>
        <w:tc>
          <w:tcPr>
            <w:tcW w:w="1500" w:type="dxa"/>
            <w:tcBorders>
              <w:top w:val="single" w:color="auto" w:sz="4" w:space="0"/>
            </w:tcBorders>
          </w:tcPr>
          <w:p w14:paraId="67A6AE4E">
            <w:pPr>
              <w:spacing w:line="360" w:lineRule="auto"/>
            </w:pPr>
            <w:r>
              <w:t>Casablanca SE</w:t>
            </w:r>
          </w:p>
        </w:tc>
        <w:tc>
          <w:tcPr>
            <w:tcW w:w="1800" w:type="dxa"/>
            <w:tcBorders>
              <w:top w:val="single" w:color="auto" w:sz="4" w:space="0"/>
            </w:tcBorders>
          </w:tcPr>
          <w:p w14:paraId="6546A4B1">
            <w:pPr>
              <w:spacing w:line="360" w:lineRule="auto"/>
            </w:pPr>
            <w:r>
              <w:t>LSTM, ARIMA, ANN</w:t>
            </w:r>
          </w:p>
        </w:tc>
        <w:tc>
          <w:tcPr>
            <w:tcW w:w="2100" w:type="dxa"/>
            <w:tcBorders>
              <w:top w:val="single" w:color="auto" w:sz="4" w:space="0"/>
            </w:tcBorders>
          </w:tcPr>
          <w:p w14:paraId="0C9064D3">
            <w:pPr>
              <w:spacing w:line="360" w:lineRule="auto"/>
            </w:pPr>
            <w:r>
              <w:t>LSTM outperformed ARIMA with RMSE = 1.25%</w:t>
            </w:r>
          </w:p>
        </w:tc>
        <w:tc>
          <w:tcPr>
            <w:tcW w:w="2360" w:type="dxa"/>
            <w:tcBorders>
              <w:top w:val="single" w:color="auto" w:sz="4" w:space="0"/>
            </w:tcBorders>
          </w:tcPr>
          <w:p w14:paraId="447BA0D4">
            <w:pPr>
              <w:spacing w:line="360" w:lineRule="auto"/>
            </w:pPr>
            <w:r>
              <w:t>Single market; no sentiment data</w:t>
            </w:r>
          </w:p>
        </w:tc>
      </w:tr>
      <w:tr w14:paraId="1792C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00" w:type="dxa"/>
          </w:tcPr>
          <w:p w14:paraId="3A690B18">
            <w:pPr>
              <w:spacing w:line="360" w:lineRule="auto"/>
            </w:pPr>
            <w:r>
              <w:t>Patel et al. (2021)</w:t>
            </w:r>
          </w:p>
        </w:tc>
        <w:tc>
          <w:tcPr>
            <w:tcW w:w="1500" w:type="dxa"/>
          </w:tcPr>
          <w:p w14:paraId="4C760CC4">
            <w:pPr>
              <w:spacing w:line="360" w:lineRule="auto"/>
            </w:pPr>
            <w:r>
              <w:t>Indian NSE</w:t>
            </w:r>
          </w:p>
        </w:tc>
        <w:tc>
          <w:tcPr>
            <w:tcW w:w="1800" w:type="dxa"/>
          </w:tcPr>
          <w:p w14:paraId="7EFDBF45">
            <w:pPr>
              <w:spacing w:line="360" w:lineRule="auto"/>
            </w:pPr>
            <w:r>
              <w:t>LR, SVM, RF, GBM</w:t>
            </w:r>
          </w:p>
        </w:tc>
        <w:tc>
          <w:tcPr>
            <w:tcW w:w="2100" w:type="dxa"/>
          </w:tcPr>
          <w:p w14:paraId="7B8126D8">
            <w:pPr>
              <w:spacing w:line="360" w:lineRule="auto"/>
            </w:pPr>
            <w:r>
              <w:t>RF best overall; 34% better RMSE than LR</w:t>
            </w:r>
          </w:p>
        </w:tc>
        <w:tc>
          <w:tcPr>
            <w:tcW w:w="2360" w:type="dxa"/>
          </w:tcPr>
          <w:p w14:paraId="39480ABE">
            <w:pPr>
              <w:spacing w:line="360" w:lineRule="auto"/>
            </w:pPr>
            <w:r>
              <w:t>No deep learning models included</w:t>
            </w:r>
          </w:p>
        </w:tc>
      </w:tr>
      <w:tr w14:paraId="01E34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00" w:type="dxa"/>
          </w:tcPr>
          <w:p w14:paraId="2928E5C4">
            <w:pPr>
              <w:spacing w:line="360" w:lineRule="auto"/>
            </w:pPr>
            <w:r>
              <w:t>Okonkwo et al. (2021)</w:t>
            </w:r>
          </w:p>
        </w:tc>
        <w:tc>
          <w:tcPr>
            <w:tcW w:w="1500" w:type="dxa"/>
          </w:tcPr>
          <w:p w14:paraId="3CBDB447">
            <w:pPr>
              <w:spacing w:line="360" w:lineRule="auto"/>
            </w:pPr>
            <w:r>
              <w:t>Nigerian NGX</w:t>
            </w:r>
          </w:p>
        </w:tc>
        <w:tc>
          <w:tcPr>
            <w:tcW w:w="1800" w:type="dxa"/>
          </w:tcPr>
          <w:p w14:paraId="7A449EEA">
            <w:pPr>
              <w:spacing w:line="360" w:lineRule="auto"/>
            </w:pPr>
            <w:r>
              <w:t>LSTM, ARIMA, RF</w:t>
            </w:r>
          </w:p>
        </w:tc>
        <w:tc>
          <w:tcPr>
            <w:tcW w:w="2100" w:type="dxa"/>
          </w:tcPr>
          <w:p w14:paraId="68DBEAA3">
            <w:pPr>
              <w:spacing w:line="360" w:lineRule="auto"/>
            </w:pPr>
            <w:r>
              <w:t>LSTM achieved RMSE of N1.82 (2.3% of price)</w:t>
            </w:r>
          </w:p>
        </w:tc>
        <w:tc>
          <w:tcPr>
            <w:tcW w:w="2360" w:type="dxa"/>
          </w:tcPr>
          <w:p w14:paraId="1D0FF4A2">
            <w:pPr>
              <w:spacing w:line="360" w:lineRule="auto"/>
            </w:pPr>
            <w:r>
              <w:t>Limited data history for NGX; 3 stocks only</w:t>
            </w:r>
          </w:p>
        </w:tc>
      </w:tr>
      <w:tr w14:paraId="25841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00" w:type="dxa"/>
          </w:tcPr>
          <w:p w14:paraId="571715C1">
            <w:pPr>
              <w:spacing w:line="360" w:lineRule="auto"/>
            </w:pPr>
            <w:r>
              <w:t>Qiu et al. (2020)</w:t>
            </w:r>
          </w:p>
        </w:tc>
        <w:tc>
          <w:tcPr>
            <w:tcW w:w="1500" w:type="dxa"/>
          </w:tcPr>
          <w:p w14:paraId="44BCBD9A">
            <w:pPr>
              <w:spacing w:line="360" w:lineRule="auto"/>
            </w:pPr>
            <w:r>
              <w:t>Shanghai Composite</w:t>
            </w:r>
          </w:p>
        </w:tc>
        <w:tc>
          <w:tcPr>
            <w:tcW w:w="1800" w:type="dxa"/>
          </w:tcPr>
          <w:p w14:paraId="42878378">
            <w:pPr>
              <w:spacing w:line="360" w:lineRule="auto"/>
            </w:pPr>
            <w:r>
              <w:t>GA-LSTM, LSTM, ARIMA</w:t>
            </w:r>
          </w:p>
        </w:tc>
        <w:tc>
          <w:tcPr>
            <w:tcW w:w="2100" w:type="dxa"/>
          </w:tcPr>
          <w:p w14:paraId="5D87ED3D">
            <w:pPr>
              <w:spacing w:line="360" w:lineRule="auto"/>
            </w:pPr>
            <w:r>
              <w:t>GA-optimised LSTM: RMSE 29% lower than standard LSTM</w:t>
            </w:r>
          </w:p>
        </w:tc>
        <w:tc>
          <w:tcPr>
            <w:tcW w:w="2360" w:type="dxa"/>
          </w:tcPr>
          <w:p w14:paraId="3E6CD5EE">
            <w:pPr>
              <w:spacing w:line="360" w:lineRule="auto"/>
            </w:pPr>
            <w:r>
              <w:t>High computational cost of GA; single market</w:t>
            </w:r>
          </w:p>
        </w:tc>
      </w:tr>
      <w:tr w14:paraId="45FBC6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00" w:type="dxa"/>
            <w:tcBorders>
              <w:bottom w:val="single" w:color="auto" w:sz="4" w:space="0"/>
            </w:tcBorders>
          </w:tcPr>
          <w:p w14:paraId="64C3C1E9">
            <w:pPr>
              <w:spacing w:line="360" w:lineRule="auto"/>
            </w:pPr>
            <w:r>
              <w:t>Zhang et al. (2023)</w:t>
            </w:r>
          </w:p>
        </w:tc>
        <w:tc>
          <w:tcPr>
            <w:tcW w:w="1500" w:type="dxa"/>
            <w:tcBorders>
              <w:bottom w:val="single" w:color="auto" w:sz="4" w:space="0"/>
            </w:tcBorders>
          </w:tcPr>
          <w:p w14:paraId="55D1BE42">
            <w:pPr>
              <w:spacing w:line="360" w:lineRule="auto"/>
            </w:pPr>
            <w:r>
              <w:t>NYSE equities</w:t>
            </w:r>
          </w:p>
        </w:tc>
        <w:tc>
          <w:tcPr>
            <w:tcW w:w="1800" w:type="dxa"/>
            <w:tcBorders>
              <w:bottom w:val="single" w:color="auto" w:sz="4" w:space="0"/>
            </w:tcBorders>
          </w:tcPr>
          <w:p w14:paraId="76ECCCA4">
            <w:pPr>
              <w:spacing w:line="360" w:lineRule="auto"/>
            </w:pPr>
            <w:r>
              <w:t>CNN-LSTM-Attention</w:t>
            </w:r>
          </w:p>
        </w:tc>
        <w:tc>
          <w:tcPr>
            <w:tcW w:w="2100" w:type="dxa"/>
            <w:tcBorders>
              <w:bottom w:val="single" w:color="auto" w:sz="4" w:space="0"/>
            </w:tcBorders>
          </w:tcPr>
          <w:p w14:paraId="2F23C891">
            <w:pPr>
              <w:spacing w:line="360" w:lineRule="auto"/>
            </w:pPr>
            <w:r>
              <w:t>18% RMSE reduction over best single-arch model</w:t>
            </w:r>
          </w:p>
        </w:tc>
        <w:tc>
          <w:tcPr>
            <w:tcW w:w="2360" w:type="dxa"/>
            <w:tcBorders>
              <w:bottom w:val="single" w:color="auto" w:sz="4" w:space="0"/>
            </w:tcBorders>
          </w:tcPr>
          <w:p w14:paraId="14FA1E45">
            <w:pPr>
              <w:spacing w:line="360" w:lineRule="auto"/>
            </w:pPr>
            <w:r>
              <w:t>High model complexity; requires large dataset</w:t>
            </w:r>
          </w:p>
        </w:tc>
      </w:tr>
    </w:tbl>
    <w:p w14:paraId="4E33C83A">
      <w:pPr>
        <w:pStyle w:val="3"/>
        <w:spacing w:line="360" w:lineRule="auto"/>
        <w:rPr>
          <w:sz w:val="24"/>
          <w:szCs w:val="24"/>
        </w:rPr>
      </w:pPr>
      <w:r>
        <w:rPr>
          <w:sz w:val="24"/>
          <w:szCs w:val="24"/>
        </w:rPr>
        <w:t>2.8 Research Gap</w:t>
      </w:r>
    </w:p>
    <w:p w14:paraId="5058F545">
      <w:pPr>
        <w:spacing w:after="160" w:line="360" w:lineRule="auto"/>
        <w:ind w:firstLine="720"/>
        <w:jc w:val="both"/>
      </w:pPr>
      <w:r>
        <w:t>The review of related literature reveals several important gaps that this study seeks to address.</w:t>
      </w:r>
    </w:p>
    <w:p w14:paraId="46139BE3">
      <w:pPr>
        <w:spacing w:after="160" w:line="360" w:lineRule="auto"/>
        <w:ind w:firstLine="720"/>
        <w:jc w:val="both"/>
      </w:pPr>
      <w:r>
        <w:t>First, while numerous studies have individually evaluated statistical models, machine learning algorithms, or deep learning architectures for stock price prediction, relatively few have integrated all three categories within a single, unified, and autonomous framework that enables fair, consistent comparative evaluation across models. Most existing studies compare models in isolation, often with inconsistent preprocessing pipelines, making cross-study comparison unreliable.</w:t>
      </w:r>
    </w:p>
    <w:p w14:paraId="18142725">
      <w:pPr>
        <w:spacing w:after="160" w:line="360" w:lineRule="auto"/>
        <w:ind w:firstLine="720"/>
        <w:jc w:val="both"/>
      </w:pPr>
      <w:r>
        <w:t>Second, despite growing recognition of the importance of feature engineering for prediction performance, many studies apply a limited set of technical indicators without systematic justification. A comprehensive, domain-informed feature engineering pipeline incorporating a broad set of technical indicators alongside normalisation and lag features is needed to maximise the information available to predictive models.</w:t>
      </w:r>
    </w:p>
    <w:p w14:paraId="3BD0C4C6">
      <w:pPr>
        <w:spacing w:after="160" w:line="360" w:lineRule="auto"/>
        <w:ind w:firstLine="720"/>
        <w:jc w:val="both"/>
      </w:pPr>
      <w:r>
        <w:t>Third, with the exception of the study by Okonkwo et al. (2021), very limited research has applied modern ML/DL prediction frameworks specifically to African and Nigerian stock market contexts. This geographical gap represents a significant opportunity for locally relevant research at Nigerian universities such as FUDMA.</w:t>
      </w:r>
    </w:p>
    <w:p w14:paraId="27DF18E3">
      <w:pPr>
        <w:spacing w:after="160" w:line="360" w:lineRule="auto"/>
        <w:ind w:firstLine="720"/>
        <w:jc w:val="both"/>
      </w:pPr>
      <w:r>
        <w:t>Fourth, the literature lacks undergraduate-level, end-to-end implementations that combine a rigorous prediction backend with an accessible prototype interface, demonstrating practical deployability. Most published work reports model metrics without providing deployable systems or accessible visualisations.</w:t>
      </w:r>
    </w:p>
    <w:p w14:paraId="3FBA66BB">
      <w:pPr>
        <w:spacing w:after="160" w:line="360" w:lineRule="auto"/>
        <w:ind w:firstLine="720"/>
        <w:jc w:val="both"/>
      </w:pPr>
      <w:r>
        <w:t>Fifth, there remains a need for transparent, reproducible frameworks that document the full pipeline from data collection to prediction output, enabling practitioners and future researchers to build upon established baselines systematically.</w:t>
      </w:r>
    </w:p>
    <w:p w14:paraId="5B5DE4DE">
      <w:pPr>
        <w:spacing w:after="160" w:line="360" w:lineRule="auto"/>
        <w:ind w:firstLine="720"/>
        <w:jc w:val="both"/>
      </w:pPr>
      <w:r>
        <w:t>This study addresses these gaps by developing a modular, comparative, and autonomous algorithmic framework that integrates data collection, preprocessing, feature engineering, multi-model development, comparative evaluation, and prototype deployment within a single coherent system.</w:t>
      </w:r>
    </w:p>
    <w:p w14:paraId="3C48F12F"/>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733F50"/>
    <w:multiLevelType w:val="multilevel"/>
    <w:tmpl w:val="5A733F50"/>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7BCF"/>
    <w:rsid w:val="0050270F"/>
    <w:rsid w:val="00567BCF"/>
    <w:rsid w:val="030371FF"/>
    <w:rsid w:val="0A107436"/>
    <w:rsid w:val="1C2403B8"/>
    <w:rsid w:val="2431593C"/>
    <w:rsid w:val="2AB572F7"/>
    <w:rsid w:val="2C4C4F3B"/>
    <w:rsid w:val="2C674EDE"/>
    <w:rsid w:val="2F2975CC"/>
    <w:rsid w:val="358A40F2"/>
    <w:rsid w:val="375955DE"/>
    <w:rsid w:val="379C734C"/>
    <w:rsid w:val="47FF732D"/>
    <w:rsid w:val="52471AFE"/>
    <w:rsid w:val="5AFC5857"/>
    <w:rsid w:val="64DB2183"/>
    <w:rsid w:val="68711C90"/>
    <w:rsid w:val="7AA11240"/>
    <w:rsid w:val="7D976C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link w:val="8"/>
    <w:qFormat/>
    <w:uiPriority w:val="0"/>
    <w:pPr>
      <w:spacing w:before="400" w:after="200" w:line="240" w:lineRule="auto"/>
      <w:outlineLvl w:val="0"/>
    </w:pPr>
    <w:rPr>
      <w:rFonts w:ascii="Times New Roman" w:hAnsi="Times New Roman" w:eastAsia="Times New Roman" w:cs="Times New Roman"/>
      <w:b/>
      <w:bCs/>
      <w:color w:val="000000"/>
      <w:sz w:val="28"/>
      <w:szCs w:val="28"/>
      <w:lang w:val="en-US" w:eastAsia="en-US" w:bidi="ar-SA"/>
    </w:rPr>
  </w:style>
  <w:style w:type="paragraph" w:styleId="3">
    <w:name w:val="heading 2"/>
    <w:link w:val="9"/>
    <w:qFormat/>
    <w:uiPriority w:val="0"/>
    <w:pPr>
      <w:spacing w:before="300" w:after="150" w:line="240" w:lineRule="auto"/>
      <w:outlineLvl w:val="1"/>
    </w:pPr>
    <w:rPr>
      <w:rFonts w:ascii="Times New Roman" w:hAnsi="Times New Roman" w:eastAsia="Times New Roman" w:cs="Times New Roman"/>
      <w:b/>
      <w:bCs/>
      <w:color w:val="000000"/>
      <w:sz w:val="26"/>
      <w:szCs w:val="26"/>
      <w:lang w:val="en-US" w:eastAsia="en-US" w:bidi="ar-SA"/>
    </w:rPr>
  </w:style>
  <w:style w:type="paragraph" w:styleId="4">
    <w:name w:val="heading 3"/>
    <w:link w:val="10"/>
    <w:qFormat/>
    <w:uiPriority w:val="0"/>
    <w:pPr>
      <w:spacing w:before="240" w:after="120" w:line="240" w:lineRule="auto"/>
      <w:outlineLvl w:val="2"/>
    </w:pPr>
    <w:rPr>
      <w:rFonts w:ascii="Times New Roman" w:hAnsi="Times New Roman" w:eastAsia="Times New Roman" w:cs="Times New Roman"/>
      <w:b/>
      <w:bCs/>
      <w:i/>
      <w:iCs/>
      <w:color w:val="000000"/>
      <w:sz w:val="24"/>
      <w:szCs w:val="24"/>
      <w:lang w:val="en-US" w:eastAsia="en-US" w:bidi="ar-SA"/>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table" w:styleId="7">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Heading 1 Char"/>
    <w:basedOn w:val="5"/>
    <w:link w:val="2"/>
    <w:uiPriority w:val="0"/>
    <w:rPr>
      <w:rFonts w:ascii="Times New Roman" w:hAnsi="Times New Roman" w:eastAsia="Times New Roman" w:cs="Times New Roman"/>
      <w:b/>
      <w:bCs/>
      <w:color w:val="000000"/>
      <w:sz w:val="28"/>
      <w:szCs w:val="28"/>
    </w:rPr>
  </w:style>
  <w:style w:type="character" w:customStyle="1" w:styleId="9">
    <w:name w:val="Heading 2 Char"/>
    <w:basedOn w:val="5"/>
    <w:link w:val="3"/>
    <w:qFormat/>
    <w:uiPriority w:val="0"/>
    <w:rPr>
      <w:rFonts w:ascii="Times New Roman" w:hAnsi="Times New Roman" w:eastAsia="Times New Roman" w:cs="Times New Roman"/>
      <w:b/>
      <w:bCs/>
      <w:color w:val="000000"/>
      <w:sz w:val="26"/>
      <w:szCs w:val="26"/>
    </w:rPr>
  </w:style>
  <w:style w:type="character" w:customStyle="1" w:styleId="10">
    <w:name w:val="Heading 3 Char"/>
    <w:basedOn w:val="5"/>
    <w:link w:val="4"/>
    <w:qFormat/>
    <w:uiPriority w:val="0"/>
    <w:rPr>
      <w:rFonts w:ascii="Times New Roman" w:hAnsi="Times New Roman" w:eastAsia="Times New Roman" w:cs="Times New Roman"/>
      <w:b/>
      <w:bCs/>
      <w:i/>
      <w:iCs/>
      <w:color w:val="000000"/>
      <w:sz w:val="24"/>
      <w:szCs w:val="24"/>
    </w:rPr>
  </w:style>
  <w:style w:type="paragraph" w:styleId="11">
    <w:name w:val="List Paragraph"/>
    <w:qFormat/>
    <w:uiPriority w:val="0"/>
    <w:pPr>
      <w:spacing w:after="0" w:line="240" w:lineRule="auto"/>
    </w:pPr>
    <w:rPr>
      <w:rFonts w:ascii="Times New Roman" w:hAnsi="Times New Roman" w:eastAsia="Times New Roman" w:cs="Times New Roman"/>
      <w:sz w:val="24"/>
      <w:szCs w:val="24"/>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4271</Words>
  <Characters>24351</Characters>
  <Lines>202</Lines>
  <Paragraphs>57</Paragraphs>
  <TotalTime>4</TotalTime>
  <ScaleCrop>false</ScaleCrop>
  <LinksUpToDate>false</LinksUpToDate>
  <CharactersWithSpaces>28565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2026-03-04T11:53:00Z</dcterms:created>
  <dc:creator>DELL</dc:creator>
  <cp:lastModifiedBy>DELL</cp:lastModifiedBy>
  <dcterms:modified xsi:type="dcterms:W3CDTF">2026-03-06T21:49:15Z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44C7CFBB906E41B9A99689649C5979BF_12</vt:lpwstr>
  </property>
</Properties>
</file>