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FA498">
      <w:pPr>
        <w:pStyle w:val="2"/>
        <w:spacing w:before="0" w:after="0" w:line="360" w:lineRule="auto"/>
        <w:jc w:val="center"/>
        <w:rPr>
          <w:rFonts w:hint="default" w:ascii="Times New Roman" w:hAnsi="Times New Roman" w:cs="Times New Roman"/>
          <w:sz w:val="24"/>
          <w:szCs w:val="24"/>
        </w:rPr>
      </w:pPr>
      <w:bookmarkStart w:id="0" w:name="_Toc3710"/>
      <w:r>
        <w:rPr>
          <w:rFonts w:hint="default" w:ascii="Times New Roman" w:hAnsi="Times New Roman" w:cs="Times New Roman"/>
          <w:sz w:val="24"/>
          <w:szCs w:val="24"/>
        </w:rPr>
        <w:t>CHAPTER TWO</w:t>
      </w:r>
      <w:bookmarkEnd w:id="0"/>
    </w:p>
    <w:p w14:paraId="0CD856E4">
      <w:pPr>
        <w:pStyle w:val="2"/>
        <w:spacing w:before="0" w:after="0" w:line="360" w:lineRule="auto"/>
        <w:jc w:val="center"/>
        <w:rPr>
          <w:rFonts w:hint="default" w:ascii="Times New Roman" w:hAnsi="Times New Roman" w:cs="Times New Roman"/>
          <w:sz w:val="24"/>
          <w:szCs w:val="24"/>
        </w:rPr>
      </w:pPr>
      <w:bookmarkStart w:id="1" w:name="_Toc25115"/>
      <w:r>
        <w:rPr>
          <w:rFonts w:hint="default" w:ascii="Times New Roman" w:hAnsi="Times New Roman" w:cs="Times New Roman"/>
          <w:sz w:val="24"/>
          <w:szCs w:val="24"/>
        </w:rPr>
        <w:t>LITERATURE REVIEW</w:t>
      </w:r>
      <w:bookmarkEnd w:id="1"/>
    </w:p>
    <w:p w14:paraId="226CBEA7">
      <w:pPr>
        <w:pStyle w:val="3"/>
        <w:spacing w:line="360" w:lineRule="auto"/>
        <w:rPr>
          <w:rFonts w:hint="default" w:ascii="Times New Roman" w:hAnsi="Times New Roman" w:cs="Times New Roman"/>
          <w:sz w:val="24"/>
          <w:szCs w:val="24"/>
          <w:lang w:val="en-US"/>
        </w:rPr>
      </w:pPr>
      <w:bookmarkStart w:id="2" w:name="_Toc28853"/>
      <w:r>
        <w:rPr>
          <w:rFonts w:hint="default" w:ascii="Times New Roman" w:hAnsi="Times New Roman" w:cs="Times New Roman"/>
          <w:sz w:val="24"/>
          <w:szCs w:val="24"/>
        </w:rPr>
        <w:t xml:space="preserve">2.1 </w:t>
      </w:r>
      <w:r>
        <w:rPr>
          <w:rFonts w:hint="default" w:ascii="Times New Roman" w:hAnsi="Times New Roman" w:cs="Times New Roman"/>
          <w:sz w:val="24"/>
          <w:szCs w:val="24"/>
          <w:lang w:val="en-US"/>
        </w:rPr>
        <w:t>Introduction</w:t>
      </w:r>
      <w:bookmarkEnd w:id="2"/>
    </w:p>
    <w:p w14:paraId="4791BD72">
      <w:pPr>
        <w:pStyle w:val="7"/>
        <w:keepNext w:val="0"/>
        <w:keepLines w:val="0"/>
        <w:widowControl/>
        <w:suppressLineNumbers w:val="0"/>
        <w:spacing w:line="360" w:lineRule="auto"/>
        <w:rPr>
          <w:rFonts w:hint="default" w:ascii="Times New Roman" w:hAnsi="Times New Roman" w:cs="Times New Roman"/>
          <w:sz w:val="24"/>
          <w:szCs w:val="24"/>
        </w:rPr>
      </w:pPr>
      <w:bookmarkStart w:id="3" w:name="_Toc4039"/>
      <w:r>
        <w:rPr>
          <w:rFonts w:hint="default" w:ascii="Times New Roman" w:hAnsi="Times New Roman" w:cs="Times New Roman"/>
          <w:sz w:val="24"/>
          <w:szCs w:val="24"/>
        </w:rPr>
        <w:t>Stock market prediction has become one of the most important research areas in financial technology and artificial intelligence due to the increasing complexity and volatility of financial markets. Researchers, investors, and financial institutions continuously seek intelligent systems capable of accurately forecasting stock price movements in order to improve investment decision-making and reduce financial risks.</w:t>
      </w:r>
    </w:p>
    <w:p w14:paraId="182174E1">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advancement of machine learning, deep learning, and data analytics technologies has significantly improved the development of intelligent stock market prediction systems. These technologies enable computers to analyze large volumes of historical financial data, identify hidden market patterns, and generate predictive insights for future stock trends.</w:t>
      </w:r>
    </w:p>
    <w:p w14:paraId="26F0EE68">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US"/>
        </w:rPr>
        <w:t xml:space="preserve">It will </w:t>
      </w:r>
      <w:r>
        <w:rPr>
          <w:rFonts w:hint="default" w:ascii="Times New Roman" w:hAnsi="Times New Roman" w:cs="Times New Roman"/>
          <w:sz w:val="24"/>
          <w:szCs w:val="24"/>
        </w:rPr>
        <w:t xml:space="preserve">reviews existing literature related to stock market prediction, artificial intelligence techniques, deep learning algorithms, autonomous systems, and financial forecasting models. </w:t>
      </w:r>
      <w:r>
        <w:rPr>
          <w:rFonts w:hint="default" w:ascii="Times New Roman" w:hAnsi="Times New Roman" w:cs="Times New Roman"/>
          <w:sz w:val="24"/>
          <w:szCs w:val="24"/>
          <w:lang w:val="en-US"/>
        </w:rPr>
        <w:t xml:space="preserve">It </w:t>
      </w:r>
      <w:r>
        <w:rPr>
          <w:rFonts w:hint="default" w:ascii="Times New Roman" w:hAnsi="Times New Roman" w:cs="Times New Roman"/>
          <w:sz w:val="24"/>
          <w:szCs w:val="24"/>
        </w:rPr>
        <w:t xml:space="preserve"> also examines previous research contributions, methodologies, tools, challenges, and limitations associated with stock market prediction systems.</w:t>
      </w:r>
    </w:p>
    <w:p w14:paraId="50B8BF2B">
      <w:pPr>
        <w:pStyle w:val="3"/>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2.2 </w:t>
      </w:r>
      <w:bookmarkEnd w:id="3"/>
      <w:r>
        <w:rPr>
          <w:rFonts w:hint="default" w:ascii="Times New Roman" w:hAnsi="Times New Roman" w:eastAsia="SimSun" w:cs="Times New Roman"/>
          <w:sz w:val="24"/>
          <w:szCs w:val="24"/>
        </w:rPr>
        <w:t>Concept of Stock Market Prediction</w:t>
      </w:r>
    </w:p>
    <w:p w14:paraId="45BA29AF">
      <w:pPr>
        <w:pStyle w:val="7"/>
        <w:keepNext w:val="0"/>
        <w:keepLines w:val="0"/>
        <w:widowControl/>
        <w:suppressLineNumbers w:val="0"/>
        <w:spacing w:line="360" w:lineRule="auto"/>
        <w:rPr>
          <w:rFonts w:hint="default" w:ascii="Times New Roman" w:hAnsi="Times New Roman" w:cs="Times New Roman"/>
          <w:sz w:val="24"/>
          <w:szCs w:val="24"/>
        </w:rPr>
      </w:pPr>
      <w:bookmarkStart w:id="4" w:name="_Toc23650"/>
      <w:r>
        <w:rPr>
          <w:rFonts w:hint="default" w:ascii="Times New Roman" w:hAnsi="Times New Roman" w:cs="Times New Roman"/>
          <w:sz w:val="24"/>
          <w:szCs w:val="24"/>
        </w:rPr>
        <w:t>Stock market prediction refers to the process of forecasting future stock prices or market trends using historical financial data, statistical techniques, and computational algorithms. The main objective of stock prediction systems is to assist investors and financial analysts in making profitable investment decisions through intelligent market forecasting.</w:t>
      </w:r>
    </w:p>
    <w:p w14:paraId="20B8F3FF">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Financial markets are highly dynamic and influenced by several factors including economic conditions, political events, company performance, global crises, inflation, investor sentiment, and market demand and supply. Due to these complexities, stock price prediction remains a challenging problem in financial analysis.</w:t>
      </w:r>
    </w:p>
    <w:p w14:paraId="1E196034">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Traditional stock prediction methods mainly rely on:</w:t>
      </w:r>
    </w:p>
    <w:p w14:paraId="432AA095">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Fundamental analysis, </w:t>
      </w:r>
    </w:p>
    <w:p w14:paraId="68F54D82">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Technical analysis, </w:t>
      </w:r>
    </w:p>
    <w:p w14:paraId="4A25320F">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Statistical forecasting techniques. </w:t>
      </w:r>
    </w:p>
    <w:p w14:paraId="7FCB8F2C">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Fundamental analysis evaluates company financial statements, earnings, assets, and economic indicators to estimate stock value, while technical analysis focuses on price trends, trading volumes, and market indicators.</w:t>
      </w:r>
    </w:p>
    <w:p w14:paraId="61A10F3D">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However, traditional approaches often struggle to capture nonlinear relationships and hidden patterns within financial datasets. This limitation has encouraged the adoption of intelligent machine learning and deep learning approaches for stock market forecasting.</w:t>
      </w:r>
    </w:p>
    <w:p w14:paraId="4061F27B">
      <w:pPr>
        <w:pStyle w:val="4"/>
        <w:spacing w:line="360" w:lineRule="auto"/>
        <w:rPr>
          <w:rFonts w:hint="default" w:ascii="Times New Roman" w:hAnsi="Times New Roman" w:cs="Times New Roman"/>
          <w:b/>
          <w:bCs/>
          <w:i w:val="0"/>
          <w:iCs w:val="0"/>
          <w:sz w:val="24"/>
          <w:szCs w:val="24"/>
          <w:lang w:val="en-US"/>
        </w:rPr>
      </w:pPr>
      <w:r>
        <w:rPr>
          <w:rFonts w:hint="default" w:ascii="Times New Roman" w:hAnsi="Times New Roman" w:cs="Times New Roman"/>
          <w:b/>
          <w:bCs/>
          <w:i w:val="0"/>
          <w:iCs w:val="0"/>
          <w:sz w:val="24"/>
          <w:szCs w:val="24"/>
        </w:rPr>
        <w:t>2.2.</w:t>
      </w:r>
      <w:bookmarkEnd w:id="4"/>
      <w:r>
        <w:rPr>
          <w:rFonts w:hint="default" w:ascii="Times New Roman" w:hAnsi="Times New Roman" w:cs="Times New Roman"/>
          <w:b/>
          <w:bCs/>
          <w:i w:val="0"/>
          <w:iCs w:val="0"/>
          <w:sz w:val="24"/>
          <w:szCs w:val="24"/>
          <w:lang w:val="en-US"/>
        </w:rPr>
        <w:t xml:space="preserve">1 </w:t>
      </w:r>
      <w:r>
        <w:rPr>
          <w:rFonts w:hint="default" w:ascii="Times New Roman" w:hAnsi="Times New Roman" w:eastAsia="SimSun" w:cs="Times New Roman"/>
          <w:i w:val="0"/>
          <w:iCs w:val="0"/>
          <w:sz w:val="24"/>
          <w:szCs w:val="24"/>
        </w:rPr>
        <w:t>Artificial Intelligence in Financial Forecasting</w:t>
      </w:r>
    </w:p>
    <w:p w14:paraId="3570A241">
      <w:pPr>
        <w:pStyle w:val="7"/>
        <w:keepNext w:val="0"/>
        <w:keepLines w:val="0"/>
        <w:widowControl/>
        <w:suppressLineNumbers w:val="0"/>
        <w:spacing w:line="360" w:lineRule="auto"/>
        <w:rPr>
          <w:rFonts w:hint="default" w:ascii="Times New Roman" w:hAnsi="Times New Roman" w:cs="Times New Roman"/>
          <w:sz w:val="24"/>
          <w:szCs w:val="24"/>
        </w:rPr>
      </w:pPr>
      <w:bookmarkStart w:id="5" w:name="_Toc6605"/>
      <w:r>
        <w:rPr>
          <w:rFonts w:hint="default" w:ascii="Times New Roman" w:hAnsi="Times New Roman" w:cs="Times New Roman"/>
          <w:sz w:val="24"/>
          <w:szCs w:val="24"/>
        </w:rPr>
        <w:t>Artificial Intelligence (AI) has transformed the financial industry by introducing intelligent systems capable of automating financial analysis, prediction, and decision-making processes.</w:t>
      </w:r>
    </w:p>
    <w:p w14:paraId="651B996E">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AI techniques enable computer systems to learn from historical financial data and generate predictive insights without explicit programming. AI-based systems can process large volumes of structured and unstructured financial data efficiently and identify hidden market patterns that may not be easily recognized through manual analysis.</w:t>
      </w:r>
    </w:p>
    <w:p w14:paraId="72BB5A65">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Applications of AI in finance include:</w:t>
      </w:r>
    </w:p>
    <w:p w14:paraId="4ED07279">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Stock market prediction, </w:t>
      </w:r>
    </w:p>
    <w:p w14:paraId="2EE381D9">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Fraud detection, </w:t>
      </w:r>
    </w:p>
    <w:p w14:paraId="39CB89D2">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Algorithmic trading, </w:t>
      </w:r>
    </w:p>
    <w:p w14:paraId="50C59BF7">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Credit risk analysis, </w:t>
      </w:r>
    </w:p>
    <w:p w14:paraId="3248FDEF">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Financial recommendation systems, </w:t>
      </w:r>
    </w:p>
    <w:p w14:paraId="2F1EAD59">
      <w:pPr>
        <w:keepNext w:val="0"/>
        <w:keepLines w:val="0"/>
        <w:widowControl/>
        <w:numPr>
          <w:ilvl w:val="0"/>
          <w:numId w:val="2"/>
        </w:numPr>
        <w:suppressLineNumbers w:val="0"/>
        <w:spacing w:before="0" w:beforeAutospacing="1" w:after="0" w:afterAutospacing="1" w:line="360" w:lineRule="auto"/>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Portfolio optimization. </w:t>
      </w:r>
    </w:p>
    <w:p w14:paraId="3D481973">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integration of AI into financial forecasting has improved prediction accuracy, reduced human errors, and enhanced automated financial decision-making processes.</w:t>
      </w:r>
    </w:p>
    <w:p w14:paraId="43392849">
      <w:pPr>
        <w:pStyle w:val="4"/>
        <w:spacing w:line="360" w:lineRule="auto"/>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2.2.2 Linear Regression</w:t>
      </w:r>
      <w:bookmarkEnd w:id="5"/>
    </w:p>
    <w:p w14:paraId="07415BF6">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Linear Regression is the simplest and most interpretable predictive model for stock prices. In the univariate case, it models the relationship between the current stock price and a single predictor (e.g., time or the previous day's price). In the multivariate case, it regresses the target price against multiple features including technical indicators, macroeconomic variables, and lagged returns. The model estimates coefficients using the Ordinary Least Squares (OLS) method, minimising the residual sum of squares.</w:t>
      </w:r>
    </w:p>
    <w:p w14:paraId="5CA2E32A">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Despite its simplicity, Linear Regression has been shown to provide competitive short-term predictions under stable market conditions (Qian &amp; Rasheed, 2007). Patel et al. (2021) used Linear Regression as a baseline model in their comparative study and found it to be consistently outperformed by ensemble and deep learning methods, particularly in volatile market environments. The model's primary limitations include its inability to capture non-linear relationships, its sensitivity to multicollinearity among feature variables, and its assumption of homoscedasticity, which is frequently violated in financial data.</w:t>
      </w:r>
    </w:p>
    <w:p w14:paraId="43CEE4CA">
      <w:pPr>
        <w:pStyle w:val="4"/>
        <w:spacing w:line="360" w:lineRule="auto"/>
        <w:rPr>
          <w:rFonts w:hint="default" w:ascii="Times New Roman" w:hAnsi="Times New Roman" w:cs="Times New Roman"/>
          <w:i w:val="0"/>
          <w:iCs w:val="0"/>
          <w:sz w:val="24"/>
          <w:szCs w:val="24"/>
        </w:rPr>
      </w:pPr>
      <w:bookmarkStart w:id="6" w:name="_Toc21952"/>
      <w:r>
        <w:rPr>
          <w:rFonts w:hint="default" w:ascii="Times New Roman" w:hAnsi="Times New Roman" w:cs="Times New Roman"/>
          <w:i w:val="0"/>
          <w:iCs w:val="0"/>
          <w:sz w:val="24"/>
          <w:szCs w:val="24"/>
        </w:rPr>
        <w:t>2.2.3 Exponential Smoothing and Moving Averages</w:t>
      </w:r>
      <w:bookmarkEnd w:id="6"/>
    </w:p>
    <w:p w14:paraId="3DCAB992">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Exponential smoothing methods, including Simple Exponential Smoothing (SES), Holt's linear trend method, and the Holt-Winters seasonal model, are widely used for short-term financial forecasting. These models assign exponentially decreasing weights to past observations, emphasising recent data more than historical observations. Moving averages (simple and exponential) are also foundational to technical analysis, serving both as standalone indicators and as features in machine learning models.</w:t>
      </w:r>
    </w:p>
    <w:p w14:paraId="0D279186">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Makridakis et al. (2018) demonstrated in the M4 forecasting competition that simpler statistical methods, including exponential smoothing, often compete favourably with complex ML models on standard time series benchmarks. However, their performance on highly volatile financial time series such as individual stock prices remains limited relative to modern deep learning approaches.</w:t>
      </w:r>
    </w:p>
    <w:p w14:paraId="1E2C81B9">
      <w:pPr>
        <w:pStyle w:val="3"/>
        <w:spacing w:line="360" w:lineRule="auto"/>
        <w:rPr>
          <w:rFonts w:hint="default" w:ascii="Times New Roman" w:hAnsi="Times New Roman" w:cs="Times New Roman"/>
          <w:sz w:val="24"/>
          <w:szCs w:val="24"/>
        </w:rPr>
      </w:pPr>
      <w:bookmarkStart w:id="7" w:name="_Toc27517"/>
      <w:r>
        <w:rPr>
          <w:rFonts w:hint="default" w:ascii="Times New Roman" w:hAnsi="Times New Roman" w:cs="Times New Roman"/>
          <w:sz w:val="24"/>
          <w:szCs w:val="24"/>
        </w:rPr>
        <w:t>2.3 Machine Learning Models</w:t>
      </w:r>
      <w:bookmarkEnd w:id="7"/>
    </w:p>
    <w:p w14:paraId="545D592E">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Machine learning models have substantially advanced the state of the art in stock price prediction by enabling the modelling of non-linear relationships, handling high-dimensional feature spaces, and adapting to complex data distributions without explicit parametric assumptions.</w:t>
      </w:r>
    </w:p>
    <w:p w14:paraId="44336459">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Support Vector Machines, originally developed for classification tasks, were extended to regression problems through the formulation of Support Vector Regression (SVR) by Vapnik (1995). SVR maps input features into a high-dimensional kernel space and identifies a regression hyperplane that maximises the margin within which predictions fall, controlled by an epsilon-insensitive loss function. The use of the kernel trick (e.g., RBF kernel) enables SVR to model non-linear relationships effectively.</w:t>
      </w:r>
    </w:p>
    <w:p w14:paraId="5C9BC9B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Huang et al. (2005) demonstrated that SVM-based classifiers could predict the direction of S&amp;P 500 index changes more accurately than Linear Discriminant Analysis and Backpropagation Neural Networks. More recent work by Kim (2020) and Zhang et al. (2023) confirmed that SVR models outperform ARIMA and Linear Regression on daily stock price prediction tasks, particularly when applied to well-engineered feature sets. A limitation of SVR is its computational intensity for large datasets and sensitivity to kernel and regularisation hyperparameters.</w:t>
      </w:r>
    </w:p>
    <w:p w14:paraId="630B7CE3">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Random Forest, introduced by Breiman (2001), is an ensemble learning method that constructs a large number of decision trees during training and aggregates their predictions (by averaging for regression) to improve accuracy and reduce overfitting. Each tree is trained on a bootstrap sample of the training data, and at each split, a random subset of features is considered, promoting diversity among the trees.</w:t>
      </w:r>
    </w:p>
    <w:p w14:paraId="3A332D55">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Random Forest has been widely applied to stock price prediction with consistently strong results. Patel et al. (2021) demonstrated that Random Forest outperformed ARIMA, Linear Regression, and single decision trees on closing price prediction for ten Indian National Stock Exchange (NSE) equities. The model's key advantages include its robustness to overfitting, its ability to handle high-dimensional feature spaces, and its provision of feature importance scores, which support interpretability. Its limitations include the inability to extrapolate beyond the range of training data and the black-box nature of the ensemble prediction.</w:t>
      </w:r>
    </w:p>
    <w:p w14:paraId="1FC98054">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Gradient Boosting algorithms, including XGBoost (Chen &amp; Guestrin, 2016), LightGBM, and CatBoost, have gained considerable popularity in financial machine learning due to their exceptional predictive performance on structured tabular data. These algorithms build an ensemble of weak learners (typically shallow decision trees) sequentially, with each tree correcting the residual errors of the previous ensemble.</w:t>
      </w:r>
    </w:p>
    <w:p w14:paraId="2757B825">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Gu et al. (2020) conducted one of the largest systematic studies of ML models for stock return prediction, evaluating linear, tree-based, neural network, and ensemble models on US equities data. They reported that tree-based ensemble methods, particularly gradient boosting variants, delivered the most robust out-of-sample performance. However, for time se</w:t>
      </w:r>
      <w:bookmarkStart w:id="10" w:name="_GoBack"/>
      <w:bookmarkEnd w:id="10"/>
      <w:r>
        <w:rPr>
          <w:rFonts w:hint="default" w:ascii="Times New Roman" w:hAnsi="Times New Roman" w:cs="Times New Roman"/>
          <w:sz w:val="24"/>
          <w:szCs w:val="24"/>
        </w:rPr>
        <w:t>ries tasks requiring the capture of temporal dependencies, sequential models such as LSTM remain competitive (Zhang et al., 2023).</w:t>
      </w:r>
    </w:p>
    <w:p w14:paraId="4CCC1246">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Recurrent Neural Networks are neural network architectures designed for sequential data. Unlike feedforward networks, RNNs contain recurrent connections that allow information to persist across time steps, making them theoretically capable of modelling temporal dependencies in time series. The network maintains a hidden state h_t that is updated at each time step t based on the current input x_t and the previous hidden state h_{t-1}:</w:t>
      </w:r>
    </w:p>
    <w:p w14:paraId="6911E1BC">
      <w:pPr>
        <w:spacing w:before="100" w:after="100" w:line="360" w:lineRule="auto"/>
        <w:jc w:val="center"/>
        <w:rPr>
          <w:rFonts w:hint="default" w:ascii="Times New Roman" w:hAnsi="Times New Roman" w:cs="Times New Roman"/>
          <w:sz w:val="24"/>
          <w:szCs w:val="24"/>
        </w:rPr>
      </w:pPr>
      <w:r>
        <w:rPr>
          <w:rFonts w:hint="default" w:ascii="Times New Roman" w:hAnsi="Times New Roman" w:eastAsia="Courier New" w:cs="Times New Roman"/>
          <w:i/>
          <w:iCs/>
          <w:sz w:val="24"/>
          <w:szCs w:val="24"/>
        </w:rPr>
        <w:t>h_t = tanh(W_h * h_{t-1} + W_x * x_t + b)</w:t>
      </w:r>
    </w:p>
    <w:p w14:paraId="023E9383">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where W_h and W_x are weight matrices, and b is the bias vector. Despite their theoretical appeal, standard RNNs suffer from the vanishing gradient problem during backpropagation through time, which severely limits their ability to capture long-range dependencies in sequences longer than approximately 10-20 time steps (Bengio et al., 1994).</w:t>
      </w:r>
    </w:p>
    <w:p w14:paraId="2D9AC66B">
      <w:pPr>
        <w:pStyle w:val="4"/>
        <w:spacing w:line="360" w:lineRule="auto"/>
        <w:rPr>
          <w:rFonts w:hint="default" w:ascii="Times New Roman" w:hAnsi="Times New Roman" w:cs="Times New Roman"/>
          <w:i w:val="0"/>
          <w:iCs w:val="0"/>
          <w:sz w:val="24"/>
          <w:szCs w:val="24"/>
        </w:rPr>
      </w:pPr>
      <w:bookmarkStart w:id="8" w:name="_Toc6906"/>
      <w:r>
        <w:rPr>
          <w:rFonts w:hint="default" w:ascii="Times New Roman" w:hAnsi="Times New Roman" w:cs="Times New Roman"/>
          <w:i w:val="0"/>
          <w:iCs w:val="0"/>
          <w:sz w:val="24"/>
          <w:szCs w:val="24"/>
        </w:rPr>
        <w:t>2.</w:t>
      </w:r>
      <w:r>
        <w:rPr>
          <w:rFonts w:hint="default" w:ascii="Times New Roman" w:hAnsi="Times New Roman" w:cs="Times New Roman"/>
          <w:i w:val="0"/>
          <w:iCs w:val="0"/>
          <w:sz w:val="24"/>
          <w:szCs w:val="24"/>
          <w:lang w:val="en-US"/>
        </w:rPr>
        <w:t>3</w:t>
      </w:r>
      <w:r>
        <w:rPr>
          <w:rFonts w:hint="default" w:ascii="Times New Roman" w:hAnsi="Times New Roman" w:cs="Times New Roman"/>
          <w:i w:val="0"/>
          <w:iCs w:val="0"/>
          <w:sz w:val="24"/>
          <w:szCs w:val="24"/>
        </w:rPr>
        <w:t>.</w:t>
      </w:r>
      <w:r>
        <w:rPr>
          <w:rFonts w:hint="default" w:ascii="Times New Roman" w:hAnsi="Times New Roman" w:cs="Times New Roman"/>
          <w:i w:val="0"/>
          <w:iCs w:val="0"/>
          <w:sz w:val="24"/>
          <w:szCs w:val="24"/>
          <w:lang w:val="en-US"/>
        </w:rPr>
        <w:t>1</w:t>
      </w:r>
      <w:r>
        <w:rPr>
          <w:rFonts w:hint="default" w:ascii="Times New Roman" w:hAnsi="Times New Roman" w:cs="Times New Roman"/>
          <w:i w:val="0"/>
          <w:iCs w:val="0"/>
          <w:sz w:val="24"/>
          <w:szCs w:val="24"/>
        </w:rPr>
        <w:t xml:space="preserve"> Long Short-Term Memory (LSTM) Networks</w:t>
      </w:r>
      <w:bookmarkEnd w:id="8"/>
    </w:p>
    <w:p w14:paraId="01A6A9CA">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Long Short-Term Memory networks, introduced by Hochreiter and Schmidhuber (1997), address the vanishing gradient problem through the introduction of a memory cell and three gating mechanisms: the input gate, the forget gate, and the output gate. These gates regulate the flow of information into, within, and out of the memory cell, enabling the network to selectively retain or discard information over arbitrarily long sequences.</w:t>
      </w:r>
    </w:p>
    <w:p w14:paraId="1A78599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The LSTM update equations at each time step t are as follows:</w:t>
      </w:r>
    </w:p>
    <w:p w14:paraId="005A91D7">
      <w:pPr>
        <w:spacing w:before="80" w:after="4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Forget gate:     f_t = sigma(W_f * [h_{t-1}, x_t] + b_f)</w:t>
      </w:r>
    </w:p>
    <w:p w14:paraId="21A9BE79">
      <w:pPr>
        <w:spacing w:before="40" w:after="4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Input gate:      i_t = sigma(W_i * [h_{t-1}, x_t] + b_i)</w:t>
      </w:r>
    </w:p>
    <w:p w14:paraId="1E1E6201">
      <w:pPr>
        <w:spacing w:before="40" w:after="4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Candidate:       C~_t = tanh(W_C * [h_{t-1}, x_t] + b_C)</w:t>
      </w:r>
    </w:p>
    <w:p w14:paraId="0C978A0E">
      <w:pPr>
        <w:spacing w:before="40" w:after="4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Cell update:     C_t = f_t * C_{t-1} + i_t * C~_t</w:t>
      </w:r>
    </w:p>
    <w:p w14:paraId="61476CEC">
      <w:pPr>
        <w:spacing w:before="40" w:after="8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Output gate:     o_t = sigma(W_o * [h_{t-1}, x_t] + b_o)</w:t>
      </w:r>
    </w:p>
    <w:p w14:paraId="295E1B63">
      <w:pPr>
        <w:spacing w:before="40" w:after="80" w:line="360" w:lineRule="auto"/>
        <w:ind w:left="720"/>
        <w:rPr>
          <w:rFonts w:hint="default" w:ascii="Times New Roman" w:hAnsi="Times New Roman" w:cs="Times New Roman"/>
          <w:sz w:val="24"/>
          <w:szCs w:val="24"/>
        </w:rPr>
      </w:pPr>
      <w:r>
        <w:rPr>
          <w:rFonts w:hint="default" w:ascii="Times New Roman" w:hAnsi="Times New Roman" w:eastAsia="Courier New" w:cs="Times New Roman"/>
          <w:sz w:val="24"/>
          <w:szCs w:val="24"/>
        </w:rPr>
        <w:t>Hidden state:    h_t = o_t * tanh(C_t)</w:t>
      </w:r>
    </w:p>
    <w:p w14:paraId="2EBFA31B">
      <w:pPr>
        <w:spacing w:after="160" w:line="360" w:lineRule="auto"/>
        <w:ind w:firstLine="720"/>
        <w:jc w:val="both"/>
        <w:rPr>
          <w:rFonts w:hint="default" w:ascii="Times New Roman" w:hAnsi="Times New Roman" w:cs="Times New Roman"/>
          <w:sz w:val="24"/>
          <w:szCs w:val="24"/>
        </w:rPr>
      </w:pPr>
      <w:r>
        <w:rPr>
          <w:rFonts w:hint="default" w:ascii="Times New Roman" w:hAnsi="Times New Roman" w:cs="Times New Roman"/>
          <w:sz w:val="24"/>
          <w:szCs w:val="24"/>
        </w:rPr>
        <w:t>where sigma denotes the sigmoid activation function, and W and b represent the weight matrices and biases for each respective gate.</w:t>
      </w:r>
    </w:p>
    <w:p w14:paraId="1B9D4C59">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LSTM networks have been extensively applied to financial time series forecasting. Fischer and Krauss (2018) applied LSTM networks to predict the direction of S&amp;P 500 constituent stock returns and reported significant outperformance relative to Random Forests, deep neural networks, and ARIMA. Moghar and Hamiche (2020) used LSTM for stock market prediction on Moroccan exchange data and achieved RMSE values significantly lower than ARIMA. Liu and Long (2020) developed a hybrid LSTM-attention model that demonstrated improved predictive accuracy by combining the temporal learning capacity of LSTM with an attention mechanism that weighted the importance of different time steps.</w:t>
      </w:r>
    </w:p>
    <w:p w14:paraId="57FA5FB0">
      <w:pPr>
        <w:pStyle w:val="4"/>
        <w:spacing w:line="360" w:lineRule="auto"/>
        <w:rPr>
          <w:rFonts w:hint="default" w:ascii="Times New Roman" w:hAnsi="Times New Roman" w:cs="Times New Roman"/>
          <w:i w:val="0"/>
          <w:iCs w:val="0"/>
          <w:sz w:val="24"/>
          <w:szCs w:val="24"/>
        </w:rPr>
      </w:pPr>
      <w:bookmarkStart w:id="9" w:name="_Toc4636"/>
      <w:r>
        <w:rPr>
          <w:rFonts w:hint="default" w:ascii="Times New Roman" w:hAnsi="Times New Roman" w:cs="Times New Roman"/>
          <w:i w:val="0"/>
          <w:iCs w:val="0"/>
          <w:sz w:val="24"/>
          <w:szCs w:val="24"/>
        </w:rPr>
        <w:t>2.</w:t>
      </w:r>
      <w:r>
        <w:rPr>
          <w:rFonts w:hint="default" w:ascii="Times New Roman" w:hAnsi="Times New Roman" w:cs="Times New Roman"/>
          <w:i w:val="0"/>
          <w:iCs w:val="0"/>
          <w:sz w:val="24"/>
          <w:szCs w:val="24"/>
          <w:lang w:val="en-US"/>
        </w:rPr>
        <w:t>3</w:t>
      </w:r>
      <w:r>
        <w:rPr>
          <w:rFonts w:hint="default" w:ascii="Times New Roman" w:hAnsi="Times New Roman" w:cs="Times New Roman"/>
          <w:i w:val="0"/>
          <w:iCs w:val="0"/>
          <w:sz w:val="24"/>
          <w:szCs w:val="24"/>
        </w:rPr>
        <w:t>.</w:t>
      </w:r>
      <w:r>
        <w:rPr>
          <w:rFonts w:hint="default" w:ascii="Times New Roman" w:hAnsi="Times New Roman" w:cs="Times New Roman"/>
          <w:i w:val="0"/>
          <w:iCs w:val="0"/>
          <w:sz w:val="24"/>
          <w:szCs w:val="24"/>
          <w:lang w:val="en-US"/>
        </w:rPr>
        <w:t>2</w:t>
      </w:r>
      <w:r>
        <w:rPr>
          <w:rFonts w:hint="default" w:ascii="Times New Roman" w:hAnsi="Times New Roman" w:cs="Times New Roman"/>
          <w:i w:val="0"/>
          <w:iCs w:val="0"/>
          <w:sz w:val="24"/>
          <w:szCs w:val="24"/>
        </w:rPr>
        <w:t xml:space="preserve"> Convolutional Neural Networks (CNNs) and Hybrid Models</w:t>
      </w:r>
      <w:bookmarkEnd w:id="9"/>
    </w:p>
    <w:p w14:paraId="0DFB63FF">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Convolutional Neural Networks, originally designed for image processing, have been adapted for one-dimensional financial time series by treating price sequences as signals to which convolutional filters can be applied. CNNs excel at extracting local patterns (e.g., short-term price patterns) through their convolutional and pooling operations. Hybrid CNN-LSTM architectures, which combine the local feature extraction capability of CNNs with the temporal modelling capacity of LSTMs, have been reported to outperform standalone models in several studies (Sezer et al., 2020).</w:t>
      </w:r>
    </w:p>
    <w:p w14:paraId="00C4744B">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Transformer-based architectures, originally introduced for natural language processing by Vaswani et al. (2017), have more recently been applied to financial time series prediction. The self-attention mechanism of Transformers enables them to capture dependencies across the full sequence length simultaneously, without the sequential bottleneck of RNNs. Studies by Zhou et al. (2021) and Li et al. (2022) demonstrated promising results for transformer-based stock prediction models, though their computational requirements and data demands are substantially higher than those of LSTM models.</w:t>
      </w:r>
    </w:p>
    <w:p w14:paraId="564736C3">
      <w:pPr>
        <w:spacing w:before="160" w:after="80" w:line="360" w:lineRule="auto"/>
        <w:jc w:val="center"/>
        <w:rPr>
          <w:rFonts w:hint="default" w:ascii="Times New Roman" w:hAnsi="Times New Roman" w:cs="Times New Roman"/>
          <w:sz w:val="24"/>
          <w:szCs w:val="24"/>
        </w:rPr>
      </w:pPr>
      <w:r>
        <w:rPr>
          <w:rFonts w:hint="default" w:ascii="Times New Roman" w:hAnsi="Times New Roman" w:cs="Times New Roman"/>
          <w:b/>
          <w:bCs/>
          <w:sz w:val="24"/>
          <w:szCs w:val="24"/>
        </w:rPr>
        <w:t>Table 2.1: Summary of Related Works (2020–2025)</w:t>
      </w:r>
    </w:p>
    <w:tbl>
      <w:tblPr>
        <w:tblStyle w:val="8"/>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00"/>
        <w:gridCol w:w="1500"/>
        <w:gridCol w:w="1800"/>
        <w:gridCol w:w="2100"/>
        <w:gridCol w:w="2360"/>
      </w:tblGrid>
      <w:tr w14:paraId="2AE42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Borders>
              <w:top w:val="single" w:color="auto" w:sz="4" w:space="0"/>
              <w:bottom w:val="single" w:color="auto" w:sz="4" w:space="0"/>
            </w:tcBorders>
          </w:tcPr>
          <w:p w14:paraId="7854570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Author(s) &amp; Year</w:t>
            </w:r>
          </w:p>
        </w:tc>
        <w:tc>
          <w:tcPr>
            <w:tcW w:w="1500" w:type="dxa"/>
            <w:tcBorders>
              <w:top w:val="single" w:color="auto" w:sz="4" w:space="0"/>
              <w:bottom w:val="single" w:color="auto" w:sz="4" w:space="0"/>
            </w:tcBorders>
          </w:tcPr>
          <w:p w14:paraId="1815D972">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Dataset</w:t>
            </w:r>
          </w:p>
        </w:tc>
        <w:tc>
          <w:tcPr>
            <w:tcW w:w="1800" w:type="dxa"/>
            <w:tcBorders>
              <w:top w:val="single" w:color="auto" w:sz="4" w:space="0"/>
              <w:bottom w:val="single" w:color="auto" w:sz="4" w:space="0"/>
            </w:tcBorders>
          </w:tcPr>
          <w:p w14:paraId="6A699796">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Model(s) Used</w:t>
            </w:r>
          </w:p>
        </w:tc>
        <w:tc>
          <w:tcPr>
            <w:tcW w:w="2100" w:type="dxa"/>
            <w:tcBorders>
              <w:top w:val="single" w:color="auto" w:sz="4" w:space="0"/>
              <w:bottom w:val="single" w:color="auto" w:sz="4" w:space="0"/>
            </w:tcBorders>
          </w:tcPr>
          <w:p w14:paraId="4C7CAF46">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Key Findings</w:t>
            </w:r>
          </w:p>
        </w:tc>
        <w:tc>
          <w:tcPr>
            <w:tcW w:w="2360" w:type="dxa"/>
            <w:tcBorders>
              <w:top w:val="single" w:color="auto" w:sz="4" w:space="0"/>
              <w:bottom w:val="single" w:color="auto" w:sz="4" w:space="0"/>
            </w:tcBorders>
          </w:tcPr>
          <w:p w14:paraId="4D36884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Limitations</w:t>
            </w:r>
          </w:p>
        </w:tc>
      </w:tr>
      <w:tr w14:paraId="02072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Borders>
              <w:top w:val="single" w:color="auto" w:sz="4" w:space="0"/>
            </w:tcBorders>
          </w:tcPr>
          <w:p w14:paraId="49100CC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Moghar &amp; Hamiche (2020)</w:t>
            </w:r>
          </w:p>
        </w:tc>
        <w:tc>
          <w:tcPr>
            <w:tcW w:w="1500" w:type="dxa"/>
            <w:tcBorders>
              <w:top w:val="single" w:color="auto" w:sz="4" w:space="0"/>
            </w:tcBorders>
          </w:tcPr>
          <w:p w14:paraId="0F3ACFA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Casablanca SE</w:t>
            </w:r>
          </w:p>
        </w:tc>
        <w:tc>
          <w:tcPr>
            <w:tcW w:w="1800" w:type="dxa"/>
            <w:tcBorders>
              <w:top w:val="single" w:color="auto" w:sz="4" w:space="0"/>
            </w:tcBorders>
          </w:tcPr>
          <w:p w14:paraId="6881A2C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 ARIMA, ANN</w:t>
            </w:r>
          </w:p>
        </w:tc>
        <w:tc>
          <w:tcPr>
            <w:tcW w:w="2100" w:type="dxa"/>
            <w:tcBorders>
              <w:top w:val="single" w:color="auto" w:sz="4" w:space="0"/>
            </w:tcBorders>
          </w:tcPr>
          <w:p w14:paraId="6BFFD29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 outperformed ARIMA with RMSE = 1.25%</w:t>
            </w:r>
          </w:p>
        </w:tc>
        <w:tc>
          <w:tcPr>
            <w:tcW w:w="2360" w:type="dxa"/>
            <w:tcBorders>
              <w:top w:val="single" w:color="auto" w:sz="4" w:space="0"/>
            </w:tcBorders>
          </w:tcPr>
          <w:p w14:paraId="51410C2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Single market; no sentiment data</w:t>
            </w:r>
          </w:p>
        </w:tc>
      </w:tr>
      <w:tr w14:paraId="37E18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Pr>
          <w:p w14:paraId="3FCFF26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Patel et al. (2021)</w:t>
            </w:r>
          </w:p>
        </w:tc>
        <w:tc>
          <w:tcPr>
            <w:tcW w:w="1500" w:type="dxa"/>
          </w:tcPr>
          <w:p w14:paraId="7334A56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Indian NSE</w:t>
            </w:r>
          </w:p>
        </w:tc>
        <w:tc>
          <w:tcPr>
            <w:tcW w:w="1800" w:type="dxa"/>
          </w:tcPr>
          <w:p w14:paraId="72DBA6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LR, SVM, RF, GBM</w:t>
            </w:r>
          </w:p>
        </w:tc>
        <w:tc>
          <w:tcPr>
            <w:tcW w:w="2100" w:type="dxa"/>
          </w:tcPr>
          <w:p w14:paraId="41B19E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RF best overall; 34% better RMSE than LR</w:t>
            </w:r>
          </w:p>
        </w:tc>
        <w:tc>
          <w:tcPr>
            <w:tcW w:w="2360" w:type="dxa"/>
          </w:tcPr>
          <w:p w14:paraId="7D951D2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 deep learning models included</w:t>
            </w:r>
          </w:p>
        </w:tc>
      </w:tr>
      <w:tr w14:paraId="18C9C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Pr>
          <w:p w14:paraId="757411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Okonkwo et al. (2021)</w:t>
            </w:r>
          </w:p>
        </w:tc>
        <w:tc>
          <w:tcPr>
            <w:tcW w:w="1500" w:type="dxa"/>
          </w:tcPr>
          <w:p w14:paraId="3BE75D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Nigerian NGX</w:t>
            </w:r>
          </w:p>
        </w:tc>
        <w:tc>
          <w:tcPr>
            <w:tcW w:w="1800" w:type="dxa"/>
          </w:tcPr>
          <w:p w14:paraId="0F33F73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 ARIMA, RF</w:t>
            </w:r>
          </w:p>
        </w:tc>
        <w:tc>
          <w:tcPr>
            <w:tcW w:w="2100" w:type="dxa"/>
          </w:tcPr>
          <w:p w14:paraId="32D11F9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LSTM achieved RMSE of N1.82 (2.3% of price)</w:t>
            </w:r>
          </w:p>
        </w:tc>
        <w:tc>
          <w:tcPr>
            <w:tcW w:w="2360" w:type="dxa"/>
          </w:tcPr>
          <w:p w14:paraId="0C07023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Limited data history for NGX; 3 stocks only</w:t>
            </w:r>
          </w:p>
        </w:tc>
      </w:tr>
      <w:tr w14:paraId="7F09A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Pr>
          <w:p w14:paraId="0A2CBE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Qiu et al. (2020)</w:t>
            </w:r>
          </w:p>
        </w:tc>
        <w:tc>
          <w:tcPr>
            <w:tcW w:w="1500" w:type="dxa"/>
          </w:tcPr>
          <w:p w14:paraId="03D9941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Shanghai Composite</w:t>
            </w:r>
          </w:p>
        </w:tc>
        <w:tc>
          <w:tcPr>
            <w:tcW w:w="1800" w:type="dxa"/>
          </w:tcPr>
          <w:p w14:paraId="5022B3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GA-LSTM, LSTM, ARIMA</w:t>
            </w:r>
          </w:p>
        </w:tc>
        <w:tc>
          <w:tcPr>
            <w:tcW w:w="2100" w:type="dxa"/>
          </w:tcPr>
          <w:p w14:paraId="0B5AB5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GA-optimised LSTM: RMSE 29% lower than standard LSTM</w:t>
            </w:r>
          </w:p>
        </w:tc>
        <w:tc>
          <w:tcPr>
            <w:tcW w:w="2360" w:type="dxa"/>
          </w:tcPr>
          <w:p w14:paraId="5FBE334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High computational cost of GA; single market</w:t>
            </w:r>
          </w:p>
        </w:tc>
      </w:tr>
      <w:tr w14:paraId="4C582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600" w:type="dxa"/>
            <w:tcBorders>
              <w:bottom w:val="single" w:color="auto" w:sz="4" w:space="0"/>
            </w:tcBorders>
          </w:tcPr>
          <w:p w14:paraId="323823E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Zhang et al. (2023)</w:t>
            </w:r>
          </w:p>
        </w:tc>
        <w:tc>
          <w:tcPr>
            <w:tcW w:w="1500" w:type="dxa"/>
            <w:tcBorders>
              <w:bottom w:val="single" w:color="auto" w:sz="4" w:space="0"/>
            </w:tcBorders>
          </w:tcPr>
          <w:p w14:paraId="0E7E79D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NYSE equities</w:t>
            </w:r>
          </w:p>
        </w:tc>
        <w:tc>
          <w:tcPr>
            <w:tcW w:w="1800" w:type="dxa"/>
            <w:tcBorders>
              <w:bottom w:val="single" w:color="auto" w:sz="4" w:space="0"/>
            </w:tcBorders>
          </w:tcPr>
          <w:p w14:paraId="1B11B3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CNN-LSTM-Attention</w:t>
            </w:r>
          </w:p>
        </w:tc>
        <w:tc>
          <w:tcPr>
            <w:tcW w:w="2100" w:type="dxa"/>
            <w:tcBorders>
              <w:bottom w:val="single" w:color="auto" w:sz="4" w:space="0"/>
            </w:tcBorders>
          </w:tcPr>
          <w:p w14:paraId="1C2315D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18% RMSE reduction over best single-arch model</w:t>
            </w:r>
          </w:p>
        </w:tc>
        <w:tc>
          <w:tcPr>
            <w:tcW w:w="2360" w:type="dxa"/>
            <w:tcBorders>
              <w:bottom w:val="single" w:color="auto" w:sz="4" w:space="0"/>
            </w:tcBorders>
          </w:tcPr>
          <w:p w14:paraId="0C7BE72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High model complexity; requires large dataset</w:t>
            </w:r>
          </w:p>
        </w:tc>
      </w:tr>
    </w:tbl>
    <w:p w14:paraId="766A228D">
      <w:pPr>
        <w:spacing w:after="160" w:line="360" w:lineRule="auto"/>
        <w:ind w:firstLine="720"/>
        <w:jc w:val="both"/>
        <w:rPr>
          <w:rFonts w:hint="default" w:ascii="Times New Roman" w:hAnsi="Times New Roman" w:cs="Times New Roman"/>
          <w:sz w:val="24"/>
          <w:szCs w:val="24"/>
        </w:rPr>
      </w:pPr>
    </w:p>
    <w:p w14:paraId="58A04D15">
      <w:pPr>
        <w:spacing w:after="160"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2.4 Summary</w:t>
      </w:r>
    </w:p>
    <w:p w14:paraId="7F0D2F8B">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chapter presents a comprehensive review of existing literature on stock price prediction, tracing the evolution of forecasting techniques from traditional financial theories to modern computational approaches. It begins by examining the limitations of the Efficient Market Hypothesis , highlighting empirical evidence of market anomalies that justify the application of predictive models. The chapter categorises stock prediction methods into technical, fundamental, and computational approaches, with particular emphasis on quantitative and algorithmic techniques. It further discusses the progression from classical statistical models such as ARIMA and Linear Regression to more advanced machine learning and deep learning methods.</w:t>
      </w:r>
    </w:p>
    <w:p w14:paraId="31814104">
      <w:pPr>
        <w:pStyle w:val="7"/>
        <w:keepNext w:val="0"/>
        <w:keepLines w:val="0"/>
        <w:widowControl/>
        <w:suppressLineNumbers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 addition, the chapter provides an in-depth analysis of various predictive models, including statistical techniques, machine learning algorithms like Support Vector Machines and Random Forest, and deep learning architectures such as Recurrent Neural Networks (RNNs) and Long Short-Term Memory (LSTM) networks. Special attention is given to LSTM due to its ability to capture long-term dependencies in time series data. The chapter also explores emerging models such as CNN-LSTM hybrids and transformer-based architectures. A comparative review of recent studies (2020–2025) highlights key findings, performance improvements, and limitations of different approaches. Overall, this chapter establishes the theoretical and empirical foundation for selecting appropriate models and designing a robust autonomous framework for stock price prediction.</w:t>
      </w:r>
    </w:p>
    <w:p w14:paraId="63A4A3C1">
      <w:pPr>
        <w:spacing w:line="360" w:lineRule="auto"/>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0AF39E"/>
    <w:multiLevelType w:val="multilevel"/>
    <w:tmpl w:val="A60AF3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14F80A05"/>
    <w:multiLevelType w:val="multilevel"/>
    <w:tmpl w:val="14F80A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AF4505"/>
    <w:rsid w:val="014852B3"/>
    <w:rsid w:val="02291994"/>
    <w:rsid w:val="0317318F"/>
    <w:rsid w:val="037B15C3"/>
    <w:rsid w:val="06A44D39"/>
    <w:rsid w:val="0EFD148A"/>
    <w:rsid w:val="139F4BA8"/>
    <w:rsid w:val="1E3A6EF9"/>
    <w:rsid w:val="1FDB5818"/>
    <w:rsid w:val="246D6C5B"/>
    <w:rsid w:val="28467821"/>
    <w:rsid w:val="329357A2"/>
    <w:rsid w:val="34BA4404"/>
    <w:rsid w:val="370E1BD7"/>
    <w:rsid w:val="41863641"/>
    <w:rsid w:val="457A46B0"/>
    <w:rsid w:val="477171DB"/>
    <w:rsid w:val="49DA4131"/>
    <w:rsid w:val="5BAF4505"/>
    <w:rsid w:val="642F4DB7"/>
    <w:rsid w:val="649D4417"/>
    <w:rsid w:val="68792AA5"/>
    <w:rsid w:val="6A856AFE"/>
    <w:rsid w:val="74EE0640"/>
    <w:rsid w:val="7A356A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qFormat/>
    <w:uiPriority w:val="0"/>
    <w:pPr>
      <w:spacing w:before="400" w:after="200" w:line="240" w:lineRule="auto"/>
      <w:outlineLvl w:val="0"/>
    </w:pPr>
    <w:rPr>
      <w:rFonts w:ascii="Times New Roman" w:hAnsi="Times New Roman" w:eastAsia="Times New Roman" w:cs="Times New Roman"/>
      <w:b/>
      <w:bCs/>
      <w:color w:val="000000"/>
      <w:sz w:val="28"/>
      <w:szCs w:val="28"/>
      <w:lang w:val="en-US" w:eastAsia="en-US" w:bidi="ar-SA"/>
    </w:rPr>
  </w:style>
  <w:style w:type="paragraph" w:styleId="3">
    <w:name w:val="heading 2"/>
    <w:qFormat/>
    <w:uiPriority w:val="0"/>
    <w:pPr>
      <w:spacing w:before="300" w:after="150" w:line="240" w:lineRule="auto"/>
      <w:outlineLvl w:val="1"/>
    </w:pPr>
    <w:rPr>
      <w:rFonts w:ascii="Times New Roman" w:hAnsi="Times New Roman" w:eastAsia="Times New Roman" w:cs="Times New Roman"/>
      <w:b/>
      <w:bCs/>
      <w:color w:val="000000"/>
      <w:sz w:val="26"/>
      <w:szCs w:val="26"/>
      <w:lang w:val="en-US" w:eastAsia="en-US" w:bidi="ar-SA"/>
    </w:rPr>
  </w:style>
  <w:style w:type="paragraph" w:styleId="4">
    <w:name w:val="heading 3"/>
    <w:qFormat/>
    <w:uiPriority w:val="0"/>
    <w:pPr>
      <w:spacing w:before="240" w:after="120" w:line="240" w:lineRule="auto"/>
      <w:outlineLvl w:val="2"/>
    </w:pPr>
    <w:rPr>
      <w:rFonts w:ascii="Times New Roman" w:hAnsi="Times New Roman" w:eastAsia="Times New Roman" w:cs="Times New Roman"/>
      <w:b/>
      <w:bCs/>
      <w:i/>
      <w:iCs/>
      <w:color w:val="000000"/>
      <w:sz w:val="24"/>
      <w:szCs w:val="24"/>
      <w:lang w:val="en-US" w:eastAsia="en-US" w:bidi="ar-SA"/>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8">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2053</Words>
  <Characters>12868</Characters>
  <Lines>0</Lines>
  <Paragraphs>0</Paragraphs>
  <TotalTime>1</TotalTime>
  <ScaleCrop>false</ScaleCrop>
  <LinksUpToDate>false</LinksUpToDate>
  <CharactersWithSpaces>14866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2026-05-08T20:55:00Z</dcterms:created>
  <dc:creator>DELL</dc:creator>
  <cp:lastModifiedBy>Zacks Bugs</cp:lastModifiedBy>
  <dcterms:modified xsi:type="dcterms:W3CDTF">2026-05-19T05:16:07Z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157E0C66CD714F94AD359150BA54CC6E_11</vt:lpwstr>
  </property>
  <property fmtid="{D5CDD505-2E9C-101B-9397-08002B2CF9AE}" pid="4" name="KSOTemplateDocerSaveRecord">
    <vt:lpwstr>eyJoZGlkIjoiNTA3N2U4MDMwY2U1NDY0MjVlZDgyNTEzZGRiOGRkMTUiLCJ1c2VySWQiOiIyNzY2NjkxNjg5MzIwIn0=</vt:lpwstr>
  </property>
</Properties>
</file>