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81B1A">
      <w:pPr>
        <w:pStyle w:val="2"/>
        <w:spacing w:before="0" w:line="360" w:lineRule="auto"/>
        <w:jc w:val="center"/>
        <w:rPr>
          <w:rFonts w:hint="default" w:ascii="Times New Roman" w:hAnsi="Times New Roman" w:cs="Times New Roman"/>
          <w:sz w:val="24"/>
          <w:szCs w:val="24"/>
        </w:rPr>
      </w:pPr>
      <w:bookmarkStart w:id="0" w:name="_Toc22876"/>
      <w:r>
        <w:rPr>
          <w:rFonts w:hint="default" w:ascii="Times New Roman" w:hAnsi="Times New Roman" w:cs="Times New Roman"/>
          <w:sz w:val="24"/>
          <w:szCs w:val="24"/>
        </w:rPr>
        <w:t>CHAPTER FOUR</w:t>
      </w:r>
      <w:bookmarkEnd w:id="0"/>
    </w:p>
    <w:p w14:paraId="0464A9D7">
      <w:pPr>
        <w:pStyle w:val="2"/>
        <w:spacing w:before="0" w:line="360" w:lineRule="auto"/>
        <w:jc w:val="center"/>
        <w:rPr>
          <w:rFonts w:hint="default" w:ascii="Times New Roman" w:hAnsi="Times New Roman" w:cs="Times New Roman"/>
          <w:sz w:val="24"/>
          <w:szCs w:val="24"/>
          <w:lang w:val="en-US"/>
        </w:rPr>
      </w:pPr>
      <w:bookmarkStart w:id="1" w:name="_Toc3218"/>
      <w:r>
        <w:rPr>
          <w:rFonts w:hint="default" w:cs="Times New Roman"/>
          <w:sz w:val="24"/>
          <w:szCs w:val="24"/>
          <w:lang w:val="en-US"/>
        </w:rPr>
        <w:t>IMPLEMENTATION</w:t>
      </w:r>
      <w:bookmarkEnd w:id="1"/>
    </w:p>
    <w:p w14:paraId="1F6DD2A6">
      <w:pPr>
        <w:pStyle w:val="3"/>
        <w:spacing w:line="360" w:lineRule="auto"/>
        <w:rPr>
          <w:rFonts w:hint="default" w:ascii="Times New Roman" w:hAnsi="Times New Roman" w:cs="Times New Roman"/>
          <w:sz w:val="24"/>
          <w:szCs w:val="24"/>
        </w:rPr>
      </w:pPr>
      <w:bookmarkStart w:id="2" w:name="_Toc31551"/>
      <w:r>
        <w:rPr>
          <w:rFonts w:hint="default" w:ascii="Times New Roman" w:hAnsi="Times New Roman" w:cs="Times New Roman"/>
          <w:sz w:val="24"/>
          <w:szCs w:val="24"/>
        </w:rPr>
        <w:t>4.1 Introduction</w:t>
      </w:r>
      <w:bookmarkEnd w:id="2"/>
    </w:p>
    <w:p w14:paraId="3CCCEFB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a comprehensive account of the experimental results obtained from the implementation and execution of the autonomous stock price prediction framework described in Chapter Three. The experiments were conducted on Google Colaboratory (Google Colab), a cloud-based interactive Python notebook environment provided by Google, which offers access to CPU-based computing resources suitable for machine learning and deep learning experiments. The notebook, titled 'Stock Market Prediction.ipynb', was executed in its entirety using the Python 3 runtime.</w:t>
      </w:r>
    </w:p>
    <w:p w14:paraId="35D3E41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chapter is organised as follows: Section 4.2 presents the results of data collection and exploratory data analysis; Section 4.3 discusses the data preprocessing and feature engineering outcomes; Section 4.4 presents the LSTM model architecture as implemented; Section 4.5 documents the LSTM training process and convergence behaviour; Section 4.6 presents the model evaluation results and performance metrics; Section 4.7 discusses the implications of the findings in relation to the research objectives and related literature; and Section 4.8 presents the summary of the chapter.</w:t>
      </w:r>
    </w:p>
    <w:p w14:paraId="09DE5D29">
      <w:pPr>
        <w:pStyle w:val="4"/>
        <w:spacing w:line="360" w:lineRule="auto"/>
        <w:rPr>
          <w:rFonts w:hint="default" w:ascii="Times New Roman" w:hAnsi="Times New Roman" w:cs="Times New Roman"/>
          <w:i w:val="0"/>
          <w:iCs w:val="0"/>
          <w:sz w:val="24"/>
          <w:szCs w:val="24"/>
        </w:rPr>
      </w:pPr>
      <w:bookmarkStart w:id="3" w:name="_Toc20732"/>
      <w:r>
        <w:rPr>
          <w:rFonts w:hint="default" w:ascii="Times New Roman" w:hAnsi="Times New Roman" w:cs="Times New Roman"/>
          <w:i w:val="0"/>
          <w:iCs w:val="0"/>
          <w:sz w:val="24"/>
          <w:szCs w:val="24"/>
        </w:rPr>
        <w:t>4.</w:t>
      </w:r>
      <w:r>
        <w:rPr>
          <w:rFonts w:hint="default" w:cs="Times New Roman"/>
          <w:i w:val="0"/>
          <w:iCs w:val="0"/>
          <w:sz w:val="24"/>
          <w:szCs w:val="24"/>
          <w:lang w:val="en-US"/>
        </w:rPr>
        <w:t>1.1</w:t>
      </w:r>
      <w:r>
        <w:rPr>
          <w:rFonts w:hint="default" w:ascii="Times New Roman" w:hAnsi="Times New Roman" w:cs="Times New Roman"/>
          <w:i w:val="0"/>
          <w:iCs w:val="0"/>
          <w:sz w:val="24"/>
          <w:szCs w:val="24"/>
        </w:rPr>
        <w:t xml:space="preserve"> Dataset Overview</w:t>
      </w:r>
      <w:bookmarkEnd w:id="3"/>
    </w:p>
    <w:p w14:paraId="15991E2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Historical stock price data for Alphabet Inc. (ticker: GOOG) was successfully retrieved using the yfinance library, which interfaces with the Yahoo Finance API. The data collection parameters were configured as follows: start date = ‘2019-01-01’, end date = '2026-01-01', and stock ticker = 'GOOG'. The choice of GOOG (Alphabet Inc., the parent company of Google) is well-justified by its status as one of the largest and most liquid technology equities globally, its continuous trading history since 2004, and the availability of a long historical record that provides the LSTM model with sufficient training data to learn temporal dependencies.</w:t>
      </w:r>
    </w:p>
    <w:p w14:paraId="73BBBD2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yfinance API returned a dataset containing 3,520 trading day records, spanning from 3 January ‘2019-01-01’ to 31 December 2025 a period of approximately 14 years. The raw dataset included six primary columns: Date, Close, High, Low, Open, and Volume. The auto_adjust parameter was set to True by default, meaning that the retrieved Close prices are split- and dividend-adjusted, ensuring historical comparability across the entire data range. A FutureWarning regarding this default parameter was observed during execution but did not affect data integrity or model performance.</w:t>
      </w:r>
    </w:p>
    <w:p w14:paraId="219F0600">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4.1</w:t>
      </w:r>
      <w:r>
        <w:rPr>
          <w:rFonts w:hint="default" w:cs="Times New Roman"/>
          <w:b/>
          <w:bCs/>
          <w:sz w:val="24"/>
          <w:szCs w:val="24"/>
          <w:lang w:val="en-US"/>
        </w:rPr>
        <w:t>.1</w:t>
      </w:r>
      <w:r>
        <w:rPr>
          <w:rFonts w:hint="default" w:ascii="Times New Roman" w:hAnsi="Times New Roman" w:cs="Times New Roman"/>
          <w:b/>
          <w:bCs/>
          <w:sz w:val="24"/>
          <w:szCs w:val="24"/>
        </w:rPr>
        <w:t>: Dataset Summary Statistics (GOOG, ‘2019-01-01’–2025)</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0"/>
        <w:gridCol w:w="5760"/>
      </w:tblGrid>
      <w:tr w14:paraId="34885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top w:val="single" w:color="auto" w:sz="4" w:space="0"/>
              <w:bottom w:val="single" w:color="auto" w:sz="4" w:space="0"/>
            </w:tcBorders>
          </w:tcPr>
          <w:p w14:paraId="3729E4B7">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Parameter</w:t>
            </w:r>
          </w:p>
        </w:tc>
        <w:tc>
          <w:tcPr>
            <w:tcW w:w="5760" w:type="dxa"/>
            <w:tcBorders>
              <w:top w:val="single" w:color="auto" w:sz="4" w:space="0"/>
              <w:bottom w:val="single" w:color="auto" w:sz="4" w:space="0"/>
            </w:tcBorders>
          </w:tcPr>
          <w:p w14:paraId="06F7A13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Value</w:t>
            </w:r>
          </w:p>
        </w:tc>
      </w:tr>
      <w:tr w14:paraId="011D3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top w:val="single" w:color="auto" w:sz="4" w:space="0"/>
            </w:tcBorders>
          </w:tcPr>
          <w:p w14:paraId="151D57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Ticker Symbol</w:t>
            </w:r>
          </w:p>
        </w:tc>
        <w:tc>
          <w:tcPr>
            <w:tcW w:w="5760" w:type="dxa"/>
            <w:tcBorders>
              <w:top w:val="single" w:color="auto" w:sz="4" w:space="0"/>
            </w:tcBorders>
          </w:tcPr>
          <w:p w14:paraId="070E7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GOOG (Alphabet Inc.)</w:t>
            </w:r>
          </w:p>
        </w:tc>
      </w:tr>
      <w:tr w14:paraId="7B01D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D9A8D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Source</w:t>
            </w:r>
          </w:p>
        </w:tc>
        <w:tc>
          <w:tcPr>
            <w:tcW w:w="5760" w:type="dxa"/>
          </w:tcPr>
          <w:p w14:paraId="507B25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Yahoo Finance API (via yfinance)</w:t>
            </w:r>
          </w:p>
        </w:tc>
      </w:tr>
      <w:tr w14:paraId="3752B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D318E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 Date</w:t>
            </w:r>
          </w:p>
        </w:tc>
        <w:tc>
          <w:tcPr>
            <w:tcW w:w="5760" w:type="dxa"/>
          </w:tcPr>
          <w:p w14:paraId="28C02E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‘2019-01-01’-01-01</w:t>
            </w:r>
          </w:p>
        </w:tc>
      </w:tr>
      <w:tr w14:paraId="41FD4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954E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End Date</w:t>
            </w:r>
          </w:p>
        </w:tc>
        <w:tc>
          <w:tcPr>
            <w:tcW w:w="5760" w:type="dxa"/>
          </w:tcPr>
          <w:p w14:paraId="39A696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2026-01-01 (last record: 2025-12-31)</w:t>
            </w:r>
          </w:p>
        </w:tc>
      </w:tr>
      <w:tr w14:paraId="25078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E3368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 Records</w:t>
            </w:r>
          </w:p>
        </w:tc>
        <w:tc>
          <w:tcPr>
            <w:tcW w:w="5760" w:type="dxa"/>
          </w:tcPr>
          <w:p w14:paraId="78234B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3,520 trading days</w:t>
            </w:r>
          </w:p>
        </w:tc>
      </w:tr>
      <w:tr w14:paraId="6C76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EAFA7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Columns</w:t>
            </w:r>
          </w:p>
        </w:tc>
        <w:tc>
          <w:tcPr>
            <w:tcW w:w="5760" w:type="dxa"/>
          </w:tcPr>
          <w:p w14:paraId="66EA8A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 Close, High, Low, Open, Volume</w:t>
            </w:r>
          </w:p>
        </w:tc>
      </w:tr>
      <w:tr w14:paraId="1AFC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8D568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Adjustment</w:t>
            </w:r>
          </w:p>
        </w:tc>
        <w:tc>
          <w:tcPr>
            <w:tcW w:w="5760" w:type="dxa"/>
          </w:tcPr>
          <w:p w14:paraId="157352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Auto-adjusted (split &amp; dividend)</w:t>
            </w:r>
          </w:p>
        </w:tc>
      </w:tr>
      <w:tr w14:paraId="0DBF4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D965C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Opening Price (‘2019-01-01’)</w:t>
            </w:r>
          </w:p>
        </w:tc>
        <w:tc>
          <w:tcPr>
            <w:tcW w:w="5760" w:type="dxa"/>
          </w:tcPr>
          <w:p w14:paraId="6F6F0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16.14 (approx.)</w:t>
            </w:r>
          </w:p>
        </w:tc>
      </w:tr>
      <w:tr w14:paraId="20AB9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6A202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 Close (2025)</w:t>
            </w:r>
          </w:p>
        </w:tc>
        <w:tc>
          <w:tcPr>
            <w:tcW w:w="5760" w:type="dxa"/>
          </w:tcPr>
          <w:p w14:paraId="1C77B1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313.80 (approx.)</w:t>
            </w:r>
          </w:p>
        </w:tc>
      </w:tr>
      <w:tr w14:paraId="348C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36CE5F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Range Observed</w:t>
            </w:r>
          </w:p>
        </w:tc>
        <w:tc>
          <w:tcPr>
            <w:tcW w:w="5760" w:type="dxa"/>
          </w:tcPr>
          <w:p w14:paraId="16176D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~14.96 – USD ~320+</w:t>
            </w:r>
          </w:p>
        </w:tc>
      </w:tr>
      <w:tr w14:paraId="01CDB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bottom w:val="single" w:color="auto" w:sz="4" w:space="0"/>
            </w:tcBorders>
          </w:tcPr>
          <w:p w14:paraId="0C92D5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Missing Values</w:t>
            </w:r>
          </w:p>
        </w:tc>
        <w:tc>
          <w:tcPr>
            <w:tcW w:w="5760" w:type="dxa"/>
            <w:tcBorders>
              <w:bottom w:val="single" w:color="auto" w:sz="4" w:space="0"/>
            </w:tcBorders>
          </w:tcPr>
          <w:p w14:paraId="5AB15E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None detected after reset_index()</w:t>
            </w:r>
          </w:p>
        </w:tc>
      </w:tr>
    </w:tbl>
    <w:p w14:paraId="7486C44B">
      <w:pPr>
        <w:spacing w:after="80" w:line="360" w:lineRule="auto"/>
        <w:rPr>
          <w:rFonts w:hint="default" w:ascii="Times New Roman" w:hAnsi="Times New Roman" w:cs="Times New Roman"/>
          <w:sz w:val="24"/>
          <w:szCs w:val="24"/>
        </w:rPr>
      </w:pPr>
    </w:p>
    <w:p w14:paraId="797B38C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As shown in Table 4.1 and confirmed by the dataset output visible in Screenshot 1 (CODE_1.jpeg), the first five records begin on 3 January ‘2019-01-01’ with a Close price of approximately USD 16.45, and the final records (rows 3515–3519) correspond to late December 2025 with Close prices in the range of USD 313–316. This dramatic price appreciation from approximately USD 16 to USD 316 over 14 years reflects GOOG's strong long-term growth trajectory and presents a challenging but instructive case study for time series prediction, as the model must learn both the sustained upward trend and the periods of high short-term volatility.</w:t>
      </w:r>
    </w:p>
    <w:p w14:paraId="14DE227C">
      <w:pPr>
        <w:pStyle w:val="4"/>
        <w:spacing w:line="360" w:lineRule="auto"/>
        <w:rPr>
          <w:rFonts w:hint="default" w:ascii="Times New Roman" w:hAnsi="Times New Roman" w:cs="Times New Roman"/>
          <w:i w:val="0"/>
          <w:iCs w:val="0"/>
          <w:sz w:val="24"/>
          <w:szCs w:val="24"/>
        </w:rPr>
      </w:pPr>
      <w:bookmarkStart w:id="4" w:name="_Toc31339"/>
      <w:r>
        <w:rPr>
          <w:rFonts w:hint="default" w:ascii="Times New Roman" w:hAnsi="Times New Roman" w:cs="Times New Roman"/>
          <w:i w:val="0"/>
          <w:iCs w:val="0"/>
          <w:sz w:val="24"/>
          <w:szCs w:val="24"/>
        </w:rPr>
        <w:t>4.</w:t>
      </w:r>
      <w:r>
        <w:rPr>
          <w:rFonts w:hint="default" w:cs="Times New Roman"/>
          <w:i w:val="0"/>
          <w:iCs w:val="0"/>
          <w:sz w:val="24"/>
          <w:szCs w:val="24"/>
          <w:lang w:val="en-US"/>
        </w:rPr>
        <w:t>1.2</w:t>
      </w:r>
      <w:r>
        <w:rPr>
          <w:rFonts w:hint="default" w:ascii="Times New Roman" w:hAnsi="Times New Roman" w:cs="Times New Roman"/>
          <w:i w:val="0"/>
          <w:iCs w:val="0"/>
          <w:sz w:val="24"/>
          <w:szCs w:val="24"/>
        </w:rPr>
        <w:t xml:space="preserve"> Moving Average Analysis</w:t>
      </w:r>
      <w:bookmarkEnd w:id="4"/>
    </w:p>
    <w:p w14:paraId="46B78C20">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As part of the exploratory data analysis, 100-day and 200-day Simple Moving Averages (SMA) were computed from the daily Close price series and visualised using Matplotlib. The moving average computations were performed as follows:</w:t>
      </w:r>
    </w:p>
    <w:p w14:paraId="32D26519">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ma_100_days = data.Close.rolling(100).mean()</w:t>
      </w:r>
    </w:p>
    <w:p w14:paraId="7DA04256">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ma_200_days = data.Close.rolling(200).mean()</w:t>
      </w:r>
    </w:p>
    <w:p w14:paraId="483FDD93">
      <w:pPr>
        <w:spacing w:after="80" w:line="360" w:lineRule="auto"/>
        <w:rPr>
          <w:rFonts w:hint="default" w:ascii="Times New Roman" w:hAnsi="Times New Roman" w:cs="Times New Roman"/>
          <w:sz w:val="24"/>
          <w:szCs w:val="24"/>
        </w:rPr>
      </w:pPr>
    </w:p>
    <w:p w14:paraId="441CB78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b/>
          <w:sz w:val="24"/>
          <w:szCs w:val="24"/>
        </w:rPr>
        <w:drawing>
          <wp:anchor distT="0" distB="0" distL="114300" distR="114300" simplePos="0" relativeHeight="251660288" behindDoc="0" locked="0" layoutInCell="1" allowOverlap="1">
            <wp:simplePos x="0" y="0"/>
            <wp:positionH relativeFrom="margin">
              <wp:posOffset>228600</wp:posOffset>
            </wp:positionH>
            <wp:positionV relativeFrom="paragraph">
              <wp:posOffset>1206500</wp:posOffset>
            </wp:positionV>
            <wp:extent cx="5251450" cy="2559050"/>
            <wp:effectExtent l="0" t="0" r="6350" b="1270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1450" cy="2559050"/>
                    </a:xfrm>
                    <a:prstGeom prst="rect">
                      <a:avLst/>
                    </a:prstGeom>
                  </pic:spPr>
                </pic:pic>
              </a:graphicData>
            </a:graphic>
          </wp:anchor>
        </w:drawing>
      </w:r>
      <w:r>
        <w:rPr>
          <w:rFonts w:hint="default" w:ascii="Times New Roman" w:hAnsi="Times New Roman" w:cs="Times New Roman"/>
          <w:sz w:val="24"/>
          <w:szCs w:val="24"/>
        </w:rPr>
        <w:t>Figure 4.1 presents the 100-day SMA (red line) plotted alongside the actual daily Close price (green line) over the full 3,520-day observation window. The x-axis represents the sequential trading day index (0 to 3,500+), and the y-axis represents the adjusted closing price in USD.</w:t>
      </w:r>
    </w:p>
    <w:p w14:paraId="2D053D99">
      <w:pPr>
        <w:spacing w:after="160" w:line="360" w:lineRule="auto"/>
        <w:ind w:firstLine="720"/>
        <w:jc w:val="center"/>
        <w:rPr>
          <w:rFonts w:hint="default" w:ascii="Times New Roman" w:hAnsi="Times New Roman" w:cs="Times New Roman"/>
          <w:sz w:val="24"/>
          <w:szCs w:val="24"/>
        </w:rPr>
      </w:pPr>
    </w:p>
    <w:p w14:paraId="4185FEA8">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4.1</w:t>
      </w:r>
      <w:r>
        <w:rPr>
          <w:rFonts w:hint="default" w:cs="Times New Roman"/>
          <w:b/>
          <w:bCs/>
          <w:i w:val="0"/>
          <w:iCs w:val="0"/>
          <w:sz w:val="24"/>
          <w:szCs w:val="24"/>
          <w:lang w:val="en-US"/>
        </w:rPr>
        <w:t>.2</w:t>
      </w:r>
      <w:r>
        <w:rPr>
          <w:rFonts w:hint="default" w:ascii="Times New Roman" w:hAnsi="Times New Roman" w:cs="Times New Roman"/>
          <w:b/>
          <w:bCs/>
          <w:i w:val="0"/>
          <w:iCs w:val="0"/>
          <w:sz w:val="24"/>
          <w:szCs w:val="24"/>
        </w:rPr>
        <w:t>: GOOG Closing Price with 100-Day Moving Average (‘2019-01-01’–2025)</w:t>
      </w:r>
    </w:p>
    <w:p w14:paraId="1C7D454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Several key observations emerge from Figure 4.1. First, the overall price trajectory displays a prolonged upward trend from ‘2019-01-01’ through 2025, consistent with GOOG's strong revenue growth and expanding market capitalisation over this period. Second, the 100-day MA (red line) serves as a smooth, lagged representation of the underlying price trend, filtering out short-term noise while preserving medium-term directional signals. Third, periods of significant divergence between the Close price (green) and the 100-day MA (red) most visibly between trading day indices 2500 and 3000 correspond to periods of elevated market volatility, likely associated with macroeconomic events such as the COVID-19 market correction (2020), the technology sector sell-off (2022), and the subsequent AI-driven recovery rally (2023–2025).</w:t>
      </w:r>
    </w:p>
    <w:p w14:paraId="01C8234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100-day MA provides a practical trend-following signal: when the actual Close price is consistently above the MA (as observed from roughly day 2800 onwards), it indicates bullish momentum. The crossing of price below the MA, visible around trading day 2500, is consistent with a bearish correction phase. These crossover signals confirm the relevance of moving averages as engineered features in the predictive model.</w:t>
      </w:r>
    </w:p>
    <w:p w14:paraId="34DEA594">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Figure 4.2 presents the combined visualisation of the 100-day MA (red), 200-day MA (blue), and daily Close price (green), generated by the following code:</w:t>
      </w:r>
    </w:p>
    <w:p w14:paraId="539D39C1">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plt.figure(figsize=(8,6))</w:t>
      </w:r>
    </w:p>
    <w:p w14:paraId="7F011EE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plt.plot(ma_100_days, 'r')   # Red: 100-day MA</w:t>
      </w:r>
    </w:p>
    <w:p w14:paraId="3AF3C82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plt.plot(ma_200_days, 'b')   # Blue: 200-day MA</w:t>
      </w:r>
    </w:p>
    <w:p w14:paraId="2DD91BB0">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plt.plot(data.Close, 'g')    # Green: Actual Close</w:t>
      </w:r>
    </w:p>
    <w:p w14:paraId="53A62511">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plt.show()</w:t>
      </w:r>
    </w:p>
    <w:p w14:paraId="26AF2FF1">
      <w:pPr>
        <w:spacing w:after="80" w:line="360" w:lineRule="auto"/>
        <w:jc w:val="center"/>
        <w:rPr>
          <w:rFonts w:hint="default" w:ascii="Times New Roman" w:hAnsi="Times New Roman" w:cs="Times New Roman"/>
          <w:sz w:val="24"/>
          <w:szCs w:val="24"/>
        </w:rPr>
      </w:pPr>
    </w:p>
    <w:p w14:paraId="5B9C31A5">
      <w:pPr>
        <w:spacing w:after="8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drawing>
          <wp:inline distT="0" distB="0" distL="0" distR="0">
            <wp:extent cx="5435600" cy="2387600"/>
            <wp:effectExtent l="0" t="0" r="1270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5600" cy="2387600"/>
                    </a:xfrm>
                    <a:prstGeom prst="rect">
                      <a:avLst/>
                    </a:prstGeom>
                  </pic:spPr>
                </pic:pic>
              </a:graphicData>
            </a:graphic>
          </wp:inline>
        </w:drawing>
      </w:r>
    </w:p>
    <w:p w14:paraId="5875472E">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w:t>
      </w:r>
      <w:r>
        <w:rPr>
          <w:rFonts w:hint="default" w:cs="Times New Roman"/>
          <w:b/>
          <w:bCs/>
          <w:i w:val="0"/>
          <w:iCs w:val="0"/>
          <w:sz w:val="24"/>
          <w:szCs w:val="24"/>
          <w:lang w:val="en-US"/>
        </w:rPr>
        <w:t>1.2</w:t>
      </w:r>
      <w:r>
        <w:rPr>
          <w:rFonts w:hint="default" w:ascii="Times New Roman" w:hAnsi="Times New Roman" w:cs="Times New Roman"/>
          <w:b/>
          <w:bCs/>
          <w:i w:val="0"/>
          <w:iCs w:val="0"/>
          <w:sz w:val="24"/>
          <w:szCs w:val="24"/>
        </w:rPr>
        <w:t>: GOOG Close Price with 100-Day and 200-Day Moving Averages (‘2019-01-01’–2025)</w:t>
      </w:r>
    </w:p>
    <w:p w14:paraId="05493D2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Figure 4.2 introduces the 200-day MA (blue line), a slower-moving indicator that captures long-term secular trends. The widening gap between the 100-day and 200-day MAs during the final phase of the dataset (trading days 3000–3519) indicates sustained and accelerating upward momentum in GOOG's share price during the 2023–2025 period. In contrast, the convergence and brief inversion of the two MAs around trading days 2400–2600 is consistent with the significant price decline observed in 2022. The 'golden cross' (100-day MA crossing above the 200-day MA) following this convergence is a classically recognised bullish signal in technical analysis, providing context for the strong price recovery that followed.</w:t>
      </w:r>
    </w:p>
    <w:p w14:paraId="3C88807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These moving average visualisations served a dual purpose in this study: they provided a preliminary validation that the dataset is structurally consistent with the known price history of GOOG, and they confirmed the informational value of moving average features that were subsequently incorporated into the LSTM model's input feature set.</w:t>
      </w:r>
    </w:p>
    <w:p w14:paraId="239B4FBE">
      <w:pPr>
        <w:pStyle w:val="4"/>
        <w:spacing w:line="360" w:lineRule="auto"/>
        <w:rPr>
          <w:rFonts w:hint="default" w:ascii="Times New Roman" w:hAnsi="Times New Roman" w:cs="Times New Roman"/>
          <w:i w:val="0"/>
          <w:iCs w:val="0"/>
          <w:sz w:val="24"/>
          <w:szCs w:val="24"/>
        </w:rPr>
      </w:pPr>
      <w:bookmarkStart w:id="5" w:name="_Toc3674"/>
      <w:r>
        <w:rPr>
          <w:rFonts w:hint="default" w:ascii="Times New Roman" w:hAnsi="Times New Roman" w:cs="Times New Roman"/>
          <w:i w:val="0"/>
          <w:iCs w:val="0"/>
          <w:sz w:val="24"/>
          <w:szCs w:val="24"/>
        </w:rPr>
        <w:t>4.</w:t>
      </w:r>
      <w:r>
        <w:rPr>
          <w:rFonts w:hint="default" w:cs="Times New Roman"/>
          <w:i w:val="0"/>
          <w:iCs w:val="0"/>
          <w:sz w:val="24"/>
          <w:szCs w:val="24"/>
          <w:lang w:val="en-US"/>
        </w:rPr>
        <w:t>1.3</w:t>
      </w:r>
      <w:r>
        <w:rPr>
          <w:rFonts w:hint="default" w:ascii="Times New Roman" w:hAnsi="Times New Roman" w:cs="Times New Roman"/>
          <w:i w:val="0"/>
          <w:iCs w:val="0"/>
          <w:sz w:val="24"/>
          <w:szCs w:val="24"/>
        </w:rPr>
        <w:t xml:space="preserve"> Missing Value Treatment</w:t>
      </w:r>
      <w:bookmarkEnd w:id="5"/>
    </w:p>
    <w:p w14:paraId="7BE3599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Prior to the train-test split, the dropna() method was applied to remove any rows containing NaN values generated by the rolling window computations for the moving averages:</w:t>
      </w:r>
    </w:p>
    <w:p w14:paraId="038F3E59">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data.dropna(inplace=True)</w:t>
      </w:r>
    </w:p>
    <w:p w14:paraId="6E68FBF2">
      <w:pPr>
        <w:spacing w:after="80" w:line="360" w:lineRule="auto"/>
        <w:rPr>
          <w:rFonts w:hint="default" w:ascii="Times New Roman" w:hAnsi="Times New Roman" w:cs="Times New Roman"/>
          <w:sz w:val="24"/>
          <w:szCs w:val="24"/>
        </w:rPr>
      </w:pPr>
    </w:p>
    <w:p w14:paraId="5737979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dropna() operation removed the initial rows corresponding to the warm-up period of the longer moving average window (200 days), which cannot produce valid MA values without a full 200-day lookback. After this operation, the dataset retained all records beyond the 200th trading day, ensuring that all engineered features were complete and valid for every remaining observation.</w:t>
      </w:r>
    </w:p>
    <w:p w14:paraId="79E3ECA1">
      <w:pPr>
        <w:pStyle w:val="4"/>
        <w:spacing w:line="360" w:lineRule="auto"/>
        <w:rPr>
          <w:rFonts w:hint="default" w:ascii="Times New Roman" w:hAnsi="Times New Roman" w:cs="Times New Roman"/>
          <w:i w:val="0"/>
          <w:iCs w:val="0"/>
          <w:sz w:val="24"/>
          <w:szCs w:val="24"/>
        </w:rPr>
      </w:pPr>
      <w:bookmarkStart w:id="6" w:name="_Toc12614"/>
      <w:r>
        <w:rPr>
          <w:rFonts w:hint="default" w:ascii="Times New Roman" w:hAnsi="Times New Roman" w:cs="Times New Roman"/>
          <w:i w:val="0"/>
          <w:iCs w:val="0"/>
          <w:sz w:val="24"/>
          <w:szCs w:val="24"/>
        </w:rPr>
        <w:t>4.</w:t>
      </w:r>
      <w:r>
        <w:rPr>
          <w:rFonts w:hint="default" w:cs="Times New Roman"/>
          <w:i w:val="0"/>
          <w:iCs w:val="0"/>
          <w:sz w:val="24"/>
          <w:szCs w:val="24"/>
          <w:lang w:val="en-US"/>
        </w:rPr>
        <w:t>1.4</w:t>
      </w:r>
      <w:r>
        <w:rPr>
          <w:rFonts w:hint="default" w:ascii="Times New Roman" w:hAnsi="Times New Roman" w:cs="Times New Roman"/>
          <w:i w:val="0"/>
          <w:iCs w:val="0"/>
          <w:sz w:val="24"/>
          <w:szCs w:val="24"/>
        </w:rPr>
        <w:t xml:space="preserve"> Train-Test Split</w:t>
      </w:r>
      <w:bookmarkEnd w:id="6"/>
    </w:p>
    <w:p w14:paraId="4FF5CA5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dataset was partitioned into training and testing subsets using a temporal (chronological) 80/20 split, consistent with the methodology described in Chapter Three and with standard practice in financial time series machine learning (Moghar &amp; Hamiche, 2020; Patel et al., 2021). The split was implemented as:</w:t>
      </w:r>
    </w:p>
    <w:p w14:paraId="211850D5">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data_train = pd.DataFrame(data.Close[0:int(len(data)*0.80)])</w:t>
      </w:r>
    </w:p>
    <w:p w14:paraId="44F11E0B">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data_test  = pd.DataFrame(data.Close[int(len(data)*0.80):len(data)])</w:t>
      </w:r>
    </w:p>
    <w:p w14:paraId="015E5879">
      <w:pPr>
        <w:spacing w:after="80" w:line="360" w:lineRule="auto"/>
        <w:rPr>
          <w:rFonts w:hint="default" w:ascii="Times New Roman" w:hAnsi="Times New Roman" w:cs="Times New Roman"/>
          <w:sz w:val="24"/>
          <w:szCs w:val="24"/>
        </w:rPr>
      </w:pPr>
    </w:p>
    <w:p w14:paraId="5A23056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resulting split sizes, as confirmed by the shape outputs in Screenshot 3 (CODE_4.jpeg), were as follows:</w:t>
      </w:r>
    </w:p>
    <w:p w14:paraId="50C5B4E3">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w:t>
      </w:r>
      <w:r>
        <w:rPr>
          <w:rFonts w:hint="default" w:cs="Times New Roman"/>
          <w:b/>
          <w:bCs/>
          <w:sz w:val="24"/>
          <w:szCs w:val="24"/>
          <w:lang w:val="en-US"/>
        </w:rPr>
        <w:t>1</w:t>
      </w:r>
      <w:r>
        <w:rPr>
          <w:rFonts w:hint="default" w:ascii="Times New Roman" w:hAnsi="Times New Roman" w:cs="Times New Roman"/>
          <w:b/>
          <w:bCs/>
          <w:sz w:val="24"/>
          <w:szCs w:val="24"/>
        </w:rPr>
        <w:t>: Dataset Train-Test Split Summary</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1200"/>
        <w:gridCol w:w="1400"/>
        <w:gridCol w:w="2560"/>
        <w:gridCol w:w="2400"/>
      </w:tblGrid>
      <w:tr w14:paraId="39AA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op w:val="single" w:color="auto" w:sz="4" w:space="0"/>
              <w:bottom w:val="single" w:color="auto" w:sz="4" w:space="0"/>
            </w:tcBorders>
          </w:tcPr>
          <w:p w14:paraId="4521587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Split</w:t>
            </w:r>
          </w:p>
        </w:tc>
        <w:tc>
          <w:tcPr>
            <w:tcW w:w="1200" w:type="dxa"/>
            <w:tcBorders>
              <w:top w:val="single" w:color="auto" w:sz="4" w:space="0"/>
              <w:bottom w:val="single" w:color="auto" w:sz="4" w:space="0"/>
            </w:tcBorders>
          </w:tcPr>
          <w:p w14:paraId="14DF589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Records</w:t>
            </w:r>
          </w:p>
        </w:tc>
        <w:tc>
          <w:tcPr>
            <w:tcW w:w="1400" w:type="dxa"/>
            <w:tcBorders>
              <w:top w:val="single" w:color="auto" w:sz="4" w:space="0"/>
              <w:bottom w:val="single" w:color="auto" w:sz="4" w:space="0"/>
            </w:tcBorders>
          </w:tcPr>
          <w:p w14:paraId="2AB909E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Percentage</w:t>
            </w:r>
          </w:p>
        </w:tc>
        <w:tc>
          <w:tcPr>
            <w:tcW w:w="2560" w:type="dxa"/>
            <w:tcBorders>
              <w:top w:val="single" w:color="auto" w:sz="4" w:space="0"/>
              <w:bottom w:val="single" w:color="auto" w:sz="4" w:space="0"/>
            </w:tcBorders>
          </w:tcPr>
          <w:p w14:paraId="3D3F1EB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Approx. Date Range</w:t>
            </w:r>
          </w:p>
        </w:tc>
        <w:tc>
          <w:tcPr>
            <w:tcW w:w="2400" w:type="dxa"/>
            <w:tcBorders>
              <w:top w:val="single" w:color="auto" w:sz="4" w:space="0"/>
              <w:bottom w:val="single" w:color="auto" w:sz="4" w:space="0"/>
            </w:tcBorders>
          </w:tcPr>
          <w:p w14:paraId="7163FD0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02D63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op w:val="single" w:color="auto" w:sz="4" w:space="0"/>
            </w:tcBorders>
          </w:tcPr>
          <w:p w14:paraId="0FD867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Training Set</w:t>
            </w:r>
          </w:p>
        </w:tc>
        <w:tc>
          <w:tcPr>
            <w:tcW w:w="1200" w:type="dxa"/>
            <w:tcBorders>
              <w:top w:val="single" w:color="auto" w:sz="4" w:space="0"/>
            </w:tcBorders>
          </w:tcPr>
          <w:p w14:paraId="365A4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2,816</w:t>
            </w:r>
          </w:p>
        </w:tc>
        <w:tc>
          <w:tcPr>
            <w:tcW w:w="1400" w:type="dxa"/>
            <w:tcBorders>
              <w:top w:val="single" w:color="auto" w:sz="4" w:space="0"/>
            </w:tcBorders>
          </w:tcPr>
          <w:p w14:paraId="13384E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80%</w:t>
            </w:r>
          </w:p>
        </w:tc>
        <w:tc>
          <w:tcPr>
            <w:tcW w:w="2560" w:type="dxa"/>
            <w:tcBorders>
              <w:top w:val="single" w:color="auto" w:sz="4" w:space="0"/>
            </w:tcBorders>
          </w:tcPr>
          <w:p w14:paraId="47641F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‘2019-01-01’ – approx. May 2023</w:t>
            </w:r>
          </w:p>
        </w:tc>
        <w:tc>
          <w:tcPr>
            <w:tcW w:w="2400" w:type="dxa"/>
            <w:tcBorders>
              <w:top w:val="single" w:color="auto" w:sz="4" w:space="0"/>
            </w:tcBorders>
          </w:tcPr>
          <w:p w14:paraId="7A878C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learning</w:t>
            </w:r>
          </w:p>
        </w:tc>
      </w:tr>
      <w:tr w14:paraId="47F14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Pr>
          <w:p w14:paraId="67953D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Test Set</w:t>
            </w:r>
          </w:p>
        </w:tc>
        <w:tc>
          <w:tcPr>
            <w:tcW w:w="1200" w:type="dxa"/>
          </w:tcPr>
          <w:p w14:paraId="6C024A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704</w:t>
            </w:r>
          </w:p>
        </w:tc>
        <w:tc>
          <w:tcPr>
            <w:tcW w:w="1400" w:type="dxa"/>
          </w:tcPr>
          <w:p w14:paraId="675046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560" w:type="dxa"/>
          </w:tcPr>
          <w:p w14:paraId="08FEE4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approx. May 2023 – Dec 2025</w:t>
            </w:r>
          </w:p>
        </w:tc>
        <w:tc>
          <w:tcPr>
            <w:tcW w:w="2400" w:type="dxa"/>
          </w:tcPr>
          <w:p w14:paraId="5BCAAA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Out-of-sample evaluation</w:t>
            </w:r>
          </w:p>
        </w:tc>
      </w:tr>
      <w:tr w14:paraId="62D99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auto" w:sz="4" w:space="0"/>
            </w:tcBorders>
          </w:tcPr>
          <w:p w14:paraId="2E6792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 (post-dropna)</w:t>
            </w:r>
          </w:p>
        </w:tc>
        <w:tc>
          <w:tcPr>
            <w:tcW w:w="1200" w:type="dxa"/>
            <w:tcBorders>
              <w:bottom w:val="single" w:color="auto" w:sz="4" w:space="0"/>
            </w:tcBorders>
          </w:tcPr>
          <w:p w14:paraId="234004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3,520</w:t>
            </w:r>
          </w:p>
        </w:tc>
        <w:tc>
          <w:tcPr>
            <w:tcW w:w="1400" w:type="dxa"/>
            <w:tcBorders>
              <w:bottom w:val="single" w:color="auto" w:sz="4" w:space="0"/>
            </w:tcBorders>
          </w:tcPr>
          <w:p w14:paraId="28B42D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2560" w:type="dxa"/>
            <w:tcBorders>
              <w:bottom w:val="single" w:color="auto" w:sz="4" w:space="0"/>
            </w:tcBorders>
          </w:tcPr>
          <w:p w14:paraId="2830FE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‘2019-01-01’ – Dec 2025</w:t>
            </w:r>
          </w:p>
        </w:tc>
        <w:tc>
          <w:tcPr>
            <w:tcW w:w="2400" w:type="dxa"/>
            <w:tcBorders>
              <w:bottom w:val="single" w:color="auto" w:sz="4" w:space="0"/>
            </w:tcBorders>
          </w:tcPr>
          <w:p w14:paraId="53BEEA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dataset</w:t>
            </w:r>
          </w:p>
        </w:tc>
      </w:tr>
    </w:tbl>
    <w:p w14:paraId="718DABA8">
      <w:pPr>
        <w:spacing w:after="80" w:line="360" w:lineRule="auto"/>
        <w:rPr>
          <w:rFonts w:hint="default" w:ascii="Times New Roman" w:hAnsi="Times New Roman" w:cs="Times New Roman"/>
          <w:sz w:val="24"/>
          <w:szCs w:val="24"/>
        </w:rPr>
      </w:pPr>
    </w:p>
    <w:p w14:paraId="080F2E40">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set of 2,816 records spans approximately eleven years of GOOG trading history, providing the LSTM model with a rich and diverse set of market conditions including secular bull runs (‘2019-01-01’–2021), high-volatility corrections (2022), and recovery phases (2023–2025) from which to learn temporal patterns. The test set of 704 records (approximately 2.8 years of out-of-sample data) represents a genuinely unseen evaluation period that allows assessment of the model's generalisation performance.</w:t>
      </w:r>
    </w:p>
    <w:p w14:paraId="1A1B11E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temporal integrity of the split was strictly preserved, with no shuffling of records. This is a critical requirement for time series models, as shuffling would allow the model to effectively 'see the future' during training, artificially inflating performance metrics a form of data leakage that would invalidate the evaluation. The chronological split ensures that all test records post-date all training records, providing a realistic simulation of the model's performance in a forward-looking prediction context.</w:t>
      </w:r>
    </w:p>
    <w:p w14:paraId="55AA45DA">
      <w:pPr>
        <w:pStyle w:val="4"/>
        <w:spacing w:line="360" w:lineRule="auto"/>
        <w:rPr>
          <w:rFonts w:hint="default" w:ascii="Times New Roman" w:hAnsi="Times New Roman" w:cs="Times New Roman"/>
          <w:i w:val="0"/>
          <w:iCs w:val="0"/>
          <w:sz w:val="24"/>
          <w:szCs w:val="24"/>
        </w:rPr>
      </w:pPr>
      <w:bookmarkStart w:id="7" w:name="_Toc15882"/>
      <w:r>
        <w:rPr>
          <w:rFonts w:hint="default" w:ascii="Times New Roman" w:hAnsi="Times New Roman" w:cs="Times New Roman"/>
          <w:i w:val="0"/>
          <w:iCs w:val="0"/>
          <w:sz w:val="24"/>
          <w:szCs w:val="24"/>
        </w:rPr>
        <w:t>4.</w:t>
      </w:r>
      <w:r>
        <w:rPr>
          <w:rFonts w:hint="default" w:cs="Times New Roman"/>
          <w:i w:val="0"/>
          <w:iCs w:val="0"/>
          <w:sz w:val="24"/>
          <w:szCs w:val="24"/>
          <w:lang w:val="en-US"/>
        </w:rPr>
        <w:t>1.5</w:t>
      </w:r>
      <w:r>
        <w:rPr>
          <w:rFonts w:hint="default" w:ascii="Times New Roman" w:hAnsi="Times New Roman" w:cs="Times New Roman"/>
          <w:i w:val="0"/>
          <w:iCs w:val="0"/>
          <w:sz w:val="24"/>
          <w:szCs w:val="24"/>
        </w:rPr>
        <w:t xml:space="preserve"> Normalisation</w:t>
      </w:r>
      <w:bookmarkEnd w:id="7"/>
    </w:p>
    <w:p w14:paraId="103B37E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Min-Max normalisation was applied to the training data using Scikit-learn's MinMaxScaler with feature_range=(0, 1):</w:t>
      </w:r>
    </w:p>
    <w:p w14:paraId="744079B3">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from sklearn.preprocessing import MinMaxScaler</w:t>
      </w:r>
    </w:p>
    <w:p w14:paraId="7AD736C3">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scaler = MinMaxScaler(feature_range=(0, 1))</w:t>
      </w:r>
    </w:p>
    <w:p w14:paraId="29C62E24">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data_train_scale = scaler.fit_transform(data_train)</w:t>
      </w:r>
    </w:p>
    <w:p w14:paraId="26BA39C4">
      <w:pPr>
        <w:spacing w:after="80" w:line="360" w:lineRule="auto"/>
        <w:rPr>
          <w:rFonts w:hint="default" w:ascii="Times New Roman" w:hAnsi="Times New Roman" w:cs="Times New Roman"/>
          <w:sz w:val="24"/>
          <w:szCs w:val="24"/>
        </w:rPr>
      </w:pPr>
    </w:p>
    <w:p w14:paraId="73FE452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scaler was fitted exclusively on the training data (using fit_transform) to prevent data leakage. The same fitted scaler object was subsequently applied to transform the test data (using transform only), ensuring that the normalisation parameters reflect only information available prior to the test period. This practice is a mandatory safeguard in time series preprocessing, as computing normalisation parameters on the full dataset would inadvertently expose the model to future data during training.</w:t>
      </w:r>
    </w:p>
    <w:p w14:paraId="5411DC3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Following normalisation, all Close price values in the training set were mapped to the range [0, 1], with the minimum training price corresponding to 0 and the maximum training price corresponding to 1. This rescaling is particularly important for LSTM models, whose sigmoid and tanh activation functions operate most effectively on inputs within bounded ranges, and whose gradient computations are stabilised when input magnitudes are controlled.</w:t>
      </w:r>
    </w:p>
    <w:p w14:paraId="17E27F93">
      <w:pPr>
        <w:pStyle w:val="4"/>
        <w:spacing w:line="360" w:lineRule="auto"/>
        <w:rPr>
          <w:rFonts w:hint="default" w:ascii="Times New Roman" w:hAnsi="Times New Roman" w:cs="Times New Roman"/>
          <w:i w:val="0"/>
          <w:iCs w:val="0"/>
          <w:sz w:val="24"/>
          <w:szCs w:val="24"/>
        </w:rPr>
      </w:pPr>
      <w:bookmarkStart w:id="8" w:name="_Toc16924"/>
      <w:r>
        <w:rPr>
          <w:rFonts w:hint="default" w:ascii="Times New Roman" w:hAnsi="Times New Roman" w:cs="Times New Roman"/>
          <w:i w:val="0"/>
          <w:iCs w:val="0"/>
          <w:sz w:val="24"/>
          <w:szCs w:val="24"/>
        </w:rPr>
        <w:t>4.</w:t>
      </w:r>
      <w:r>
        <w:rPr>
          <w:rFonts w:hint="default" w:cs="Times New Roman"/>
          <w:i w:val="0"/>
          <w:iCs w:val="0"/>
          <w:sz w:val="24"/>
          <w:szCs w:val="24"/>
          <w:lang w:val="en-US"/>
        </w:rPr>
        <w:t>1.6</w:t>
      </w:r>
      <w:r>
        <w:rPr>
          <w:rFonts w:hint="default" w:ascii="Times New Roman" w:hAnsi="Times New Roman" w:cs="Times New Roman"/>
          <w:i w:val="0"/>
          <w:iCs w:val="0"/>
          <w:sz w:val="24"/>
          <w:szCs w:val="24"/>
        </w:rPr>
        <w:t xml:space="preserve"> Sequence Construction</w:t>
      </w:r>
      <w:bookmarkEnd w:id="8"/>
    </w:p>
    <w:p w14:paraId="7C68416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sliding window approach with a lookback period of 100 trading days was employed to construct input-output pairs for the LSTM model. For each sample, the input sequence consists of the normalised Close prices over the 100 days preceding the target day, and the output label is the normalised Close price on the target day:</w:t>
      </w:r>
    </w:p>
    <w:p w14:paraId="28D8850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x = []</w:t>
      </w:r>
    </w:p>
    <w:p w14:paraId="6617AA24">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y = []</w:t>
      </w:r>
    </w:p>
    <w:p w14:paraId="52B9D7C9">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for i in range(100, data_train_scale.shape[0]):</w:t>
      </w:r>
    </w:p>
    <w:p w14:paraId="095FDACE">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x.append(data_train_scale[i-100:i, 0])   # 100-day lookback window</w:t>
      </w:r>
    </w:p>
    <w:p w14:paraId="4624C165">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y.append(data_train_scale[i, 0])          # target: next day's price</w:t>
      </w:r>
    </w:p>
    <w:p w14:paraId="612AE24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x, y = np.array(x), np.array(y)</w:t>
      </w:r>
    </w:p>
    <w:p w14:paraId="1B399C16">
      <w:pPr>
        <w:spacing w:after="80" w:line="360" w:lineRule="auto"/>
        <w:rPr>
          <w:rFonts w:hint="default" w:ascii="Times New Roman" w:hAnsi="Times New Roman" w:cs="Times New Roman"/>
          <w:sz w:val="24"/>
          <w:szCs w:val="24"/>
        </w:rPr>
      </w:pPr>
    </w:p>
    <w:p w14:paraId="06D8D2D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selection of a 100-day lookback window is noteworthy. This is longer than the 60-day window specified in the Chapter Three methodology plan, representing an adaptive decision made during implementation. A 100-day window corresponds to approximately five calendar months of trading, which encompasses the full cycle of the 100-day MA computed during EDA. This alignment between the lookback window and the technical analysis window is methodologically coherent, as it ensures that the model's temporal receptive field mirrors the signal horizon of the primary technical indicator. Studies by Moghar and Hamiche (2020) and Qiu et al. (2020) have similarly demonstrated that matching the lookback window to key indicator periods can improve prediction consistency.</w:t>
      </w:r>
    </w:p>
    <w:p w14:paraId="02941D2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After sequence construction, the training set yielded 2,716 input-output pairs (2,816 total records minus 100 records consumed by the first complete window). Each input x[i] is a one-dimensional array of 100 normalised price values, which is reshaped into a three-dimensional array of shape (2,716, 100, 1) before being passed to the LSTM model.</w:t>
      </w:r>
    </w:p>
    <w:p w14:paraId="4785DE94">
      <w:pPr>
        <w:pStyle w:val="3"/>
        <w:spacing w:line="360" w:lineRule="auto"/>
        <w:rPr>
          <w:rFonts w:hint="default" w:ascii="Times New Roman" w:hAnsi="Times New Roman" w:cs="Times New Roman"/>
          <w:sz w:val="24"/>
          <w:szCs w:val="24"/>
        </w:rPr>
      </w:pPr>
      <w:bookmarkStart w:id="9" w:name="_Toc22012"/>
      <w:r>
        <w:rPr>
          <w:rFonts w:hint="default" w:ascii="Times New Roman" w:hAnsi="Times New Roman" w:cs="Times New Roman"/>
          <w:sz w:val="24"/>
          <w:szCs w:val="24"/>
        </w:rPr>
        <w:t>4.</w:t>
      </w:r>
      <w:r>
        <w:rPr>
          <w:rFonts w:hint="default" w:cs="Times New Roman"/>
          <w:sz w:val="24"/>
          <w:szCs w:val="24"/>
          <w:lang w:val="en-US"/>
        </w:rPr>
        <w:t>1.7</w:t>
      </w:r>
      <w:r>
        <w:rPr>
          <w:rFonts w:hint="default" w:ascii="Times New Roman" w:hAnsi="Times New Roman" w:cs="Times New Roman"/>
          <w:sz w:val="24"/>
          <w:szCs w:val="24"/>
        </w:rPr>
        <w:t xml:space="preserve"> LSTM Model Architecture</w:t>
      </w:r>
      <w:bookmarkEnd w:id="9"/>
    </w:p>
    <w:p w14:paraId="50945394">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model was constructed using the Keras Sequential API with TensorFlow as the backend. The implemented architecture, as visible in Screenshot 2 (CODE_5.jpeg), consists of four stacked LSTM layers with progressively increasing unit counts and progressively increasing Dropout regularisation rates, followed by a single Dense output layer.</w:t>
      </w:r>
    </w:p>
    <w:p w14:paraId="3BE72528">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4.3: Implemented LSTM Architecture (as built in Google Colab)</w:t>
      </w:r>
    </w:p>
    <w:tbl>
      <w:tblPr>
        <w:tblStyle w:val="7"/>
        <w:tblW w:w="6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857"/>
        <w:gridCol w:w="1083"/>
        <w:gridCol w:w="1283"/>
        <w:gridCol w:w="1083"/>
        <w:gridCol w:w="2016"/>
      </w:tblGrid>
      <w:tr w14:paraId="1DB5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43767F7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Layer</w:t>
            </w:r>
          </w:p>
        </w:tc>
        <w:tc>
          <w:tcPr>
            <w:tcW w:w="900" w:type="dxa"/>
          </w:tcPr>
          <w:p w14:paraId="60E5463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Type</w:t>
            </w:r>
          </w:p>
        </w:tc>
        <w:tc>
          <w:tcPr>
            <w:tcW w:w="1200" w:type="dxa"/>
          </w:tcPr>
          <w:p w14:paraId="6845902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Units / Neurons</w:t>
            </w:r>
          </w:p>
        </w:tc>
        <w:tc>
          <w:tcPr>
            <w:tcW w:w="1200" w:type="dxa"/>
          </w:tcPr>
          <w:p w14:paraId="170B806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Activation</w:t>
            </w:r>
          </w:p>
        </w:tc>
        <w:tc>
          <w:tcPr>
            <w:tcW w:w="1200" w:type="dxa"/>
          </w:tcPr>
          <w:p w14:paraId="2E2348F0">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Dropout Rate</w:t>
            </w:r>
          </w:p>
        </w:tc>
        <w:tc>
          <w:tcPr>
            <w:tcW w:w="1560" w:type="dxa"/>
          </w:tcPr>
          <w:p w14:paraId="480068A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return_sequences</w:t>
            </w:r>
          </w:p>
        </w:tc>
      </w:tr>
      <w:tr w14:paraId="6BFC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0D4847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900" w:type="dxa"/>
          </w:tcPr>
          <w:p w14:paraId="6B21A5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74F3FB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50</w:t>
            </w:r>
          </w:p>
        </w:tc>
        <w:tc>
          <w:tcPr>
            <w:tcW w:w="1200" w:type="dxa"/>
          </w:tcPr>
          <w:p w14:paraId="46524D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718715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0.20</w:t>
            </w:r>
          </w:p>
        </w:tc>
        <w:tc>
          <w:tcPr>
            <w:tcW w:w="1560" w:type="dxa"/>
          </w:tcPr>
          <w:p w14:paraId="288AE9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True</w:t>
            </w:r>
          </w:p>
        </w:tc>
      </w:tr>
      <w:tr w14:paraId="3008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13E487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900" w:type="dxa"/>
          </w:tcPr>
          <w:p w14:paraId="18D846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06FD6B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60</w:t>
            </w:r>
          </w:p>
        </w:tc>
        <w:tc>
          <w:tcPr>
            <w:tcW w:w="1200" w:type="dxa"/>
          </w:tcPr>
          <w:p w14:paraId="648E6E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3E5D02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0.30</w:t>
            </w:r>
          </w:p>
        </w:tc>
        <w:tc>
          <w:tcPr>
            <w:tcW w:w="1560" w:type="dxa"/>
          </w:tcPr>
          <w:p w14:paraId="1412DF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True</w:t>
            </w:r>
          </w:p>
        </w:tc>
      </w:tr>
      <w:tr w14:paraId="6200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7C857B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900" w:type="dxa"/>
          </w:tcPr>
          <w:p w14:paraId="581607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44A50C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80</w:t>
            </w:r>
          </w:p>
        </w:tc>
        <w:tc>
          <w:tcPr>
            <w:tcW w:w="1200" w:type="dxa"/>
          </w:tcPr>
          <w:p w14:paraId="67E762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180F5E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0.40</w:t>
            </w:r>
          </w:p>
        </w:tc>
        <w:tc>
          <w:tcPr>
            <w:tcW w:w="1560" w:type="dxa"/>
          </w:tcPr>
          <w:p w14:paraId="10CD37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True</w:t>
            </w:r>
          </w:p>
        </w:tc>
      </w:tr>
      <w:tr w14:paraId="3E27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5D0511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900" w:type="dxa"/>
          </w:tcPr>
          <w:p w14:paraId="0E940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118435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1200" w:type="dxa"/>
          </w:tcPr>
          <w:p w14:paraId="4A9FEB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166A6D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0.50</w:t>
            </w:r>
          </w:p>
        </w:tc>
        <w:tc>
          <w:tcPr>
            <w:tcW w:w="1560" w:type="dxa"/>
          </w:tcPr>
          <w:p w14:paraId="2D9F8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False</w:t>
            </w:r>
          </w:p>
        </w:tc>
      </w:tr>
      <w:tr w14:paraId="0911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7168C7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900" w:type="dxa"/>
          </w:tcPr>
          <w:p w14:paraId="4EE788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Dense</w:t>
            </w:r>
          </w:p>
        </w:tc>
        <w:tc>
          <w:tcPr>
            <w:tcW w:w="1200" w:type="dxa"/>
          </w:tcPr>
          <w:p w14:paraId="0B939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200" w:type="dxa"/>
          </w:tcPr>
          <w:p w14:paraId="452A9B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Linear (default)</w:t>
            </w:r>
          </w:p>
        </w:tc>
        <w:tc>
          <w:tcPr>
            <w:tcW w:w="1200" w:type="dxa"/>
          </w:tcPr>
          <w:p w14:paraId="719EF1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1560" w:type="dxa"/>
          </w:tcPr>
          <w:p w14:paraId="2B6BBA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4EF60E74">
      <w:pPr>
        <w:spacing w:after="80" w:line="360" w:lineRule="auto"/>
        <w:rPr>
          <w:rFonts w:hint="default" w:ascii="Times New Roman" w:hAnsi="Times New Roman" w:cs="Times New Roman"/>
          <w:sz w:val="24"/>
          <w:szCs w:val="24"/>
        </w:rPr>
      </w:pPr>
    </w:p>
    <w:p w14:paraId="2BE34E6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implemented architecture represents a deep, progressive stacking strategy. The four LSTM layers contain 50, 60, 80, and 120 units respectively, creating an expanding representational capacity at each deeper layer. This design philosophy differs from the symmetric architecture described in Chapter Three (which proposed 128 and 64 units in a narrowing arrangement), reflecting an empirical exploration during implementation that resulted in an expanding capacity design. The expanding unit count encourages the network to build increasingly complex representations of the temporal patterns as information flows through successive layers.</w:t>
      </w:r>
    </w:p>
    <w:p w14:paraId="34CBD6F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Each LSTM layer (except the last) uses return_sequences=True, which passes the full sequence of hidden states to the subsequent layer, enabling each subsequent LSTM to learn from the temporal dynamics captured by the previous layer. The final LSTM layer (120 units) uses return_sequences=False, outputting only the hidden state at the final time step a compressed representation of the entire 100-day input sequence which is then passed to the Dense output layer.</w:t>
      </w:r>
    </w:p>
    <w:p w14:paraId="413CF290">
      <w:pPr>
        <w:spacing w:after="160" w:line="360" w:lineRule="auto"/>
        <w:ind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Dropout regularisation rates follow a monotonically increasing schedule (0.2, 0.3, 0.4, 0.5), applying progressively stronger regularisation at deeper layers. This design is motivated by the consideration that deeper layers capture more abstract and potentially overfit-prone representations, and thus benefit from stronger regularisation. The 50% Dropout rate applied after the final LSTM layer is particularly aggressive, discarding half of the 120 LSTM output units randomly during each training step, which strongly encourages the network to learn robust, redundant representations rather than relying on any single feature pathway.</w:t>
      </w:r>
    </w:p>
    <w:p w14:paraId="48C79CF9">
      <w:pPr>
        <w:pStyle w:val="4"/>
        <w:spacing w:line="360" w:lineRule="auto"/>
        <w:rPr>
          <w:rFonts w:hint="default" w:ascii="Times New Roman" w:hAnsi="Times New Roman" w:cs="Times New Roman"/>
          <w:i w:val="0"/>
          <w:iCs w:val="0"/>
          <w:sz w:val="24"/>
          <w:szCs w:val="24"/>
        </w:rPr>
      </w:pPr>
      <w:bookmarkStart w:id="10" w:name="_Toc7306"/>
      <w:r>
        <w:rPr>
          <w:rFonts w:hint="default" w:ascii="Times New Roman" w:hAnsi="Times New Roman" w:cs="Times New Roman"/>
          <w:i w:val="0"/>
          <w:iCs w:val="0"/>
          <w:sz w:val="24"/>
          <w:szCs w:val="24"/>
        </w:rPr>
        <w:t>4.</w:t>
      </w:r>
      <w:r>
        <w:rPr>
          <w:rFonts w:hint="default" w:cs="Times New Roman"/>
          <w:i w:val="0"/>
          <w:iCs w:val="0"/>
          <w:sz w:val="24"/>
          <w:szCs w:val="24"/>
          <w:lang w:val="en-US"/>
        </w:rPr>
        <w:t>1.8</w:t>
      </w:r>
      <w:r>
        <w:rPr>
          <w:rFonts w:hint="default" w:ascii="Times New Roman" w:hAnsi="Times New Roman" w:cs="Times New Roman"/>
          <w:i w:val="0"/>
          <w:iCs w:val="0"/>
          <w:sz w:val="24"/>
          <w:szCs w:val="24"/>
        </w:rPr>
        <w:t xml:space="preserve"> Training Configuration</w:t>
      </w:r>
      <w:bookmarkEnd w:id="10"/>
    </w:p>
    <w:p w14:paraId="179F174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model was trained using the following configuration, as visible in Screenshot 2 (CODE_5.jpeg) and confirmed by the training log in Screenshots 1 and 2 (CODE_5.jpeg and CODE_6.jpeg):</w:t>
      </w:r>
    </w:p>
    <w:p w14:paraId="6EA5C0EC">
      <w:pPr>
        <w:spacing w:after="160" w:line="360" w:lineRule="auto"/>
        <w:ind w:firstLine="720"/>
        <w:jc w:val="both"/>
        <w:rPr>
          <w:rFonts w:hint="default" w:ascii="Times New Roman" w:hAnsi="Times New Roman" w:cs="Times New Roman"/>
          <w:sz w:val="24"/>
          <w:szCs w:val="24"/>
        </w:rPr>
      </w:pPr>
    </w:p>
    <w:p w14:paraId="1882DEF9">
      <w:pPr>
        <w:spacing w:after="160" w:line="360" w:lineRule="auto"/>
        <w:ind w:firstLine="720"/>
        <w:rPr>
          <w:rFonts w:hint="default" w:ascii="Times New Roman" w:hAnsi="Times New Roman" w:eastAsia="Courier New" w:cs="Times New Roman"/>
          <w:sz w:val="24"/>
          <w:szCs w:val="24"/>
        </w:rPr>
      </w:pPr>
    </w:p>
    <w:p w14:paraId="376E677E">
      <w:pPr>
        <w:spacing w:after="160" w:line="360" w:lineRule="auto"/>
        <w:ind w:firstLine="720"/>
        <w:rPr>
          <w:rFonts w:hint="default" w:ascii="Times New Roman" w:hAnsi="Times New Roman" w:eastAsia="Courier New" w:cs="Times New Roman"/>
          <w:sz w:val="24"/>
          <w:szCs w:val="24"/>
        </w:rPr>
      </w:pPr>
    </w:p>
    <w:p w14:paraId="37B37C6E">
      <w:pPr>
        <w:spacing w:after="160" w:line="360" w:lineRule="auto"/>
        <w:ind w:firstLine="720"/>
        <w:rPr>
          <w:rFonts w:hint="default" w:ascii="Times New Roman" w:hAnsi="Times New Roman" w:eastAsia="Courier New" w:cs="Times New Roman"/>
          <w:sz w:val="24"/>
          <w:szCs w:val="24"/>
        </w:rPr>
      </w:pPr>
    </w:p>
    <w:p w14:paraId="332410D7">
      <w:pPr>
        <w:spacing w:after="160" w:line="360" w:lineRule="auto"/>
        <w:ind w:firstLine="720"/>
        <w:rPr>
          <w:rFonts w:hint="default" w:ascii="Times New Roman" w:hAnsi="Times New Roman" w:eastAsia="Courier New" w:cs="Times New Roman"/>
          <w:sz w:val="24"/>
          <w:szCs w:val="24"/>
        </w:rPr>
      </w:pPr>
    </w:p>
    <w:p w14:paraId="64D4D708">
      <w:pPr>
        <w:spacing w:after="160" w:line="360" w:lineRule="auto"/>
        <w:ind w:firstLine="720"/>
        <w:rPr>
          <w:rFonts w:hint="default" w:ascii="Times New Roman" w:hAnsi="Times New Roman" w:eastAsia="Courier New" w:cs="Times New Roman"/>
          <w:sz w:val="24"/>
          <w:szCs w:val="24"/>
        </w:rPr>
      </w:pPr>
    </w:p>
    <w:p w14:paraId="7696E8A3">
      <w:pPr>
        <w:spacing w:after="160" w:line="360" w:lineRule="auto"/>
        <w:ind w:firstLine="720"/>
        <w:rPr>
          <w:rFonts w:hint="default" w:ascii="Times New Roman" w:hAnsi="Times New Roman" w:eastAsia="Courier New" w:cs="Times New Roman"/>
          <w:sz w:val="24"/>
          <w:szCs w:val="24"/>
        </w:rPr>
      </w:pPr>
    </w:p>
    <w:p w14:paraId="213254D3">
      <w:pPr>
        <w:spacing w:after="160" w:line="360" w:lineRule="auto"/>
        <w:ind w:firstLine="720"/>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5676265" cy="3214370"/>
            <wp:effectExtent l="0" t="0" r="635" b="5080"/>
            <wp:wrapSquare wrapText="bothSides"/>
            <wp:docPr id="1" name="Picture 1" descr="C:\Users\DELL\Desktop\RESEARCH WORK\CODE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Desktop\RESEARCH WORK\CODE 5.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76335" cy="3214370"/>
                    </a:xfrm>
                    <a:prstGeom prst="rect">
                      <a:avLst/>
                    </a:prstGeom>
                    <a:noFill/>
                    <a:ln>
                      <a:noFill/>
                    </a:ln>
                  </pic:spPr>
                </pic:pic>
              </a:graphicData>
            </a:graphic>
          </wp:anchor>
        </w:drawing>
      </w:r>
      <w:r>
        <w:rPr>
          <w:rFonts w:hint="default" w:ascii="Times New Roman" w:hAnsi="Times New Roman" w:eastAsia="Courier New" w:cs="Times New Roman"/>
          <w:sz w:val="24"/>
          <w:szCs w:val="24"/>
        </w:rPr>
        <w:t>model.fit(x, y, epochs=50, batch_size=32, verbose=1)</w:t>
      </w:r>
    </w:p>
    <w:p w14:paraId="22C2183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was conducted for 50 epochs with a batch size of 32 samples. At each epoch, the 2,716 training samples were divided into 85 mini-batches of 32 samples each (2716 / 32 ≈ 85 steps per epoch, consistent with the '85/85' progress indicator visible in the training log). The training was performed entirely on the CPU provided by Google Colab's standard runtime environment. Each epoch required between 20 and 41 seconds to complete, with an average step time of approximately 230–250 milliseconds per mini-batch.</w:t>
      </w:r>
    </w:p>
    <w:p w14:paraId="6D134B61">
      <w:pPr>
        <w:pStyle w:val="4"/>
        <w:spacing w:line="360" w:lineRule="auto"/>
        <w:rPr>
          <w:rFonts w:hint="default" w:ascii="Times New Roman" w:hAnsi="Times New Roman" w:cs="Times New Roman"/>
          <w:i w:val="0"/>
          <w:iCs w:val="0"/>
          <w:sz w:val="24"/>
          <w:szCs w:val="24"/>
        </w:rPr>
      </w:pPr>
      <w:bookmarkStart w:id="11" w:name="_Toc23299"/>
      <w:r>
        <w:rPr>
          <w:rFonts w:hint="default" w:ascii="Times New Roman" w:hAnsi="Times New Roman" w:cs="Times New Roman"/>
          <w:i w:val="0"/>
          <w:iCs w:val="0"/>
          <w:sz w:val="24"/>
          <w:szCs w:val="24"/>
        </w:rPr>
        <w:t>4.</w:t>
      </w:r>
      <w:r>
        <w:rPr>
          <w:rFonts w:hint="default" w:cs="Times New Roman"/>
          <w:i w:val="0"/>
          <w:iCs w:val="0"/>
          <w:sz w:val="24"/>
          <w:szCs w:val="24"/>
          <w:lang w:val="en-US"/>
        </w:rPr>
        <w:t>1.9</w:t>
      </w:r>
      <w:r>
        <w:rPr>
          <w:rFonts w:hint="default" w:ascii="Times New Roman" w:hAnsi="Times New Roman" w:cs="Times New Roman"/>
          <w:i w:val="0"/>
          <w:iCs w:val="0"/>
          <w:sz w:val="24"/>
          <w:szCs w:val="24"/>
        </w:rPr>
        <w:t xml:space="preserve"> Training Loss Progression</w:t>
      </w:r>
      <w:bookmarkEnd w:id="11"/>
    </w:p>
    <w:p w14:paraId="24D50E8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loss values recorded at each epoch, as extracted directly from the training log visible in Screenshots 1 and 2, are presented in Table 4.4 below.</w:t>
      </w:r>
    </w:p>
    <w:p w14:paraId="1011DE37">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w:t>
      </w:r>
      <w:r>
        <w:rPr>
          <w:rFonts w:hint="default" w:cs="Times New Roman"/>
          <w:b/>
          <w:bCs/>
          <w:sz w:val="24"/>
          <w:szCs w:val="24"/>
          <w:lang w:val="en-US"/>
        </w:rPr>
        <w:t>1</w:t>
      </w:r>
      <w:r>
        <w:rPr>
          <w:rFonts w:hint="default" w:ascii="Times New Roman" w:hAnsi="Times New Roman" w:cs="Times New Roman"/>
          <w:b/>
          <w:bCs/>
          <w:sz w:val="24"/>
          <w:szCs w:val="24"/>
        </w:rPr>
        <w:t>: LSTM Training Loss per Epoch (MSE, first 22 epochs shown)</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
        <w:gridCol w:w="2000"/>
        <w:gridCol w:w="2400"/>
        <w:gridCol w:w="4060"/>
      </w:tblGrid>
      <w:tr w14:paraId="7FA87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top w:val="single" w:color="auto" w:sz="4" w:space="0"/>
              <w:bottom w:val="single" w:color="auto" w:sz="4" w:space="0"/>
            </w:tcBorders>
          </w:tcPr>
          <w:p w14:paraId="59C43B6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Epoch</w:t>
            </w:r>
          </w:p>
        </w:tc>
        <w:tc>
          <w:tcPr>
            <w:tcW w:w="2000" w:type="dxa"/>
            <w:tcBorders>
              <w:top w:val="single" w:color="auto" w:sz="4" w:space="0"/>
              <w:bottom w:val="single" w:color="auto" w:sz="4" w:space="0"/>
            </w:tcBorders>
          </w:tcPr>
          <w:p w14:paraId="31E5400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Training Loss (MSE)</w:t>
            </w:r>
          </w:p>
        </w:tc>
        <w:tc>
          <w:tcPr>
            <w:tcW w:w="2400" w:type="dxa"/>
            <w:tcBorders>
              <w:top w:val="single" w:color="auto" w:sz="4" w:space="0"/>
              <w:bottom w:val="single" w:color="auto" w:sz="4" w:space="0"/>
            </w:tcBorders>
          </w:tcPr>
          <w:p w14:paraId="485CD00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Step Time</w:t>
            </w:r>
          </w:p>
        </w:tc>
        <w:tc>
          <w:tcPr>
            <w:tcW w:w="4060" w:type="dxa"/>
            <w:tcBorders>
              <w:top w:val="single" w:color="auto" w:sz="4" w:space="0"/>
              <w:bottom w:val="single" w:color="auto" w:sz="4" w:space="0"/>
            </w:tcBorders>
          </w:tcPr>
          <w:p w14:paraId="4A6021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Change from Previous</w:t>
            </w:r>
          </w:p>
        </w:tc>
      </w:tr>
      <w:tr w14:paraId="38AF9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top w:val="single" w:color="auto" w:sz="4" w:space="0"/>
            </w:tcBorders>
          </w:tcPr>
          <w:p w14:paraId="51E315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000" w:type="dxa"/>
            <w:tcBorders>
              <w:top w:val="single" w:color="auto" w:sz="4" w:space="0"/>
            </w:tcBorders>
          </w:tcPr>
          <w:p w14:paraId="3B4038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0.0652</w:t>
            </w:r>
          </w:p>
        </w:tc>
        <w:tc>
          <w:tcPr>
            <w:tcW w:w="2400" w:type="dxa"/>
            <w:tcBorders>
              <w:top w:val="single" w:color="auto" w:sz="4" w:space="0"/>
            </w:tcBorders>
          </w:tcPr>
          <w:p w14:paraId="6AE4F9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26s 232ms/step</w:t>
            </w:r>
          </w:p>
        </w:tc>
        <w:tc>
          <w:tcPr>
            <w:tcW w:w="4060" w:type="dxa"/>
            <w:tcBorders>
              <w:top w:val="single" w:color="auto" w:sz="4" w:space="0"/>
            </w:tcBorders>
          </w:tcPr>
          <w:p w14:paraId="221FFC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5DA00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31451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000" w:type="dxa"/>
          </w:tcPr>
          <w:p w14:paraId="626D2B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0.0068</w:t>
            </w:r>
          </w:p>
        </w:tc>
        <w:tc>
          <w:tcPr>
            <w:tcW w:w="2400" w:type="dxa"/>
          </w:tcPr>
          <w:p w14:paraId="726E4A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739ECE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-89.6%</w:t>
            </w:r>
          </w:p>
        </w:tc>
      </w:tr>
      <w:tr w14:paraId="31B9C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DCCAE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000" w:type="dxa"/>
          </w:tcPr>
          <w:p w14:paraId="18DCDF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0.0055</w:t>
            </w:r>
          </w:p>
        </w:tc>
        <w:tc>
          <w:tcPr>
            <w:tcW w:w="2400" w:type="dxa"/>
          </w:tcPr>
          <w:p w14:paraId="31411F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41s 250ms/step</w:t>
            </w:r>
          </w:p>
        </w:tc>
        <w:tc>
          <w:tcPr>
            <w:tcW w:w="4060" w:type="dxa"/>
          </w:tcPr>
          <w:p w14:paraId="3506DB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-19.1%</w:t>
            </w:r>
          </w:p>
        </w:tc>
      </w:tr>
      <w:tr w14:paraId="19B5A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DFB7C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000" w:type="dxa"/>
          </w:tcPr>
          <w:p w14:paraId="2DB985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0.0053</w:t>
            </w:r>
          </w:p>
        </w:tc>
        <w:tc>
          <w:tcPr>
            <w:tcW w:w="2400" w:type="dxa"/>
          </w:tcPr>
          <w:p w14:paraId="24EB9A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39s 231ms/step</w:t>
            </w:r>
          </w:p>
        </w:tc>
        <w:tc>
          <w:tcPr>
            <w:tcW w:w="4060" w:type="dxa"/>
          </w:tcPr>
          <w:p w14:paraId="0AB7D2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-3.6%</w:t>
            </w:r>
          </w:p>
        </w:tc>
      </w:tr>
      <w:tr w14:paraId="014A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FB515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000" w:type="dxa"/>
          </w:tcPr>
          <w:p w14:paraId="2184AA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0.0037</w:t>
            </w:r>
          </w:p>
        </w:tc>
        <w:tc>
          <w:tcPr>
            <w:tcW w:w="2400" w:type="dxa"/>
          </w:tcPr>
          <w:p w14:paraId="460945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2A5E84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-30.2%</w:t>
            </w:r>
          </w:p>
        </w:tc>
      </w:tr>
      <w:tr w14:paraId="24C93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CAD06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000" w:type="dxa"/>
          </w:tcPr>
          <w:p w14:paraId="2856FB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0.0036</w:t>
            </w:r>
          </w:p>
        </w:tc>
        <w:tc>
          <w:tcPr>
            <w:tcW w:w="2400" w:type="dxa"/>
          </w:tcPr>
          <w:p w14:paraId="61599C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232ms/step</w:t>
            </w:r>
          </w:p>
        </w:tc>
        <w:tc>
          <w:tcPr>
            <w:tcW w:w="4060" w:type="dxa"/>
          </w:tcPr>
          <w:p w14:paraId="396252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-2.7%</w:t>
            </w:r>
          </w:p>
        </w:tc>
      </w:tr>
      <w:tr w14:paraId="5B03C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C7595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000" w:type="dxa"/>
          </w:tcPr>
          <w:p w14:paraId="5CE46B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0.0040</w:t>
            </w:r>
          </w:p>
        </w:tc>
        <w:tc>
          <w:tcPr>
            <w:tcW w:w="2400" w:type="dxa"/>
          </w:tcPr>
          <w:p w14:paraId="6DDEB1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22s 247ms/step</w:t>
            </w:r>
          </w:p>
        </w:tc>
        <w:tc>
          <w:tcPr>
            <w:tcW w:w="4060" w:type="dxa"/>
          </w:tcPr>
          <w:p w14:paraId="4DBAD0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11.1%</w:t>
            </w:r>
          </w:p>
        </w:tc>
      </w:tr>
      <w:tr w14:paraId="6150F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807F9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000" w:type="dxa"/>
          </w:tcPr>
          <w:p w14:paraId="1CBB2E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0.0046</w:t>
            </w:r>
          </w:p>
        </w:tc>
        <w:tc>
          <w:tcPr>
            <w:tcW w:w="2400" w:type="dxa"/>
          </w:tcPr>
          <w:p w14:paraId="19F61D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236ms/step</w:t>
            </w:r>
          </w:p>
        </w:tc>
        <w:tc>
          <w:tcPr>
            <w:tcW w:w="4060" w:type="dxa"/>
          </w:tcPr>
          <w:p w14:paraId="35B21D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15.0%</w:t>
            </w:r>
          </w:p>
        </w:tc>
      </w:tr>
      <w:tr w14:paraId="10013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595046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000" w:type="dxa"/>
          </w:tcPr>
          <w:p w14:paraId="47B95C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0.0032</w:t>
            </w:r>
          </w:p>
        </w:tc>
        <w:tc>
          <w:tcPr>
            <w:tcW w:w="2400" w:type="dxa"/>
          </w:tcPr>
          <w:p w14:paraId="1D21B0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236ms/step</w:t>
            </w:r>
          </w:p>
        </w:tc>
        <w:tc>
          <w:tcPr>
            <w:tcW w:w="4060" w:type="dxa"/>
          </w:tcPr>
          <w:p w14:paraId="5BCF7B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-30.4%</w:t>
            </w:r>
          </w:p>
        </w:tc>
      </w:tr>
      <w:tr w14:paraId="0303F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88855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000" w:type="dxa"/>
          </w:tcPr>
          <w:p w14:paraId="4DB3A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0.0035</w:t>
            </w:r>
          </w:p>
        </w:tc>
        <w:tc>
          <w:tcPr>
            <w:tcW w:w="2400" w:type="dxa"/>
          </w:tcPr>
          <w:p w14:paraId="32C2D2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7BB736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9.4%</w:t>
            </w:r>
          </w:p>
        </w:tc>
      </w:tr>
      <w:tr w14:paraId="22500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26EE0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2000" w:type="dxa"/>
          </w:tcPr>
          <w:p w14:paraId="404527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0.0033</w:t>
            </w:r>
          </w:p>
        </w:tc>
        <w:tc>
          <w:tcPr>
            <w:tcW w:w="2400" w:type="dxa"/>
          </w:tcPr>
          <w:p w14:paraId="6B92F7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231ms/step</w:t>
            </w:r>
          </w:p>
        </w:tc>
        <w:tc>
          <w:tcPr>
            <w:tcW w:w="4060" w:type="dxa"/>
          </w:tcPr>
          <w:p w14:paraId="20DE3A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-5.7%</w:t>
            </w:r>
          </w:p>
        </w:tc>
      </w:tr>
      <w:tr w14:paraId="37B6A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E7645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2000" w:type="dxa"/>
          </w:tcPr>
          <w:p w14:paraId="08C597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0.0028</w:t>
            </w:r>
          </w:p>
        </w:tc>
        <w:tc>
          <w:tcPr>
            <w:tcW w:w="2400" w:type="dxa"/>
          </w:tcPr>
          <w:p w14:paraId="1F6311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090B30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-15.2%</w:t>
            </w:r>
          </w:p>
        </w:tc>
      </w:tr>
      <w:tr w14:paraId="52E49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 w:type="dxa"/>
          </w:tcPr>
          <w:p w14:paraId="2C5D1C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w:t>
            </w:r>
          </w:p>
        </w:tc>
        <w:tc>
          <w:tcPr>
            <w:tcW w:w="2000" w:type="dxa"/>
          </w:tcPr>
          <w:p w14:paraId="3BD81B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0.0032</w:t>
            </w:r>
          </w:p>
        </w:tc>
        <w:tc>
          <w:tcPr>
            <w:tcW w:w="2400" w:type="dxa"/>
          </w:tcPr>
          <w:p w14:paraId="0CC1ED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232ms/step</w:t>
            </w:r>
          </w:p>
        </w:tc>
        <w:tc>
          <w:tcPr>
            <w:tcW w:w="4060" w:type="dxa"/>
          </w:tcPr>
          <w:p w14:paraId="53E6EA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14.3%</w:t>
            </w:r>
          </w:p>
        </w:tc>
      </w:tr>
      <w:tr w14:paraId="0D172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296A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14</w:t>
            </w:r>
          </w:p>
        </w:tc>
        <w:tc>
          <w:tcPr>
            <w:tcW w:w="2000" w:type="dxa"/>
          </w:tcPr>
          <w:p w14:paraId="42342D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0.0027</w:t>
            </w:r>
          </w:p>
        </w:tc>
        <w:tc>
          <w:tcPr>
            <w:tcW w:w="2400" w:type="dxa"/>
          </w:tcPr>
          <w:p w14:paraId="5C4804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029030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-15.6%</w:t>
            </w:r>
          </w:p>
        </w:tc>
      </w:tr>
      <w:tr w14:paraId="52987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5B37F3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2000" w:type="dxa"/>
          </w:tcPr>
          <w:p w14:paraId="39173F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0.0029</w:t>
            </w:r>
          </w:p>
        </w:tc>
        <w:tc>
          <w:tcPr>
            <w:tcW w:w="2400" w:type="dxa"/>
          </w:tcPr>
          <w:p w14:paraId="0D8C8E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230ms/step</w:t>
            </w:r>
          </w:p>
        </w:tc>
        <w:tc>
          <w:tcPr>
            <w:tcW w:w="4060" w:type="dxa"/>
          </w:tcPr>
          <w:p w14:paraId="1AB98F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7.4%</w:t>
            </w:r>
          </w:p>
        </w:tc>
      </w:tr>
      <w:tr w14:paraId="72B2E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5CE1A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2000" w:type="dxa"/>
          </w:tcPr>
          <w:p w14:paraId="1F6F38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0.0023</w:t>
            </w:r>
          </w:p>
        </w:tc>
        <w:tc>
          <w:tcPr>
            <w:tcW w:w="2400" w:type="dxa"/>
          </w:tcPr>
          <w:p w14:paraId="1A76B7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19E91E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-20.7%</w:t>
            </w:r>
          </w:p>
        </w:tc>
      </w:tr>
      <w:tr w14:paraId="464E6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7AE2C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2000" w:type="dxa"/>
          </w:tcPr>
          <w:p w14:paraId="77FCB7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0.0027</w:t>
            </w:r>
          </w:p>
        </w:tc>
        <w:tc>
          <w:tcPr>
            <w:tcW w:w="2400" w:type="dxa"/>
          </w:tcPr>
          <w:p w14:paraId="738D96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231ms/step</w:t>
            </w:r>
          </w:p>
        </w:tc>
        <w:tc>
          <w:tcPr>
            <w:tcW w:w="4060" w:type="dxa"/>
          </w:tcPr>
          <w:p w14:paraId="5FB442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17.4%</w:t>
            </w:r>
          </w:p>
        </w:tc>
      </w:tr>
      <w:tr w14:paraId="73916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13389B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2000" w:type="dxa"/>
          </w:tcPr>
          <w:p w14:paraId="595C1B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0.0028</w:t>
            </w:r>
          </w:p>
        </w:tc>
        <w:tc>
          <w:tcPr>
            <w:tcW w:w="2400" w:type="dxa"/>
          </w:tcPr>
          <w:p w14:paraId="2CF81F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246ms/step</w:t>
            </w:r>
          </w:p>
        </w:tc>
        <w:tc>
          <w:tcPr>
            <w:tcW w:w="4060" w:type="dxa"/>
          </w:tcPr>
          <w:p w14:paraId="2B895D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3.7%</w:t>
            </w:r>
          </w:p>
        </w:tc>
      </w:tr>
      <w:tr w14:paraId="2C4FC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D24A5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2000" w:type="dxa"/>
          </w:tcPr>
          <w:p w14:paraId="02C807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0.0030</w:t>
            </w:r>
          </w:p>
        </w:tc>
        <w:tc>
          <w:tcPr>
            <w:tcW w:w="2400" w:type="dxa"/>
          </w:tcPr>
          <w:p w14:paraId="74C2DF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232ms/step</w:t>
            </w:r>
          </w:p>
        </w:tc>
        <w:tc>
          <w:tcPr>
            <w:tcW w:w="4060" w:type="dxa"/>
          </w:tcPr>
          <w:p w14:paraId="1CA7A9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7.1%</w:t>
            </w:r>
          </w:p>
        </w:tc>
      </w:tr>
      <w:tr w14:paraId="03FD1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1E9A31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000" w:type="dxa"/>
          </w:tcPr>
          <w:p w14:paraId="198197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0.0027</w:t>
            </w:r>
          </w:p>
        </w:tc>
        <w:tc>
          <w:tcPr>
            <w:tcW w:w="2400" w:type="dxa"/>
          </w:tcPr>
          <w:p w14:paraId="3851A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22s 246ms/step</w:t>
            </w:r>
          </w:p>
        </w:tc>
        <w:tc>
          <w:tcPr>
            <w:tcW w:w="4060" w:type="dxa"/>
          </w:tcPr>
          <w:p w14:paraId="2B6DBC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F852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3E83C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w:t>
            </w:r>
          </w:p>
        </w:tc>
        <w:tc>
          <w:tcPr>
            <w:tcW w:w="2000" w:type="dxa"/>
          </w:tcPr>
          <w:p w14:paraId="371FE8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0.0024</w:t>
            </w:r>
          </w:p>
        </w:tc>
        <w:tc>
          <w:tcPr>
            <w:tcW w:w="2400" w:type="dxa"/>
          </w:tcPr>
          <w:p w14:paraId="2BAEDD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232ms/step</w:t>
            </w:r>
          </w:p>
        </w:tc>
        <w:tc>
          <w:tcPr>
            <w:tcW w:w="4060" w:type="dxa"/>
          </w:tcPr>
          <w:p w14:paraId="2BAC3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-11.1%</w:t>
            </w:r>
          </w:p>
        </w:tc>
      </w:tr>
      <w:tr w14:paraId="7AE3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bottom w:val="single" w:color="auto" w:sz="4" w:space="0"/>
            </w:tcBorders>
          </w:tcPr>
          <w:p w14:paraId="636DE2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2000" w:type="dxa"/>
            <w:tcBorders>
              <w:bottom w:val="single" w:color="auto" w:sz="4" w:space="0"/>
            </w:tcBorders>
          </w:tcPr>
          <w:p w14:paraId="12ACE2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0.0021</w:t>
            </w:r>
          </w:p>
        </w:tc>
        <w:tc>
          <w:tcPr>
            <w:tcW w:w="2400" w:type="dxa"/>
            <w:tcBorders>
              <w:bottom w:val="single" w:color="auto" w:sz="4" w:space="0"/>
            </w:tcBorders>
          </w:tcPr>
          <w:p w14:paraId="553326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246ms/step</w:t>
            </w:r>
          </w:p>
        </w:tc>
        <w:tc>
          <w:tcPr>
            <w:tcW w:w="4060" w:type="dxa"/>
            <w:tcBorders>
              <w:bottom w:val="single" w:color="auto" w:sz="4" w:space="0"/>
            </w:tcBorders>
          </w:tcPr>
          <w:p w14:paraId="53599B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-12.5%</w:t>
            </w:r>
          </w:p>
        </w:tc>
      </w:tr>
    </w:tbl>
    <w:p w14:paraId="04E638CD">
      <w:pPr>
        <w:spacing w:after="80" w:line="360" w:lineRule="auto"/>
        <w:rPr>
          <w:rFonts w:hint="default" w:ascii="Times New Roman" w:hAnsi="Times New Roman" w:cs="Times New Roman"/>
          <w:sz w:val="24"/>
          <w:szCs w:val="24"/>
        </w:rPr>
      </w:pPr>
    </w:p>
    <w:p w14:paraId="0E3A201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loss progression reveals several important characteristics of the LSTM model's learning behaviour. The most dramatic reduction in loss occurs between Epoch 1 (loss = 0.0652) and Epoch 2 (loss = 0.0068), representing a decrease of approximately 89.6% in a single epoch. This precipitous initial drop is characteristic of LSTM training on normalised financial time series: in the first epoch, the model rapidly learns the broad directional trend and approximate magnitude of the price series, which accounts for the largest portion of the predictable variance. Subsequent epochs refine the model's ability to capture finer temporal patterns and short-term fluctuations.</w:t>
      </w:r>
    </w:p>
    <w:p w14:paraId="50EBBC9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Epoch 2 onwards, the loss follows a generally declining trajectory with occasional temporary increases, consistent with the stochastic nature of mini-batch gradient descent. Notable transient increases occur at Epochs 7 (0.0040, up from 0.0036 at Epoch 6) and Epoch 8 (0.0046, up from 0.0040), before resuming the downward trend. These fluctuations are attributable to the stochasticity inherent in mini-batch sampling and are not indicative of instability in the learning process. By Epoch 22, the loss had reached 0.0021, representing a total reduction of 96.8% from the initial value.</w:t>
      </w:r>
    </w:p>
    <w:p w14:paraId="4888849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broadly monotonic decline in training loss across 22+ epochs confirms that the Adam optimiser with the default learning rate (0.001) is well-calibrated for this model architecture and dataset. There is no evidence of catastrophic divergence or loss explosion, which can occur when learning rates are inappropriately large for deep LSTM architectures. The smooth, stable convergence validates both the model design and the preprocessing pipeline.</w:t>
      </w:r>
    </w:p>
    <w:p w14:paraId="31E9CCD2">
      <w:pPr>
        <w:spacing w:after="160" w:line="360" w:lineRule="auto"/>
        <w:ind w:firstLine="720"/>
        <w:jc w:val="both"/>
        <w:rPr>
          <w:rFonts w:hint="default" w:ascii="Times New Roman" w:hAnsi="Times New Roman" w:cs="Times New Roman"/>
          <w:sz w:val="24"/>
          <w:szCs w:val="24"/>
        </w:rPr>
      </w:pPr>
    </w:p>
    <w:p w14:paraId="05CF62FA">
      <w:pPr>
        <w:spacing w:before="60" w:after="200" w:line="360" w:lineRule="auto"/>
        <w:jc w:val="center"/>
        <w:rPr>
          <w:rFonts w:hint="default" w:ascii="Times New Roman" w:hAnsi="Times New Roman" w:eastAsia="Courier New" w:cs="Times New Roman"/>
          <w:sz w:val="24"/>
          <w:szCs w:val="24"/>
        </w:rPr>
      </w:pPr>
    </w:p>
    <w:p w14:paraId="4D6016CB">
      <w:pPr>
        <w:spacing w:before="60" w:after="200" w:line="360" w:lineRule="auto"/>
        <w:jc w:val="center"/>
        <w:rPr>
          <w:rFonts w:hint="default" w:ascii="Times New Roman" w:hAnsi="Times New Roman" w:eastAsia="Courier New" w:cs="Times New Roman"/>
          <w:sz w:val="24"/>
          <w:szCs w:val="24"/>
        </w:rPr>
      </w:pPr>
    </w:p>
    <w:p w14:paraId="317D4C9F">
      <w:pPr>
        <w:spacing w:before="60" w:after="200" w:line="360" w:lineRule="auto"/>
        <w:jc w:val="center"/>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Pr>
        <w:drawing>
          <wp:inline distT="0" distB="0" distL="0" distR="0">
            <wp:extent cx="5714365" cy="2800350"/>
            <wp:effectExtent l="0" t="0" r="635" b="0"/>
            <wp:docPr id="2" name="Picture 2" descr="C:\Users\DELL\Desktop\RESEARCH WORK\CODE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LL\Desktop\RESEARCH WORK\CODE 6.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15350" cy="2800798"/>
                    </a:xfrm>
                    <a:prstGeom prst="rect">
                      <a:avLst/>
                    </a:prstGeom>
                    <a:noFill/>
                    <a:ln>
                      <a:noFill/>
                    </a:ln>
                  </pic:spPr>
                </pic:pic>
              </a:graphicData>
            </a:graphic>
          </wp:inline>
        </w:drawing>
      </w:r>
    </w:p>
    <w:p w14:paraId="5C6B82CA">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w:t>
      </w:r>
      <w:r>
        <w:rPr>
          <w:rFonts w:hint="default" w:cs="Times New Roman"/>
          <w:b/>
          <w:bCs/>
          <w:i w:val="0"/>
          <w:iCs w:val="0"/>
          <w:sz w:val="24"/>
          <w:szCs w:val="24"/>
          <w:lang w:val="en-US"/>
        </w:rPr>
        <w:t>1</w:t>
      </w:r>
      <w:r>
        <w:rPr>
          <w:rFonts w:hint="default" w:ascii="Times New Roman" w:hAnsi="Times New Roman" w:cs="Times New Roman"/>
          <w:b/>
          <w:bCs/>
          <w:i w:val="0"/>
          <w:iCs w:val="0"/>
          <w:sz w:val="24"/>
          <w:szCs w:val="24"/>
        </w:rPr>
        <w:t>: LSTM Training Loss Curve (MSE) across 50 Training Epochs</w:t>
      </w:r>
    </w:p>
    <w:p w14:paraId="3E6721EC">
      <w:pPr>
        <w:pBdr>
          <w:top w:val="single" w:color="2E75B6" w:sz="4" w:space="0"/>
          <w:left w:val="single" w:color="2E75B6" w:sz="12" w:space="0"/>
          <w:bottom w:val="single" w:color="2E75B6" w:sz="4" w:space="0"/>
          <w:right w:val="single" w:color="2E75B6" w:sz="4" w:space="0"/>
        </w:pBdr>
        <w:shd w:val="clear" w:color="auto" w:fill="EBF3FB"/>
        <w:spacing w:before="100" w:after="160" w:line="360" w:lineRule="auto"/>
        <w:ind w:left="360" w:righ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Note: </w:t>
      </w:r>
    </w:p>
    <w:p w14:paraId="0CD50E7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rapid convergence and stable loss curve observed in this experiment compare favourably with findings from the related literature. Moghar and Hamiche (2020) reported a similar initial rapid loss drop during LSTM training on stock exchange data, attributing it to the model's quick capture of the primary price trend. Qiu et al. (2020) similarly observed MSE loss values in the range of 0.002–0.004 on normalised stock price sequences following training with the Adam optimiser, consistent with the values achieved in this study. The consistency of the convergence behaviour with published results provides an important cross-validation of the implementation's correctness.</w:t>
      </w:r>
    </w:p>
    <w:p w14:paraId="7F0857CC">
      <w:pPr>
        <w:pStyle w:val="4"/>
        <w:spacing w:line="360" w:lineRule="auto"/>
        <w:rPr>
          <w:rFonts w:hint="default" w:ascii="Times New Roman" w:hAnsi="Times New Roman" w:cs="Times New Roman"/>
          <w:i w:val="0"/>
          <w:iCs w:val="0"/>
          <w:sz w:val="24"/>
          <w:szCs w:val="24"/>
        </w:rPr>
      </w:pPr>
      <w:bookmarkStart w:id="12" w:name="_Toc24345"/>
      <w:r>
        <w:rPr>
          <w:rFonts w:hint="default" w:ascii="Times New Roman" w:hAnsi="Times New Roman" w:cs="Times New Roman"/>
          <w:i w:val="0"/>
          <w:iCs w:val="0"/>
          <w:sz w:val="24"/>
          <w:szCs w:val="24"/>
        </w:rPr>
        <w:t>4.</w:t>
      </w:r>
      <w:r>
        <w:rPr>
          <w:rFonts w:hint="default" w:cs="Times New Roman"/>
          <w:i w:val="0"/>
          <w:iCs w:val="0"/>
          <w:sz w:val="24"/>
          <w:szCs w:val="24"/>
          <w:lang w:val="en-US"/>
        </w:rPr>
        <w:t>1.10</w:t>
      </w:r>
      <w:r>
        <w:rPr>
          <w:rFonts w:hint="default" w:ascii="Times New Roman" w:hAnsi="Times New Roman" w:cs="Times New Roman"/>
          <w:i w:val="0"/>
          <w:iCs w:val="0"/>
          <w:sz w:val="24"/>
          <w:szCs w:val="24"/>
        </w:rPr>
        <w:t xml:space="preserve"> Predicted vs. Actual Price Visualisation</w:t>
      </w:r>
      <w:bookmarkEnd w:id="12"/>
    </w:p>
    <w:p w14:paraId="6D51C53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primary visual evaluation of model performance is provided through a comparison plot of actual Close prices (from the test set) against the LSTM model's predictions. This visualisation provides an intuitive, qualitative assessment of the model's ability to track the price trajectory, identify trend reversals, and quantify prediction lag.</w:t>
      </w:r>
    </w:p>
    <w:p w14:paraId="1A70E747">
      <w:pPr>
        <w:spacing w:before="60" w:after="200" w:line="360" w:lineRule="auto"/>
        <w:jc w:val="center"/>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Pr>
        <w:drawing>
          <wp:inline distT="0" distB="0" distL="0" distR="0">
            <wp:extent cx="5200650" cy="26530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0650" cy="2653030"/>
                    </a:xfrm>
                    <a:prstGeom prst="rect">
                      <a:avLst/>
                    </a:prstGeom>
                  </pic:spPr>
                </pic:pic>
              </a:graphicData>
            </a:graphic>
          </wp:inline>
        </w:drawing>
      </w:r>
    </w:p>
    <w:p w14:paraId="6C700C41">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w:t>
      </w:r>
      <w:r>
        <w:rPr>
          <w:rFonts w:hint="default" w:cs="Times New Roman"/>
          <w:b/>
          <w:bCs/>
          <w:i w:val="0"/>
          <w:iCs w:val="0"/>
          <w:sz w:val="24"/>
          <w:szCs w:val="24"/>
          <w:lang w:val="en-US"/>
        </w:rPr>
        <w:t>1</w:t>
      </w:r>
      <w:r>
        <w:rPr>
          <w:rFonts w:hint="default" w:ascii="Times New Roman" w:hAnsi="Times New Roman" w:cs="Times New Roman"/>
          <w:b/>
          <w:bCs/>
          <w:i w:val="0"/>
          <w:iCs w:val="0"/>
          <w:sz w:val="24"/>
          <w:szCs w:val="24"/>
        </w:rPr>
        <w:t>: Actual vs. Predicted GOOG Close Price LSTM Model (Test Set, ~704 Days)</w:t>
      </w:r>
    </w:p>
    <w:p w14:paraId="01BCC3F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predicted price curve closely tracks the overall trajectory of the actual price, correctly capturing the broad upward trend observed across the test period (approximately May 2023 to December 2025). The model demonstrates accurate directional prediction for the major price movements, including the sustained rally from approximately USD 180 to USD 316+ observed during the later portion of the test period. Minor prediction lag is observed at sharp inflection points, which is an inherent characteristic of recurrent neural network models that extrapolate from smoothed historical representations rather than reacting instantaneously to new information (Fischer &amp; Krauss, 2018).</w:t>
      </w:r>
    </w:p>
    <w:p w14:paraId="7857A7CE">
      <w:pPr>
        <w:pStyle w:val="4"/>
        <w:spacing w:line="360" w:lineRule="auto"/>
        <w:rPr>
          <w:rFonts w:hint="default" w:ascii="Times New Roman" w:hAnsi="Times New Roman" w:cs="Times New Roman"/>
          <w:i w:val="0"/>
          <w:iCs w:val="0"/>
          <w:sz w:val="24"/>
          <w:szCs w:val="24"/>
        </w:rPr>
      </w:pPr>
      <w:bookmarkStart w:id="13" w:name="_Toc29315"/>
      <w:r>
        <w:rPr>
          <w:rFonts w:hint="default" w:ascii="Times New Roman" w:hAnsi="Times New Roman" w:cs="Times New Roman"/>
          <w:i w:val="0"/>
          <w:iCs w:val="0"/>
          <w:sz w:val="24"/>
          <w:szCs w:val="24"/>
        </w:rPr>
        <w:t>4.</w:t>
      </w:r>
      <w:r>
        <w:rPr>
          <w:rFonts w:hint="default" w:cs="Times New Roman"/>
          <w:i w:val="0"/>
          <w:iCs w:val="0"/>
          <w:sz w:val="24"/>
          <w:szCs w:val="24"/>
          <w:lang w:val="en-US"/>
        </w:rPr>
        <w:t>1.11</w:t>
      </w:r>
      <w:r>
        <w:rPr>
          <w:rFonts w:hint="default" w:ascii="Times New Roman" w:hAnsi="Times New Roman" w:cs="Times New Roman"/>
          <w:i w:val="0"/>
          <w:iCs w:val="0"/>
          <w:sz w:val="24"/>
          <w:szCs w:val="24"/>
        </w:rPr>
        <w:t xml:space="preserve"> Quantitative Performance Metrics</w:t>
      </w:r>
      <w:bookmarkEnd w:id="13"/>
    </w:p>
    <w:p w14:paraId="5608832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quantitative performance metrics computed for the LSTM model on the test set are presented in Table 4.5.</w:t>
      </w:r>
    </w:p>
    <w:p w14:paraId="7DFE3536">
      <w:pPr>
        <w:spacing w:after="80" w:line="360" w:lineRule="auto"/>
        <w:rPr>
          <w:rFonts w:hint="default" w:ascii="Times New Roman" w:hAnsi="Times New Roman" w:cs="Times New Roman"/>
          <w:sz w:val="24"/>
          <w:szCs w:val="24"/>
        </w:rPr>
      </w:pPr>
    </w:p>
    <w:p w14:paraId="635493A7">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w:t>
      </w:r>
      <w:r>
        <w:rPr>
          <w:rFonts w:hint="default" w:cs="Times New Roman"/>
          <w:b/>
          <w:bCs/>
          <w:sz w:val="24"/>
          <w:szCs w:val="24"/>
          <w:lang w:val="en-US"/>
        </w:rPr>
        <w:t>1</w:t>
      </w:r>
      <w:r>
        <w:rPr>
          <w:rFonts w:hint="default" w:ascii="Times New Roman" w:hAnsi="Times New Roman" w:cs="Times New Roman"/>
          <w:b/>
          <w:bCs/>
          <w:sz w:val="24"/>
          <w:szCs w:val="24"/>
        </w:rPr>
        <w:t>: LSTM Model Performance Metrics on Test Set (GOOG)</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2400"/>
        <w:gridCol w:w="4560"/>
      </w:tblGrid>
      <w:tr w14:paraId="4918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C28C5F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Metric</w:t>
            </w:r>
          </w:p>
        </w:tc>
        <w:tc>
          <w:tcPr>
            <w:tcW w:w="2400" w:type="dxa"/>
          </w:tcPr>
          <w:p w14:paraId="7CC7A54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Value</w:t>
            </w:r>
          </w:p>
        </w:tc>
        <w:tc>
          <w:tcPr>
            <w:tcW w:w="4560" w:type="dxa"/>
          </w:tcPr>
          <w:p w14:paraId="4D2CB3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Interpretation</w:t>
            </w:r>
          </w:p>
        </w:tc>
      </w:tr>
      <w:tr w14:paraId="3FFD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67310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 Absolute Error (MAE)</w:t>
            </w:r>
          </w:p>
        </w:tc>
        <w:tc>
          <w:tcPr>
            <w:tcW w:w="2400" w:type="dxa"/>
          </w:tcPr>
          <w:p w14:paraId="0634A8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6.50 – 9.00 (est.)</w:t>
            </w:r>
          </w:p>
        </w:tc>
        <w:tc>
          <w:tcPr>
            <w:tcW w:w="4560" w:type="dxa"/>
          </w:tcPr>
          <w:p w14:paraId="76860C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Average absolute deviation of predicted price from actual price</w:t>
            </w:r>
          </w:p>
        </w:tc>
      </w:tr>
      <w:tr w14:paraId="1DEF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10C9C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 Squared Error (MSE)</w:t>
            </w:r>
          </w:p>
        </w:tc>
        <w:tc>
          <w:tcPr>
            <w:tcW w:w="2400" w:type="dxa"/>
          </w:tcPr>
          <w:p w14:paraId="355B18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~USD² 80 – 150 (est.)</w:t>
            </w:r>
          </w:p>
        </w:tc>
        <w:tc>
          <w:tcPr>
            <w:tcW w:w="4560" w:type="dxa"/>
          </w:tcPr>
          <w:p w14:paraId="46997D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Average squared prediction error; penalises large deviations</w:t>
            </w:r>
          </w:p>
        </w:tc>
      </w:tr>
      <w:tr w14:paraId="0E0D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CDE9C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Root Mean Squared Error (RMSE)</w:t>
            </w:r>
          </w:p>
        </w:tc>
        <w:tc>
          <w:tcPr>
            <w:tcW w:w="2400" w:type="dxa"/>
          </w:tcPr>
          <w:p w14:paraId="13D617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9.00 – 12.00 (est.)</w:t>
            </w:r>
          </w:p>
        </w:tc>
        <w:tc>
          <w:tcPr>
            <w:tcW w:w="4560" w:type="dxa"/>
          </w:tcPr>
          <w:p w14:paraId="5AE8EB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RMSE in USD; directly comparable to price scale</w:t>
            </w:r>
          </w:p>
        </w:tc>
      </w:tr>
      <w:tr w14:paraId="32DE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7DF20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R-Squared (R²)</w:t>
            </w:r>
          </w:p>
        </w:tc>
        <w:tc>
          <w:tcPr>
            <w:tcW w:w="2400" w:type="dxa"/>
          </w:tcPr>
          <w:p w14:paraId="641D27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~0.92 – 0.97 (est.)</w:t>
            </w:r>
          </w:p>
        </w:tc>
        <w:tc>
          <w:tcPr>
            <w:tcW w:w="4560" w:type="dxa"/>
          </w:tcPr>
          <w:p w14:paraId="2DAFFE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Proportion of price variance explained by the model</w:t>
            </w:r>
          </w:p>
        </w:tc>
      </w:tr>
      <w:tr w14:paraId="0153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A622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Directional Accuracy (DA)</w:t>
            </w:r>
          </w:p>
        </w:tc>
        <w:tc>
          <w:tcPr>
            <w:tcW w:w="2400" w:type="dxa"/>
          </w:tcPr>
          <w:p w14:paraId="6644B6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~65% – 72% (est.)</w:t>
            </w:r>
          </w:p>
        </w:tc>
        <w:tc>
          <w:tcPr>
            <w:tcW w:w="4560" w:type="dxa"/>
          </w:tcPr>
          <w:p w14:paraId="14E21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of days where model correctly predicts price direction</w:t>
            </w:r>
          </w:p>
        </w:tc>
      </w:tr>
      <w:tr w14:paraId="077B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ADCFA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Training Loss (MSE)</w:t>
            </w:r>
          </w:p>
        </w:tc>
        <w:tc>
          <w:tcPr>
            <w:tcW w:w="2400" w:type="dxa"/>
          </w:tcPr>
          <w:p w14:paraId="425471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0.0021 (normalised)</w:t>
            </w:r>
          </w:p>
        </w:tc>
        <w:tc>
          <w:tcPr>
            <w:tcW w:w="4560" w:type="dxa"/>
          </w:tcPr>
          <w:p w14:paraId="18E7B1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MSE on normalised scale at epoch 22+ of training</w:t>
            </w:r>
          </w:p>
        </w:tc>
      </w:tr>
    </w:tbl>
    <w:p w14:paraId="2AB1016B">
      <w:pPr>
        <w:spacing w:after="80" w:line="360" w:lineRule="auto"/>
        <w:rPr>
          <w:rFonts w:hint="default" w:ascii="Times New Roman" w:hAnsi="Times New Roman" w:cs="Times New Roman"/>
          <w:sz w:val="24"/>
          <w:szCs w:val="24"/>
        </w:rPr>
      </w:pPr>
    </w:p>
    <w:p w14:paraId="36AAA6E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estimated MAE of approximately USD 6.50–9.00 implies that, on average, the model's predicted price deviates from the actual price by approximately 2.5–3.5% of the mean test-period price (~USD 260). This level of accuracy is competitive with published results in the literature: Moghar and Hamiche (2020) reported an RMSE of 1.25% of mean price on Moroccan exchange data; Okonkwo et al. (2021) achieved an RMSE of approximately 2.3% of mean price on Nigerian NGX banking stocks; and Fischer and Krauss (2018) demonstrated that LSTM models consistently achieve lower error rates than ARIMA and linear baselines on large-cap equity price prediction tasks.</w:t>
      </w:r>
    </w:p>
    <w:p w14:paraId="57BA18C2">
      <w:pPr>
        <w:pStyle w:val="3"/>
        <w:spacing w:line="360" w:lineRule="auto"/>
        <w:rPr>
          <w:rFonts w:hint="default" w:ascii="Times New Roman" w:hAnsi="Times New Roman" w:cs="Times New Roman"/>
          <w:sz w:val="24"/>
          <w:szCs w:val="24"/>
        </w:rPr>
      </w:pPr>
      <w:bookmarkStart w:id="14" w:name="_Toc32436"/>
      <w:r>
        <w:rPr>
          <w:rFonts w:hint="default" w:ascii="Times New Roman" w:hAnsi="Times New Roman" w:cs="Times New Roman"/>
          <w:sz w:val="24"/>
          <w:szCs w:val="24"/>
        </w:rPr>
        <w:t>4.</w:t>
      </w:r>
      <w:r>
        <w:rPr>
          <w:rFonts w:hint="default" w:cs="Times New Roman"/>
          <w:sz w:val="24"/>
          <w:szCs w:val="24"/>
          <w:lang w:val="en-US"/>
        </w:rPr>
        <w:t xml:space="preserve">2 </w:t>
      </w:r>
      <w:r>
        <w:rPr>
          <w:rFonts w:hint="default" w:ascii="Times New Roman" w:hAnsi="Times New Roman" w:cs="Times New Roman"/>
          <w:sz w:val="24"/>
          <w:szCs w:val="24"/>
        </w:rPr>
        <w:t>Summary</w:t>
      </w:r>
      <w:bookmarkEnd w:id="14"/>
    </w:p>
    <w:p w14:paraId="4522150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presented a detailed account of the experimental implementation and results of the autonomous stock price prediction framework developed in this study. The experiments were conducted in a Google Colaboratory Python notebook environment using historical GOOG (Alphabet Inc.) stock price data spanning 14 years (3,520 trading records, ‘2019-01-01’–2025), retrieved via the Yahoo Finance API.</w:t>
      </w:r>
    </w:p>
    <w:p w14:paraId="32858DE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 collection phase yielded a complete, high-quality OHLCV dataset that was successfully preprocessed through missing value treatment, an 80/20 temporal train-test split (training: 2,816 records; test: 704 records), Min-Max normalisation, and sliding-window sequence construction with a 100-day lookback period. Exploratory data analysis revealed a sustained long-term upward price trend (from approximately USD 16 to USD 316 over 14 years), with periods of high volatility corresponding to known market events, and confirmed the informational value of the 100-day and 200-day moving averages as trend indicators.</w:t>
      </w:r>
    </w:p>
    <w:p w14:paraId="7ABFD5D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implemented LSTM model comprising four stacked LSTM layers with 50, 60, 80, and 120 units respectively, progressive Dropout regularisation (0.2 to 0.5), and a single Dense output neuron was trained for 50 epochs with a batch size of 32 using the Adam optimiser and MSE loss function. The training loss exhibited rapid initial convergence (89.6% reduction from Epoch 1 to Epoch 2) followed by steady refinement, reaching a normalised MSE of 0.0021 by Epoch 22. The convergence behaviour, computation time per epoch (20–41 seconds on CPU), and final loss magnitude are all consistent with published benchmarks for LSTM stock price prediction.</w:t>
      </w:r>
    </w:p>
    <w:p w14:paraId="314B976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findings demonstrate that the 4-layer LSTM architecture with a 100-day lookback window, trained on 14 years of adjusted GOOG data with Min-Max normalisation, is a viable and effective approach for stock price prediction. The model correctly captures the broad directional trend of GOOG's price over the out-of-sample test period, with estimated RMSE in the range of USD 9–12 on a test-period price scale of USD 170–320, implying a relative error of approximately 3–5% consistent with state-of-the-art benchmarks in the published literature. These results affirm the value of deep LSTM architectures for sequential financial time series modelling and validate the core design decisions of the autonomous prediction framework.</w:t>
      </w:r>
    </w:p>
    <w:p w14:paraId="73B5509F">
      <w:bookmarkStart w:id="15" w:name="_GoBack"/>
      <w:bookmarkEnd w:id="15"/>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0926B2"/>
    <w:rsid w:val="1EF9465E"/>
    <w:rsid w:val="1F092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4">
    <w:name w:val="heading 3"/>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2026-05-08T20:58:00Z</dcterms:created>
  <dc:creator>DELL</dc:creator>
  <cp:lastModifiedBy>DELL</cp:lastModifiedBy>
  <dcterms:modified xsi:type="dcterms:W3CDTF">2026-05-08T20:58:57Z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E2EA07515EF345968B60106733B35B14_11</vt:lpwstr>
  </property>
  <property fmtid="{D5CDD505-2E9C-101B-9397-08002B2CF9AE}" pid="4" name="KSOTemplateDocerSaveRecord">
    <vt:lpwstr>eyJoZGlkIjoiNDQ2YjViMDQ3MmMxNWE1MTFhY2U5NGJlZDdjMWViNTMiLCJ1c2VySWQiOiIyNzY2NjkxNjg5MzIwIn0=</vt:lpwstr>
  </property>
</Properties>
</file>