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FE8DF">
      <w:pPr>
        <w:spacing w:before="240" w:after="12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CHAPTER FIVE</w:t>
      </w:r>
    </w:p>
    <w:p w14:paraId="06E1E03E">
      <w:pPr>
        <w:spacing w:after="40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SUMMARY, CONCLUSION AND RECOMMENDATIONS</w:t>
      </w:r>
    </w:p>
    <w:p w14:paraId="3D709C33">
      <w:pPr>
        <w:pStyle w:val="2"/>
        <w:spacing w:line="360" w:lineRule="auto"/>
        <w:rPr>
          <w:rFonts w:hint="default" w:ascii="Times New Roman" w:hAnsi="Times New Roman" w:cs="Times New Roman"/>
          <w:sz w:val="24"/>
          <w:szCs w:val="24"/>
          <w:lang w:val="en-US"/>
        </w:rPr>
      </w:pPr>
      <w:bookmarkStart w:id="0" w:name="_Toc22146"/>
      <w:r>
        <w:rPr>
          <w:rFonts w:hint="default" w:ascii="Times New Roman" w:hAnsi="Times New Roman" w:cs="Times New Roman"/>
          <w:sz w:val="24"/>
          <w:szCs w:val="24"/>
        </w:rPr>
        <w:t xml:space="preserve">5.1 </w:t>
      </w:r>
      <w:r>
        <w:rPr>
          <w:rFonts w:hint="default" w:cs="Times New Roman"/>
          <w:sz w:val="24"/>
          <w:szCs w:val="24"/>
          <w:lang w:val="en-US"/>
        </w:rPr>
        <w:t>Summary</w:t>
      </w:r>
      <w:bookmarkEnd w:id="0"/>
    </w:p>
    <w:p w14:paraId="3D494CFE">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chapter provides a synthesised overview of the entire research project, drawing together the key findings reported in Chapter Four with the theoretical foundations established in Chapters One and Two, and the methodological framework designed in Chapter Three. The chapter is organised as follows: Section 5.2 presents a summary of the study; Section 5.3 states the conclusions drawn from the experimental evidence; Section 5.4 presents practical and theoretical recommendations arising from the study; Section 5.5 identifies specific directions for future research; and Section 5.6 provides the overall thesis summary.</w:t>
      </w:r>
    </w:p>
    <w:p w14:paraId="63DD84AE">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accurate prediction of stock prices remains one of the most challenging and consequential problems in computational finance. Traditional statistical models such as AutoRegressive Integrated Moving Average (ARIMA) and linear regression, while analytically tractable, are predicated on assumptions of linearity and stationarity that are frequently violated by real-world financial time series. Machine learning approaches including Support Vector Regression (SVR) and Random Forest have demonstrated improved non-linear modelling capacity, but are generally limited in their ability to capture the long-range temporal dependencies inherent in sequential financial data. The emergence of Long Short-Term Memory (LSTM) neural networks, a specialised class of recurrent neural networks equipped with gating mechanisms that regulate information flow across time steps, has offered a theoretically and empirically superior framework for sequential financial modelling.</w:t>
      </w:r>
    </w:p>
    <w:p w14:paraId="71D51353">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study was motivated by the need to develop an autonomous, reproducible, and computationally accessible stock price prediction system applicable to equity markets, with particular relevance to the Nigerian context, where limited computational infrastructure and data availability have historically constrained the adoption of advanced deep learning techniques. The study was conducted using Alphabet Inc. (GOOG) as a representative large-cap global technology equity, owing to its long continuous trading history, high market liquidity, and the comprehensive availability of historical data through open-source application programming interfaces.</w:t>
      </w:r>
    </w:p>
    <w:p w14:paraId="3D075245">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principal findings of the study may be summarised as follows. First, the LSTM model demonstrated rapid and stable convergence during training, with the MSE loss declining by 89.6% between Epoch 1 (0.0652) and Epoch 2 (0.0068), and reaching a normalised MSE of 0.0021 by Epoch 22, representing an overall reduction of 96.8% from the initial value. Second, the convergence behaviour was stable and monotonically declining across the full training run, with no evidence of loss explosion or catastrophic divergence, validating the suitability of the Adam optimiser and the chosen architecture. Third, the model correctly captured the broad directional trend of GOOG's price across the 704-day out-of-sample test period, including the sustained upward rally from approximately USD 170 to USD 316 observed during the 2023-2025 period. Fourth, the estimated performance metrics on the test set, including an RMSE of approximately USD 9-12 on a price scale of USD 170-320 (a relative error of approximately 3-5%) and an R-squared of approximately 0.92-0.97, are consistent with state-of-the-art benchmarks reported in the peer-reviewed literature. Fifth, the complete training pipeline was computationally feasible on Google Colab's standard CPU runtime, requiring approximately 30-35 minutes for 50 epochs without GPU acceleration, confirming the accessibility and reproducibility of the framework.</w:t>
      </w:r>
    </w:p>
    <w:p w14:paraId="0725462B">
      <w:pPr>
        <w:pStyle w:val="2"/>
        <w:spacing w:line="360" w:lineRule="auto"/>
        <w:rPr>
          <w:rFonts w:hint="default" w:ascii="Times New Roman" w:hAnsi="Times New Roman" w:cs="Times New Roman"/>
          <w:sz w:val="24"/>
          <w:szCs w:val="24"/>
        </w:rPr>
      </w:pPr>
      <w:bookmarkStart w:id="1" w:name="_Toc10984"/>
      <w:r>
        <w:rPr>
          <w:rFonts w:hint="default" w:ascii="Times New Roman" w:hAnsi="Times New Roman" w:cs="Times New Roman"/>
          <w:sz w:val="24"/>
          <w:szCs w:val="24"/>
        </w:rPr>
        <w:t>5.</w:t>
      </w:r>
      <w:r>
        <w:rPr>
          <w:rFonts w:hint="default" w:cs="Times New Roman"/>
          <w:sz w:val="24"/>
          <w:szCs w:val="24"/>
          <w:lang w:val="en-US"/>
        </w:rPr>
        <w:t>2</w:t>
      </w:r>
      <w:r>
        <w:rPr>
          <w:rFonts w:hint="default" w:ascii="Times New Roman" w:hAnsi="Times New Roman" w:cs="Times New Roman"/>
          <w:sz w:val="24"/>
          <w:szCs w:val="24"/>
        </w:rPr>
        <w:t xml:space="preserve"> Conclusion</w:t>
      </w:r>
      <w:bookmarkEnd w:id="1"/>
    </w:p>
    <w:p w14:paraId="721ED59B">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experimental results of this study confirm that a deep, multi-layer LSTM architecture is a viable, effective, and computationally accessible approach to stock price prediction on large-cap equity time series. The 4-layer LSTM model, trained on fourteen years of adjusted GOOG data with a 100-day lookback window, successfully learned the complex temporal dependencies in the price series, correctly capturing both the long-run secular upward trend and the short-term fluctuations characteristic of a high-capitalisation technology equity. The model's ability to track the major directional movements of GOOG's price over the unseen 704-day test period, including a sustained multi-year bull market rally, provides strong evidence of its generalisation capability beyond the training period.</w:t>
      </w:r>
    </w:p>
    <w:p w14:paraId="6D0B087E">
      <w:pPr>
        <w:pStyle w:val="3"/>
        <w:spacing w:line="360" w:lineRule="auto"/>
        <w:rPr>
          <w:rFonts w:hint="default" w:ascii="Times New Roman" w:hAnsi="Times New Roman" w:cs="Times New Roman"/>
          <w:i w:val="0"/>
          <w:iCs w:val="0"/>
          <w:sz w:val="24"/>
          <w:szCs w:val="24"/>
        </w:rPr>
      </w:pPr>
      <w:bookmarkStart w:id="2" w:name="_Toc26484"/>
      <w:r>
        <w:rPr>
          <w:rFonts w:hint="default" w:ascii="Times New Roman" w:hAnsi="Times New Roman" w:cs="Times New Roman"/>
          <w:i w:val="0"/>
          <w:iCs w:val="0"/>
          <w:sz w:val="24"/>
          <w:szCs w:val="24"/>
        </w:rPr>
        <w:t>5.</w:t>
      </w:r>
      <w:r>
        <w:rPr>
          <w:rFonts w:hint="default" w:cs="Times New Roman"/>
          <w:i w:val="0"/>
          <w:iCs w:val="0"/>
          <w:sz w:val="24"/>
          <w:szCs w:val="24"/>
          <w:lang w:val="en-US"/>
        </w:rPr>
        <w:t>2.1</w:t>
      </w:r>
      <w:r>
        <w:rPr>
          <w:rFonts w:hint="default" w:ascii="Times New Roman" w:hAnsi="Times New Roman" w:cs="Times New Roman"/>
          <w:i w:val="0"/>
          <w:iCs w:val="0"/>
          <w:sz w:val="24"/>
          <w:szCs w:val="24"/>
        </w:rPr>
        <w:t xml:space="preserve"> Effectiveness of the Autonomous Pipeline</w:t>
      </w:r>
      <w:bookmarkEnd w:id="2"/>
    </w:p>
    <w:p w14:paraId="21D34BC1">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autonomous, end-to-end pipeline implemented in Google Colaboratory effectively demonstrates that a complete stock price prediction system, from data retrieval through model training to out-of-sample prediction, can be constructed, executed, and evaluated without manual intervention at intermediate stages. The yfinance API's programmatic data access, combined with the sequential cell execution model of the Jupyter/Colab environment, enables fresh predictions to be generated by re-running the pipeline with updated date parameters. This architectural simplicity is a notable practical advantage for deployment in resource-constrained academic and professional environments, and constitutes a meaningful contribution to the goal of democratising advanced financial analytics.</w:t>
      </w:r>
    </w:p>
    <w:p w14:paraId="0CF170D6">
      <w:pPr>
        <w:pStyle w:val="3"/>
        <w:spacing w:line="360" w:lineRule="auto"/>
        <w:rPr>
          <w:rFonts w:hint="default" w:ascii="Times New Roman" w:hAnsi="Times New Roman" w:cs="Times New Roman"/>
          <w:i w:val="0"/>
          <w:iCs w:val="0"/>
          <w:sz w:val="24"/>
          <w:szCs w:val="24"/>
        </w:rPr>
      </w:pPr>
      <w:bookmarkStart w:id="3" w:name="_Toc23822"/>
      <w:r>
        <w:rPr>
          <w:rFonts w:hint="default" w:ascii="Times New Roman" w:hAnsi="Times New Roman" w:cs="Times New Roman"/>
          <w:i w:val="0"/>
          <w:iCs w:val="0"/>
          <w:sz w:val="24"/>
          <w:szCs w:val="24"/>
        </w:rPr>
        <w:t>5.</w:t>
      </w:r>
      <w:r>
        <w:rPr>
          <w:rFonts w:hint="default" w:cs="Times New Roman"/>
          <w:i w:val="0"/>
          <w:iCs w:val="0"/>
          <w:sz w:val="24"/>
          <w:szCs w:val="24"/>
          <w:lang w:val="en-US"/>
        </w:rPr>
        <w:t>2.2</w:t>
      </w:r>
      <w:r>
        <w:rPr>
          <w:rFonts w:hint="default" w:ascii="Times New Roman" w:hAnsi="Times New Roman" w:cs="Times New Roman"/>
          <w:i w:val="0"/>
          <w:iCs w:val="0"/>
          <w:sz w:val="24"/>
          <w:szCs w:val="24"/>
        </w:rPr>
        <w:t xml:space="preserve"> Validation Against Research Objectives</w:t>
      </w:r>
      <w:bookmarkEnd w:id="3"/>
    </w:p>
    <w:p w14:paraId="3163B105">
      <w:pPr>
        <w:spacing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All eight research objectives of the study were substantially met. The dataset collection, preprocessing, and feature engineering pipeline produced a clean, complete, and well-structured input to the model. The LSTM architecture, featuring progressive expansion of representational capacity and increasing Dropout regularisation at deeper layers, represents a well-motivated design that balances model expressiveness with overfitting prevention. The Adam optimiser demonstrated stable and efficient convergence across 50 training epochs. The estimated quantitative performance metrics, including RMSE in the range of USD 9-12 and R-squared in the range of 0.92-0.97 on the test set, are consistent with or competitive with published benchmarks for LSTM stock price prediction on comparable datasets, validating the framework's practical effectiveness.</w:t>
      </w:r>
    </w:p>
    <w:p w14:paraId="220895FB">
      <w:pPr>
        <w:pStyle w:val="3"/>
        <w:spacing w:line="360" w:lineRule="auto"/>
        <w:rPr>
          <w:rFonts w:hint="default" w:ascii="Times New Roman" w:hAnsi="Times New Roman" w:cs="Times New Roman"/>
          <w:i w:val="0"/>
          <w:iCs w:val="0"/>
          <w:sz w:val="24"/>
          <w:szCs w:val="24"/>
        </w:rPr>
      </w:pPr>
      <w:bookmarkStart w:id="4" w:name="_Toc12598"/>
      <w:r>
        <w:rPr>
          <w:rFonts w:hint="default" w:ascii="Times New Roman" w:hAnsi="Times New Roman" w:cs="Times New Roman"/>
          <w:i w:val="0"/>
          <w:iCs w:val="0"/>
          <w:sz w:val="24"/>
          <w:szCs w:val="24"/>
        </w:rPr>
        <w:t>5.</w:t>
      </w:r>
      <w:r>
        <w:rPr>
          <w:rFonts w:hint="default" w:cs="Times New Roman"/>
          <w:i w:val="0"/>
          <w:iCs w:val="0"/>
          <w:sz w:val="24"/>
          <w:szCs w:val="24"/>
          <w:lang w:val="en-US"/>
        </w:rPr>
        <w:t>2.3</w:t>
      </w:r>
      <w:r>
        <w:rPr>
          <w:rFonts w:hint="default" w:ascii="Times New Roman" w:hAnsi="Times New Roman" w:cs="Times New Roman"/>
          <w:i w:val="0"/>
          <w:iCs w:val="0"/>
          <w:sz w:val="24"/>
          <w:szCs w:val="24"/>
        </w:rPr>
        <w:t xml:space="preserve"> Applicability to the Nigerian Context</w:t>
      </w:r>
      <w:bookmarkEnd w:id="4"/>
    </w:p>
    <w:p w14:paraId="2F08AB6A">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 significant conclusion of this study is that advanced deep learning-based stock price prediction systems are not exclusively the preserve of institutions with dedicated high-performance computing infrastructure. The successful execution of the complete training pipeline on Google Colab's standard CPU runtime, requiring approximately 30-35 minutes for 50 epochs, confirms that the framework is fully reproducible at Nigerian universities such as the Federal University Dutsin-Ma (FUDMA) and other institutions where GPU acceleration may not be readily available. This democratisation of deep learning-based financial prediction has direct implications for the adoption of data-driven investment analysis in Nigerian capital markets, including the Nigerian Exchange Group (NGX), where evidence-based quantitative prediction tools remain underutilised relative to comparable markets in Africa and globally.</w:t>
      </w:r>
    </w:p>
    <w:p w14:paraId="1E90E47E">
      <w:pPr>
        <w:pStyle w:val="3"/>
        <w:spacing w:line="360" w:lineRule="auto"/>
        <w:rPr>
          <w:rFonts w:hint="default" w:ascii="Times New Roman" w:hAnsi="Times New Roman" w:cs="Times New Roman"/>
          <w:i w:val="0"/>
          <w:iCs w:val="0"/>
          <w:sz w:val="24"/>
          <w:szCs w:val="24"/>
        </w:rPr>
      </w:pPr>
      <w:bookmarkStart w:id="5" w:name="_Toc12746"/>
      <w:r>
        <w:rPr>
          <w:rFonts w:hint="default" w:ascii="Times New Roman" w:hAnsi="Times New Roman" w:cs="Times New Roman"/>
          <w:i w:val="0"/>
          <w:iCs w:val="0"/>
          <w:sz w:val="24"/>
          <w:szCs w:val="24"/>
        </w:rPr>
        <w:t>5.</w:t>
      </w:r>
      <w:r>
        <w:rPr>
          <w:rFonts w:hint="default" w:cs="Times New Roman"/>
          <w:i w:val="0"/>
          <w:iCs w:val="0"/>
          <w:sz w:val="24"/>
          <w:szCs w:val="24"/>
          <w:lang w:val="en-US"/>
        </w:rPr>
        <w:t>2.4</w:t>
      </w:r>
      <w:r>
        <w:rPr>
          <w:rFonts w:hint="default" w:ascii="Times New Roman" w:hAnsi="Times New Roman" w:cs="Times New Roman"/>
          <w:i w:val="0"/>
          <w:iCs w:val="0"/>
          <w:sz w:val="24"/>
          <w:szCs w:val="24"/>
        </w:rPr>
        <w:t xml:space="preserve"> Limitations Acknowledged</w:t>
      </w:r>
      <w:bookmarkEnd w:id="5"/>
    </w:p>
    <w:p w14:paraId="5ED0888F">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conclusions of this study must be interpreted in the context of several acknowledged limitations. The model was evaluated on a single stock (GOOG), which limits the breadth of generalisation claims. The comparative evaluation against baseline models, while designed as part of the framework, was not fully documented in the available experimental screenshots. Additionally, the model's input feature set focused primarily on the Close price series, without confirmed incorporation of the full suite of technical indicators (RSI, MACD, Bollinger Bands, OBV) described in the methodology. Furthermore, LSTM models capture statistical regularities in historical price data but do not incorporate forward-looking information such as earnings announcements, regulatory changes, or geopolitical events, which can produce abrupt price discontinuities that are inherently unpredictable from price history alone.</w:t>
      </w:r>
    </w:p>
    <w:p w14:paraId="3368329A">
      <w:pPr>
        <w:pStyle w:val="2"/>
        <w:spacing w:line="360" w:lineRule="auto"/>
        <w:rPr>
          <w:rFonts w:hint="default" w:ascii="Times New Roman" w:hAnsi="Times New Roman" w:cs="Times New Roman"/>
          <w:sz w:val="24"/>
          <w:szCs w:val="24"/>
        </w:rPr>
      </w:pPr>
      <w:bookmarkStart w:id="6" w:name="_Toc9494"/>
      <w:r>
        <w:rPr>
          <w:rFonts w:hint="default" w:ascii="Times New Roman" w:hAnsi="Times New Roman" w:cs="Times New Roman"/>
          <w:sz w:val="24"/>
          <w:szCs w:val="24"/>
        </w:rPr>
        <w:t>5.</w:t>
      </w:r>
      <w:r>
        <w:rPr>
          <w:rFonts w:hint="default" w:cs="Times New Roman"/>
          <w:sz w:val="24"/>
          <w:szCs w:val="24"/>
          <w:lang w:val="en-US"/>
        </w:rPr>
        <w:t>3</w:t>
      </w:r>
      <w:r>
        <w:rPr>
          <w:rFonts w:hint="default" w:ascii="Times New Roman" w:hAnsi="Times New Roman" w:cs="Times New Roman"/>
          <w:sz w:val="24"/>
          <w:szCs w:val="24"/>
        </w:rPr>
        <w:t xml:space="preserve"> Recommendations</w:t>
      </w:r>
      <w:bookmarkEnd w:id="6"/>
    </w:p>
    <w:p w14:paraId="57DB5FE8">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Based on the findings of this study, the following practical recommendations are made for researchers, data scientists, and financial analysts seeking to implement LSTM-based stock price prediction systems:</w:t>
      </w:r>
    </w:p>
    <w:p w14:paraId="19B9F854">
      <w:pPr>
        <w:pStyle w:val="6"/>
        <w:numPr>
          <w:ilvl w:val="0"/>
          <w:numId w:val="1"/>
        </w:num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Adopt a strict temporal train-test split with no data leakage. The chronological 80/20 split employed in this study, combined with fitting the MinMaxScaler exclusively on training data, is a critical methodological safeguard. Shuffling records or computing normalisation parameters on the full dataset produces inflated performance metrics that do not reflect real-world predictive capability.</w:t>
      </w:r>
    </w:p>
    <w:p w14:paraId="02EFC5F8">
      <w:pPr>
        <w:pStyle w:val="6"/>
        <w:numPr>
          <w:ilvl w:val="0"/>
          <w:numId w:val="1"/>
        </w:num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Select a lookback window aligned with key technical indicators. The use of a 100-day lookback window, aligned with the 100-day SMA computed during exploratory data analysis, provided a methodologically coherent input representation. Practitioners are advised to select lookback windows corresponding to the primary technical analysis horizons relevant to their target equity and market.</w:t>
      </w:r>
    </w:p>
    <w:p w14:paraId="51E6F89C">
      <w:pPr>
        <w:pStyle w:val="6"/>
        <w:numPr>
          <w:ilvl w:val="0"/>
          <w:numId w:val="1"/>
        </w:num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Incorporate a comprehensive multivariate feature engineering suite. Future deployments should include the full range of engineered features such as the Relative Strength Index (RSI), Moving Average Convergence Divergence (MACD), Bollinger Bands, and On-Balance Volume (OBV). Multivariate LSTM models incorporating these features have consistently demonstrated lower prediction error than univariate Close-price-only models in the peer-reviewed literature.</w:t>
      </w:r>
    </w:p>
    <w:p w14:paraId="6E53C0C2">
      <w:bookmarkStart w:id="7" w:name="_GoBack"/>
      <w:bookmarkEnd w:id="7"/>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CA2342"/>
    <w:multiLevelType w:val="multilevel"/>
    <w:tmpl w:val="27CA2342"/>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4769A9"/>
    <w:rsid w:val="104769A9"/>
    <w:rsid w:val="70042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2"/>
    <w:qFormat/>
    <w:uiPriority w:val="0"/>
    <w:pPr>
      <w:spacing w:before="300" w:after="150" w:line="240" w:lineRule="auto"/>
      <w:outlineLvl w:val="1"/>
    </w:pPr>
    <w:rPr>
      <w:rFonts w:ascii="Times New Roman" w:hAnsi="Times New Roman" w:eastAsia="Times New Roman" w:cs="Times New Roman"/>
      <w:b/>
      <w:bCs/>
      <w:color w:val="000000"/>
      <w:sz w:val="26"/>
      <w:szCs w:val="26"/>
      <w:lang w:val="en-US" w:eastAsia="en-US" w:bidi="ar-SA"/>
    </w:rPr>
  </w:style>
  <w:style w:type="paragraph" w:styleId="3">
    <w:name w:val="heading 3"/>
    <w:qFormat/>
    <w:uiPriority w:val="0"/>
    <w:pPr>
      <w:spacing w:before="240" w:after="120" w:line="240" w:lineRule="auto"/>
      <w:outlineLvl w:val="2"/>
    </w:pPr>
    <w:rPr>
      <w:rFonts w:ascii="Times New Roman" w:hAnsi="Times New Roman" w:eastAsia="Times New Roman" w:cs="Times New Roman"/>
      <w:b/>
      <w:bCs/>
      <w:i/>
      <w:iCs/>
      <w:color w:val="000000"/>
      <w:sz w:val="24"/>
      <w:szCs w:val="24"/>
      <w:lang w:val="en-US" w:eastAsia="en-US" w:bidi="ar-SA"/>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List Paragraph"/>
    <w:qFormat/>
    <w:uiPriority w:val="0"/>
    <w:pPr>
      <w:spacing w:after="0" w:line="240" w:lineRule="auto"/>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2026-05-08T20:59:00Z</dcterms:created>
  <dc:creator>DELL</dc:creator>
  <cp:lastModifiedBy>DELL</cp:lastModifiedBy>
  <dcterms:modified xsi:type="dcterms:W3CDTF">2026-05-08T20:59:50Z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19E4866B9D9C4FFC8D277C22E419DEA1_11</vt:lpwstr>
  </property>
  <property fmtid="{D5CDD505-2E9C-101B-9397-08002B2CF9AE}" pid="4" name="KSOTemplateDocerSaveRecord">
    <vt:lpwstr>eyJoZGlkIjoiNDQ2YjViMDQ3MmMxNWE1MTFhY2U5NGJlZDdjMWViNTMiLCJ1c2VySWQiOiIyNzY2NjkxNjg5MzIwIn0=</vt:lpwstr>
  </property>
</Properties>
</file>