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852" w:rsidRDefault="0083221F" w:rsidP="00AF4701">
      <w:pPr>
        <w:pStyle w:val="Heading1"/>
        <w:jc w:val="center"/>
      </w:pPr>
      <w:r>
        <w:t>CHAPTER FOUR</w:t>
      </w:r>
    </w:p>
    <w:p w:rsidR="00774852" w:rsidRDefault="0083221F" w:rsidP="00AF4701">
      <w:pPr>
        <w:pStyle w:val="Heading1"/>
        <w:jc w:val="center"/>
      </w:pPr>
      <w:r>
        <w:t>RESULTS AND DISCUSSION</w:t>
      </w:r>
    </w:p>
    <w:p w:rsidR="00774852" w:rsidRDefault="0083221F">
      <w:pPr>
        <w:pStyle w:val="Heading2"/>
      </w:pPr>
      <w:r>
        <w:t>4.1 Introduction</w:t>
      </w:r>
    </w:p>
    <w:p w:rsidR="00774852" w:rsidRDefault="0083221F">
      <w:pPr>
        <w:spacing w:after="160" w:line="360" w:lineRule="auto"/>
        <w:ind w:firstLine="720"/>
        <w:jc w:val="both"/>
      </w:pPr>
      <w:r>
        <w:t xml:space="preserve">This chapter presents a comprehensive account of the experimental results obtained from the implementation and execution of the autonomous stock price prediction framework described in Chapter Three. The experiments were conducted on Google </w:t>
      </w:r>
      <w:proofErr w:type="spellStart"/>
      <w:r>
        <w:t>Colaboratory</w:t>
      </w:r>
      <w:proofErr w:type="spellEnd"/>
      <w:r>
        <w:t xml:space="preserve"> (Google </w:t>
      </w:r>
      <w:proofErr w:type="spellStart"/>
      <w:r>
        <w:t>Colab</w:t>
      </w:r>
      <w:proofErr w:type="spellEnd"/>
      <w:r>
        <w:t xml:space="preserve">), a cloud-based interactive Python notebook environment provided by Google, which offers access to CPU-based computing resources suitable for machine learning and deep learning experiments. The notebook, titled 'Stock Market </w:t>
      </w:r>
      <w:proofErr w:type="spellStart"/>
      <w:r>
        <w:t>Prediction.ipynb</w:t>
      </w:r>
      <w:proofErr w:type="spellEnd"/>
      <w:r>
        <w:t>', was executed in its entirety using the Python 3 runtime.</w:t>
      </w:r>
    </w:p>
    <w:p w:rsidR="00774852" w:rsidRDefault="0083221F">
      <w:pPr>
        <w:spacing w:after="160" w:line="360" w:lineRule="auto"/>
        <w:ind w:firstLine="720"/>
        <w:jc w:val="both"/>
      </w:pPr>
      <w:r>
        <w:t xml:space="preserve">The chapter is </w:t>
      </w:r>
      <w:proofErr w:type="spellStart"/>
      <w:r>
        <w:t>organised</w:t>
      </w:r>
      <w:proofErr w:type="spellEnd"/>
      <w:r>
        <w:t xml:space="preserve"> as follows: Section 4.2 presents the results of data collection and exploratory data analysis; Section 4.3 discusses the data preprocessing and feature engineering outcomes; Section 4.4 presents the LSTM model architecture as implemented; Section 4.5 documents the LSTM training process and convergence </w:t>
      </w:r>
      <w:proofErr w:type="spellStart"/>
      <w:r>
        <w:t>behaviour</w:t>
      </w:r>
      <w:proofErr w:type="spellEnd"/>
      <w:r>
        <w:t>; Section 4.6 presents the model evaluation results and performance metrics; Section 4.7 discusses the implications of the findings in relation to the research objectives and related literature; and Section 4.8 presents the summary of the chapter.</w:t>
      </w:r>
    </w:p>
    <w:p w:rsidR="00774852" w:rsidRDefault="0083221F">
      <w:pPr>
        <w:pStyle w:val="Heading2"/>
      </w:pPr>
      <w:r>
        <w:t>4.2 Data Collection and Exploratory Data Analysis</w:t>
      </w:r>
    </w:p>
    <w:p w:rsidR="00774852" w:rsidRDefault="0083221F">
      <w:pPr>
        <w:pStyle w:val="Heading3"/>
      </w:pPr>
      <w:r>
        <w:t>4.2.1 Dataset Overview</w:t>
      </w:r>
    </w:p>
    <w:p w:rsidR="00774852" w:rsidRDefault="0083221F">
      <w:pPr>
        <w:spacing w:after="160" w:line="360" w:lineRule="auto"/>
        <w:ind w:firstLine="720"/>
        <w:jc w:val="both"/>
      </w:pPr>
      <w:r>
        <w:t xml:space="preserve">Historical stock price data for Alphabet Inc. (ticker: GOOG) was successfully retrieved using the </w:t>
      </w:r>
      <w:proofErr w:type="spellStart"/>
      <w:r>
        <w:t>yfinance</w:t>
      </w:r>
      <w:proofErr w:type="spellEnd"/>
      <w:r>
        <w:t xml:space="preserve"> library, which interfaces with the Yahoo Finance API. The data collection parameters were configured as follows: start date = </w:t>
      </w:r>
      <w:r w:rsidR="00E32ED7">
        <w:t>‘2019-01-01’</w:t>
      </w:r>
      <w:r>
        <w:t>, end date = '2026-01-01', and stock ticker = 'GOOG'. The choice of GOOG (Alphabet Inc., the parent company of Google) is well-justified by its status as one of the largest and most liquid technology equities globally, its continuous trading history since 2004, and the availability of a long historical record that provides the LSTM model with sufficient training data to learn temporal dependencies.</w:t>
      </w:r>
    </w:p>
    <w:p w:rsidR="00774852" w:rsidRDefault="0083221F">
      <w:pPr>
        <w:spacing w:after="160" w:line="360" w:lineRule="auto"/>
        <w:ind w:firstLine="720"/>
        <w:jc w:val="both"/>
      </w:pPr>
      <w:r>
        <w:lastRenderedPageBreak/>
        <w:t xml:space="preserve">The </w:t>
      </w:r>
      <w:proofErr w:type="spellStart"/>
      <w:r>
        <w:t>yfinance</w:t>
      </w:r>
      <w:proofErr w:type="spellEnd"/>
      <w:r>
        <w:t xml:space="preserve"> API returned a dataset containing 3,520 trading day records, spanning from 3 January </w:t>
      </w:r>
      <w:bookmarkStart w:id="0" w:name="_GoBack"/>
      <w:r w:rsidR="00E32ED7">
        <w:t>‘2019-01-01’</w:t>
      </w:r>
      <w:bookmarkEnd w:id="0"/>
      <w:r>
        <w:t xml:space="preserve"> to 31 December 2025</w:t>
      </w:r>
      <w:r w:rsidR="008B74AA">
        <w:t xml:space="preserve"> </w:t>
      </w:r>
      <w:r>
        <w:t xml:space="preserve">a period of approximately 14 years. The raw dataset included six primary columns: Date, Close, High, Low, Open, and Volume. The </w:t>
      </w:r>
      <w:proofErr w:type="spellStart"/>
      <w:r>
        <w:t>auto_adjust</w:t>
      </w:r>
      <w:proofErr w:type="spellEnd"/>
      <w:r>
        <w:t xml:space="preserve"> parameter was set to True by default, meaning that the retrieved Close prices are split- and dividend-adjusted, ensuring historical comparability across the entire data range. A </w:t>
      </w:r>
      <w:proofErr w:type="spellStart"/>
      <w:r>
        <w:t>FutureWarning</w:t>
      </w:r>
      <w:proofErr w:type="spellEnd"/>
      <w:r>
        <w:t xml:space="preserve"> regarding this default parameter was observed during execution but did not affect data integrity or model performance.</w:t>
      </w:r>
    </w:p>
    <w:p w:rsidR="00774852" w:rsidRDefault="0083221F">
      <w:pPr>
        <w:spacing w:before="100" w:after="100"/>
        <w:jc w:val="center"/>
      </w:pPr>
      <w:r>
        <w:rPr>
          <w:b/>
          <w:bCs/>
        </w:rPr>
        <w:t xml:space="preserve">Table 4.1: Dataset Summary Statistics (GOOG, </w:t>
      </w:r>
      <w:r w:rsidR="00E32ED7">
        <w:rPr>
          <w:b/>
          <w:bCs/>
        </w:rPr>
        <w:t>‘2019-01-01’</w:t>
      </w:r>
      <w:r>
        <w:rPr>
          <w:b/>
          <w:bCs/>
        </w:rPr>
        <w:t>–2025)</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600"/>
        <w:gridCol w:w="5760"/>
      </w:tblGrid>
      <w:tr w:rsidR="00774852" w:rsidTr="00934264">
        <w:tc>
          <w:tcPr>
            <w:tcW w:w="3600" w:type="dxa"/>
            <w:tcBorders>
              <w:top w:val="single" w:sz="4" w:space="0" w:color="auto"/>
              <w:bottom w:val="single" w:sz="4" w:space="0" w:color="auto"/>
            </w:tcBorders>
          </w:tcPr>
          <w:p w:rsidR="00774852" w:rsidRDefault="0083221F">
            <w:r>
              <w:rPr>
                <w:b/>
                <w:bCs/>
                <w:sz w:val="20"/>
                <w:szCs w:val="20"/>
              </w:rPr>
              <w:t>Parameter</w:t>
            </w:r>
          </w:p>
        </w:tc>
        <w:tc>
          <w:tcPr>
            <w:tcW w:w="5760" w:type="dxa"/>
            <w:tcBorders>
              <w:top w:val="single" w:sz="4" w:space="0" w:color="auto"/>
              <w:bottom w:val="single" w:sz="4" w:space="0" w:color="auto"/>
            </w:tcBorders>
          </w:tcPr>
          <w:p w:rsidR="00774852" w:rsidRDefault="0083221F">
            <w:r>
              <w:rPr>
                <w:b/>
                <w:bCs/>
                <w:sz w:val="20"/>
                <w:szCs w:val="20"/>
              </w:rPr>
              <w:t>Value</w:t>
            </w:r>
          </w:p>
        </w:tc>
      </w:tr>
      <w:tr w:rsidR="00774852" w:rsidTr="00934264">
        <w:tc>
          <w:tcPr>
            <w:tcW w:w="3600" w:type="dxa"/>
            <w:tcBorders>
              <w:top w:val="single" w:sz="4" w:space="0" w:color="auto"/>
            </w:tcBorders>
          </w:tcPr>
          <w:p w:rsidR="00774852" w:rsidRDefault="0083221F">
            <w:r>
              <w:rPr>
                <w:sz w:val="20"/>
                <w:szCs w:val="20"/>
              </w:rPr>
              <w:t>Ticker Symbol</w:t>
            </w:r>
          </w:p>
        </w:tc>
        <w:tc>
          <w:tcPr>
            <w:tcW w:w="5760" w:type="dxa"/>
            <w:tcBorders>
              <w:top w:val="single" w:sz="4" w:space="0" w:color="auto"/>
            </w:tcBorders>
          </w:tcPr>
          <w:p w:rsidR="00774852" w:rsidRDefault="0083221F">
            <w:r>
              <w:rPr>
                <w:sz w:val="20"/>
                <w:szCs w:val="20"/>
              </w:rPr>
              <w:t>GOOG (Alphabet Inc.)</w:t>
            </w:r>
          </w:p>
        </w:tc>
      </w:tr>
      <w:tr w:rsidR="00774852" w:rsidTr="00934264">
        <w:tc>
          <w:tcPr>
            <w:tcW w:w="3600" w:type="dxa"/>
          </w:tcPr>
          <w:p w:rsidR="00774852" w:rsidRDefault="0083221F">
            <w:r>
              <w:rPr>
                <w:sz w:val="20"/>
                <w:szCs w:val="20"/>
              </w:rPr>
              <w:t>Data Source</w:t>
            </w:r>
          </w:p>
        </w:tc>
        <w:tc>
          <w:tcPr>
            <w:tcW w:w="5760" w:type="dxa"/>
          </w:tcPr>
          <w:p w:rsidR="00774852" w:rsidRDefault="0083221F">
            <w:r>
              <w:rPr>
                <w:sz w:val="20"/>
                <w:szCs w:val="20"/>
              </w:rPr>
              <w:t xml:space="preserve">Yahoo Finance API (via </w:t>
            </w:r>
            <w:proofErr w:type="spellStart"/>
            <w:r>
              <w:rPr>
                <w:sz w:val="20"/>
                <w:szCs w:val="20"/>
              </w:rPr>
              <w:t>yfinance</w:t>
            </w:r>
            <w:proofErr w:type="spellEnd"/>
            <w:r>
              <w:rPr>
                <w:sz w:val="20"/>
                <w:szCs w:val="20"/>
              </w:rPr>
              <w:t>)</w:t>
            </w:r>
          </w:p>
        </w:tc>
      </w:tr>
      <w:tr w:rsidR="00774852" w:rsidTr="00934264">
        <w:tc>
          <w:tcPr>
            <w:tcW w:w="3600" w:type="dxa"/>
          </w:tcPr>
          <w:p w:rsidR="00774852" w:rsidRDefault="0083221F">
            <w:r>
              <w:rPr>
                <w:sz w:val="20"/>
                <w:szCs w:val="20"/>
              </w:rPr>
              <w:t>Start Date</w:t>
            </w:r>
          </w:p>
        </w:tc>
        <w:tc>
          <w:tcPr>
            <w:tcW w:w="5760" w:type="dxa"/>
          </w:tcPr>
          <w:p w:rsidR="00774852" w:rsidRDefault="00E32ED7">
            <w:r>
              <w:rPr>
                <w:sz w:val="20"/>
                <w:szCs w:val="20"/>
              </w:rPr>
              <w:t>‘2019-01-01’</w:t>
            </w:r>
            <w:r w:rsidR="0083221F">
              <w:rPr>
                <w:sz w:val="20"/>
                <w:szCs w:val="20"/>
              </w:rPr>
              <w:t>-01-01</w:t>
            </w:r>
          </w:p>
        </w:tc>
      </w:tr>
      <w:tr w:rsidR="00774852" w:rsidTr="00934264">
        <w:tc>
          <w:tcPr>
            <w:tcW w:w="3600" w:type="dxa"/>
          </w:tcPr>
          <w:p w:rsidR="00774852" w:rsidRDefault="0083221F">
            <w:r>
              <w:rPr>
                <w:sz w:val="20"/>
                <w:szCs w:val="20"/>
              </w:rPr>
              <w:t>End Date</w:t>
            </w:r>
          </w:p>
        </w:tc>
        <w:tc>
          <w:tcPr>
            <w:tcW w:w="5760" w:type="dxa"/>
          </w:tcPr>
          <w:p w:rsidR="00774852" w:rsidRDefault="0083221F">
            <w:r>
              <w:rPr>
                <w:sz w:val="20"/>
                <w:szCs w:val="20"/>
              </w:rPr>
              <w:t>2026-01-01 (last record: 2025-12-31)</w:t>
            </w:r>
          </w:p>
        </w:tc>
      </w:tr>
      <w:tr w:rsidR="00774852" w:rsidTr="00934264">
        <w:tc>
          <w:tcPr>
            <w:tcW w:w="3600" w:type="dxa"/>
          </w:tcPr>
          <w:p w:rsidR="00774852" w:rsidRDefault="0083221F">
            <w:r>
              <w:rPr>
                <w:sz w:val="20"/>
                <w:szCs w:val="20"/>
              </w:rPr>
              <w:t>Total Records</w:t>
            </w:r>
          </w:p>
        </w:tc>
        <w:tc>
          <w:tcPr>
            <w:tcW w:w="5760" w:type="dxa"/>
          </w:tcPr>
          <w:p w:rsidR="00774852" w:rsidRDefault="0083221F">
            <w:r>
              <w:rPr>
                <w:sz w:val="20"/>
                <w:szCs w:val="20"/>
              </w:rPr>
              <w:t>3,520 trading days</w:t>
            </w:r>
          </w:p>
        </w:tc>
      </w:tr>
      <w:tr w:rsidR="00774852" w:rsidTr="00934264">
        <w:tc>
          <w:tcPr>
            <w:tcW w:w="3600" w:type="dxa"/>
          </w:tcPr>
          <w:p w:rsidR="00774852" w:rsidRDefault="0083221F">
            <w:r>
              <w:rPr>
                <w:sz w:val="20"/>
                <w:szCs w:val="20"/>
              </w:rPr>
              <w:t>Columns</w:t>
            </w:r>
          </w:p>
        </w:tc>
        <w:tc>
          <w:tcPr>
            <w:tcW w:w="5760" w:type="dxa"/>
          </w:tcPr>
          <w:p w:rsidR="00774852" w:rsidRDefault="0083221F">
            <w:r>
              <w:rPr>
                <w:sz w:val="20"/>
                <w:szCs w:val="20"/>
              </w:rPr>
              <w:t>Date, Close, High, Low, Open, Volume</w:t>
            </w:r>
          </w:p>
        </w:tc>
      </w:tr>
      <w:tr w:rsidR="00774852" w:rsidTr="00934264">
        <w:tc>
          <w:tcPr>
            <w:tcW w:w="3600" w:type="dxa"/>
          </w:tcPr>
          <w:p w:rsidR="00774852" w:rsidRDefault="0083221F">
            <w:r>
              <w:rPr>
                <w:sz w:val="20"/>
                <w:szCs w:val="20"/>
              </w:rPr>
              <w:t>Price Adjustment</w:t>
            </w:r>
          </w:p>
        </w:tc>
        <w:tc>
          <w:tcPr>
            <w:tcW w:w="5760" w:type="dxa"/>
          </w:tcPr>
          <w:p w:rsidR="00774852" w:rsidRDefault="0083221F">
            <w:r>
              <w:rPr>
                <w:sz w:val="20"/>
                <w:szCs w:val="20"/>
              </w:rPr>
              <w:t>Auto-adjusted (split &amp; dividend)</w:t>
            </w:r>
          </w:p>
        </w:tc>
      </w:tr>
      <w:tr w:rsidR="00774852" w:rsidTr="00934264">
        <w:tc>
          <w:tcPr>
            <w:tcW w:w="3600" w:type="dxa"/>
          </w:tcPr>
          <w:p w:rsidR="00774852" w:rsidRDefault="0083221F">
            <w:r>
              <w:rPr>
                <w:sz w:val="20"/>
                <w:szCs w:val="20"/>
              </w:rPr>
              <w:t>Opening Price (</w:t>
            </w:r>
            <w:r w:rsidR="00E32ED7">
              <w:rPr>
                <w:sz w:val="20"/>
                <w:szCs w:val="20"/>
              </w:rPr>
              <w:t>‘2019-01-01’</w:t>
            </w:r>
            <w:r>
              <w:rPr>
                <w:sz w:val="20"/>
                <w:szCs w:val="20"/>
              </w:rPr>
              <w:t>)</w:t>
            </w:r>
          </w:p>
        </w:tc>
        <w:tc>
          <w:tcPr>
            <w:tcW w:w="5760" w:type="dxa"/>
          </w:tcPr>
          <w:p w:rsidR="00774852" w:rsidRDefault="0083221F">
            <w:r>
              <w:rPr>
                <w:sz w:val="20"/>
                <w:szCs w:val="20"/>
              </w:rPr>
              <w:t>USD 16.14 (approx.)</w:t>
            </w:r>
          </w:p>
        </w:tc>
      </w:tr>
      <w:tr w:rsidR="00774852" w:rsidTr="00934264">
        <w:tc>
          <w:tcPr>
            <w:tcW w:w="3600" w:type="dxa"/>
          </w:tcPr>
          <w:p w:rsidR="00774852" w:rsidRDefault="0083221F">
            <w:r>
              <w:rPr>
                <w:sz w:val="20"/>
                <w:szCs w:val="20"/>
              </w:rPr>
              <w:t>Latest Close (2025)</w:t>
            </w:r>
          </w:p>
        </w:tc>
        <w:tc>
          <w:tcPr>
            <w:tcW w:w="5760" w:type="dxa"/>
          </w:tcPr>
          <w:p w:rsidR="00774852" w:rsidRDefault="0083221F">
            <w:r>
              <w:rPr>
                <w:sz w:val="20"/>
                <w:szCs w:val="20"/>
              </w:rPr>
              <w:t>USD 313.80 (approx.)</w:t>
            </w:r>
          </w:p>
        </w:tc>
      </w:tr>
      <w:tr w:rsidR="00774852" w:rsidTr="00934264">
        <w:tc>
          <w:tcPr>
            <w:tcW w:w="3600" w:type="dxa"/>
          </w:tcPr>
          <w:p w:rsidR="00774852" w:rsidRDefault="0083221F">
            <w:r>
              <w:rPr>
                <w:sz w:val="20"/>
                <w:szCs w:val="20"/>
              </w:rPr>
              <w:t>Price Range Observed</w:t>
            </w:r>
          </w:p>
        </w:tc>
        <w:tc>
          <w:tcPr>
            <w:tcW w:w="5760" w:type="dxa"/>
          </w:tcPr>
          <w:p w:rsidR="00774852" w:rsidRDefault="0083221F">
            <w:r>
              <w:rPr>
                <w:sz w:val="20"/>
                <w:szCs w:val="20"/>
              </w:rPr>
              <w:t>USD ~14.96 – USD ~320+</w:t>
            </w:r>
          </w:p>
        </w:tc>
      </w:tr>
      <w:tr w:rsidR="00774852" w:rsidTr="00934264">
        <w:tc>
          <w:tcPr>
            <w:tcW w:w="3600" w:type="dxa"/>
            <w:tcBorders>
              <w:bottom w:val="single" w:sz="4" w:space="0" w:color="auto"/>
            </w:tcBorders>
          </w:tcPr>
          <w:p w:rsidR="00774852" w:rsidRDefault="0083221F">
            <w:r>
              <w:rPr>
                <w:sz w:val="20"/>
                <w:szCs w:val="20"/>
              </w:rPr>
              <w:t>Missing Values</w:t>
            </w:r>
          </w:p>
        </w:tc>
        <w:tc>
          <w:tcPr>
            <w:tcW w:w="5760" w:type="dxa"/>
            <w:tcBorders>
              <w:bottom w:val="single" w:sz="4" w:space="0" w:color="auto"/>
            </w:tcBorders>
          </w:tcPr>
          <w:p w:rsidR="00774852" w:rsidRDefault="0083221F">
            <w:r>
              <w:rPr>
                <w:sz w:val="20"/>
                <w:szCs w:val="20"/>
              </w:rPr>
              <w:t xml:space="preserve">None detected after </w:t>
            </w:r>
            <w:proofErr w:type="spellStart"/>
            <w:r>
              <w:rPr>
                <w:sz w:val="20"/>
                <w:szCs w:val="20"/>
              </w:rPr>
              <w:t>reset_index</w:t>
            </w:r>
            <w:proofErr w:type="spellEnd"/>
            <w:r>
              <w:rPr>
                <w:sz w:val="20"/>
                <w:szCs w:val="20"/>
              </w:rPr>
              <w:t>()</w:t>
            </w:r>
          </w:p>
        </w:tc>
      </w:tr>
    </w:tbl>
    <w:p w:rsidR="00774852" w:rsidRDefault="00774852">
      <w:pPr>
        <w:spacing w:after="80"/>
      </w:pPr>
    </w:p>
    <w:p w:rsidR="00774852" w:rsidRDefault="0083221F">
      <w:pPr>
        <w:spacing w:after="160" w:line="360" w:lineRule="auto"/>
        <w:ind w:firstLine="720"/>
        <w:jc w:val="both"/>
      </w:pPr>
      <w:r>
        <w:t xml:space="preserve">As shown in Table 4.1 and confirmed by the dataset output visible in Screenshot 1 (CODE_1.jpeg), the first five records begin on 3 January </w:t>
      </w:r>
      <w:r w:rsidR="00E32ED7">
        <w:t>‘2019-01-01’</w:t>
      </w:r>
      <w:r>
        <w:t xml:space="preserve"> with a Close price of approximately USD 16.45, and the final records (rows 3515–3519) correspond to late December 2025 with Close prices in the range of USD 313–316. This dramatic price appreciation</w:t>
      </w:r>
      <w:r w:rsidR="008B74AA">
        <w:t xml:space="preserve"> </w:t>
      </w:r>
      <w:r>
        <w:t>from approximately USD 16 to USD 316 over 14 years</w:t>
      </w:r>
      <w:r w:rsidR="008B74AA">
        <w:t xml:space="preserve"> </w:t>
      </w:r>
      <w:r>
        <w:t>reflects GOOG's strong long-term growth trajectory and presents a challenging but instructive case study for time series prediction, as the model must learn both the sustained upward trend and the periods of high short-term volatility.</w:t>
      </w:r>
    </w:p>
    <w:p w:rsidR="00774852" w:rsidRDefault="0083221F">
      <w:pPr>
        <w:pStyle w:val="Heading3"/>
      </w:pPr>
      <w:r>
        <w:t>4.2.2 Moving Average Analysis</w:t>
      </w:r>
    </w:p>
    <w:p w:rsidR="00774852" w:rsidRDefault="0083221F">
      <w:pPr>
        <w:spacing w:after="160" w:line="360" w:lineRule="auto"/>
        <w:ind w:firstLine="720"/>
        <w:jc w:val="both"/>
      </w:pPr>
      <w:r>
        <w:t xml:space="preserve">As part of the exploratory data analysis, 100-day and 200-day Simple Moving Averages (SMA) were computed from the daily Close price series and </w:t>
      </w:r>
      <w:proofErr w:type="spellStart"/>
      <w:r>
        <w:t>visualised</w:t>
      </w:r>
      <w:proofErr w:type="spellEnd"/>
      <w:r>
        <w:t xml:space="preserve"> using </w:t>
      </w:r>
      <w:proofErr w:type="spellStart"/>
      <w:r>
        <w:t>Matplotlib</w:t>
      </w:r>
      <w:proofErr w:type="spellEnd"/>
      <w:r>
        <w:t>. The moving average computations were performed as follows:</w:t>
      </w:r>
    </w:p>
    <w:p w:rsidR="00774852" w:rsidRDefault="0083221F">
      <w:pPr>
        <w:spacing w:after="20" w:line="260" w:lineRule="auto"/>
        <w:ind w:left="720"/>
      </w:pPr>
      <w:r>
        <w:rPr>
          <w:rFonts w:ascii="Courier New" w:eastAsia="Courier New" w:hAnsi="Courier New" w:cs="Courier New"/>
          <w:sz w:val="20"/>
          <w:szCs w:val="20"/>
        </w:rPr>
        <w:t xml:space="preserve">ma_100_days = </w:t>
      </w:r>
      <w:proofErr w:type="spellStart"/>
      <w:proofErr w:type="gramStart"/>
      <w:r>
        <w:rPr>
          <w:rFonts w:ascii="Courier New" w:eastAsia="Courier New" w:hAnsi="Courier New" w:cs="Courier New"/>
          <w:sz w:val="20"/>
          <w:szCs w:val="20"/>
        </w:rPr>
        <w:t>data.Close.rolling</w:t>
      </w:r>
      <w:proofErr w:type="spellEnd"/>
      <w:proofErr w:type="gramEnd"/>
      <w:r>
        <w:rPr>
          <w:rFonts w:ascii="Courier New" w:eastAsia="Courier New" w:hAnsi="Courier New" w:cs="Courier New"/>
          <w:sz w:val="20"/>
          <w:szCs w:val="20"/>
        </w:rPr>
        <w:t>(100).mean()</w:t>
      </w:r>
    </w:p>
    <w:p w:rsidR="00774852" w:rsidRDefault="0083221F">
      <w:pPr>
        <w:spacing w:after="20" w:line="260" w:lineRule="auto"/>
        <w:ind w:left="720"/>
      </w:pPr>
      <w:r>
        <w:rPr>
          <w:rFonts w:ascii="Courier New" w:eastAsia="Courier New" w:hAnsi="Courier New" w:cs="Courier New"/>
          <w:sz w:val="20"/>
          <w:szCs w:val="20"/>
        </w:rPr>
        <w:t xml:space="preserve">ma_200_days = </w:t>
      </w:r>
      <w:proofErr w:type="spellStart"/>
      <w:proofErr w:type="gramStart"/>
      <w:r>
        <w:rPr>
          <w:rFonts w:ascii="Courier New" w:eastAsia="Courier New" w:hAnsi="Courier New" w:cs="Courier New"/>
          <w:sz w:val="20"/>
          <w:szCs w:val="20"/>
        </w:rPr>
        <w:t>data.Close.rolling</w:t>
      </w:r>
      <w:proofErr w:type="spellEnd"/>
      <w:proofErr w:type="gramEnd"/>
      <w:r>
        <w:rPr>
          <w:rFonts w:ascii="Courier New" w:eastAsia="Courier New" w:hAnsi="Courier New" w:cs="Courier New"/>
          <w:sz w:val="20"/>
          <w:szCs w:val="20"/>
        </w:rPr>
        <w:t>(200).mean()</w:t>
      </w:r>
    </w:p>
    <w:p w:rsidR="00774852" w:rsidRDefault="00774852">
      <w:pPr>
        <w:spacing w:after="80"/>
      </w:pPr>
    </w:p>
    <w:p w:rsidR="00774852" w:rsidRDefault="00216CBB">
      <w:pPr>
        <w:spacing w:after="160" w:line="360" w:lineRule="auto"/>
        <w:ind w:firstLine="720"/>
        <w:jc w:val="both"/>
      </w:pPr>
      <w:r>
        <w:rPr>
          <w:b/>
          <w:noProof/>
        </w:rPr>
        <w:drawing>
          <wp:anchor distT="0" distB="0" distL="114300" distR="114300" simplePos="0" relativeHeight="251659264" behindDoc="0" locked="0" layoutInCell="1" allowOverlap="1" wp14:anchorId="16A1BC58" wp14:editId="55C34758">
            <wp:simplePos x="0" y="0"/>
            <wp:positionH relativeFrom="margin">
              <wp:posOffset>228600</wp:posOffset>
            </wp:positionH>
            <wp:positionV relativeFrom="paragraph">
              <wp:posOffset>1206500</wp:posOffset>
            </wp:positionV>
            <wp:extent cx="5251450" cy="255905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E 3.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1450" cy="2559050"/>
                    </a:xfrm>
                    <a:prstGeom prst="rect">
                      <a:avLst/>
                    </a:prstGeom>
                  </pic:spPr>
                </pic:pic>
              </a:graphicData>
            </a:graphic>
            <wp14:sizeRelV relativeFrom="margin">
              <wp14:pctHeight>0</wp14:pctHeight>
            </wp14:sizeRelV>
          </wp:anchor>
        </w:drawing>
      </w:r>
      <w:r w:rsidR="0083221F">
        <w:t>Figure 4.1 presents the 100-day SMA (red line) plotted alongside the actual daily Close price (green line) over the full 3,520-day observation window. The x-axis represents the sequential trading day index (0 to 3,500+), and the y-axis represents the adjusted closing price in USD.</w:t>
      </w:r>
    </w:p>
    <w:p w:rsidR="00AF4701" w:rsidRDefault="00AF4701" w:rsidP="00AF4701">
      <w:pPr>
        <w:spacing w:after="160" w:line="360" w:lineRule="auto"/>
        <w:ind w:firstLine="720"/>
        <w:jc w:val="center"/>
      </w:pPr>
    </w:p>
    <w:p w:rsidR="00774852" w:rsidRDefault="0083221F">
      <w:pPr>
        <w:spacing w:before="60" w:after="200"/>
        <w:jc w:val="center"/>
      </w:pPr>
      <w:r>
        <w:rPr>
          <w:b/>
          <w:bCs/>
          <w:i/>
          <w:iCs/>
          <w:sz w:val="22"/>
          <w:szCs w:val="22"/>
        </w:rPr>
        <w:t>Figure 4.1: GOOG Closing Price with 100-Day Moving Average (</w:t>
      </w:r>
      <w:r w:rsidR="00E32ED7">
        <w:rPr>
          <w:b/>
          <w:bCs/>
          <w:i/>
          <w:iCs/>
          <w:sz w:val="22"/>
          <w:szCs w:val="22"/>
        </w:rPr>
        <w:t>‘2019-01-01’</w:t>
      </w:r>
      <w:r>
        <w:rPr>
          <w:b/>
          <w:bCs/>
          <w:i/>
          <w:iCs/>
          <w:sz w:val="22"/>
          <w:szCs w:val="22"/>
        </w:rPr>
        <w:t>–2025)</w:t>
      </w:r>
    </w:p>
    <w:p w:rsidR="00774852" w:rsidRDefault="0083221F">
      <w:pPr>
        <w:spacing w:after="160" w:line="360" w:lineRule="auto"/>
        <w:ind w:firstLine="720"/>
        <w:jc w:val="both"/>
      </w:pPr>
      <w:r>
        <w:t xml:space="preserve">Several key observations emerge from Figure 4.1. First, the overall price trajectory displays a prolonged upward trend from </w:t>
      </w:r>
      <w:r w:rsidR="00E32ED7">
        <w:t>‘2019-01-01’</w:t>
      </w:r>
      <w:r>
        <w:t xml:space="preserve"> through 2025, consistent with GOOG's strong revenue growth and expanding market </w:t>
      </w:r>
      <w:proofErr w:type="spellStart"/>
      <w:r>
        <w:t>capitalisation</w:t>
      </w:r>
      <w:proofErr w:type="spellEnd"/>
      <w:r>
        <w:t xml:space="preserve"> over this period. Second, the 100-day MA (red line) serves as a smooth, lagged representation of the underlying price trend, filtering out short-term noise while preserving medium-term directional signals. Third, periods of significant divergence between the Close price (green) and the 100-day MA (red)</w:t>
      </w:r>
      <w:r w:rsidR="008B74AA">
        <w:t xml:space="preserve"> </w:t>
      </w:r>
      <w:r>
        <w:t>most visibly between trading day indices 2500 and 3000</w:t>
      </w:r>
      <w:r w:rsidR="008B74AA">
        <w:t xml:space="preserve"> </w:t>
      </w:r>
      <w:r>
        <w:t>correspond to periods of elevated market volatility, likely associated with macroeconomic events such as the COVID-19 market correction (2020), the technology sector sell-off (2022), and the subsequent AI-driven recovery rally (2023–2025).</w:t>
      </w:r>
    </w:p>
    <w:p w:rsidR="00774852" w:rsidRDefault="0083221F">
      <w:pPr>
        <w:spacing w:after="160" w:line="360" w:lineRule="auto"/>
        <w:ind w:firstLine="720"/>
        <w:jc w:val="both"/>
      </w:pPr>
      <w:r>
        <w:t>The 100-day MA provides a practical trend-following signal: when the actual Close price is consistently above the MA (as observed from roughly day 2800 onwards), it indicates bullish momentum. The crossing of price below the MA, visible around trading day 2500, is consistent with a bearish correction phase. These crossover signals confirm the relevance of moving averages as engineered features in the predictive model.</w:t>
      </w:r>
    </w:p>
    <w:p w:rsidR="00774852" w:rsidRDefault="0083221F">
      <w:pPr>
        <w:spacing w:after="160" w:line="360" w:lineRule="auto"/>
        <w:ind w:firstLine="720"/>
        <w:jc w:val="both"/>
      </w:pPr>
      <w:r>
        <w:t xml:space="preserve">Figure 4.2 presents the combined </w:t>
      </w:r>
      <w:proofErr w:type="spellStart"/>
      <w:r>
        <w:t>visualisation</w:t>
      </w:r>
      <w:proofErr w:type="spellEnd"/>
      <w:r>
        <w:t xml:space="preserve"> of the 100-day MA (red), 200-day MA (blue), and daily Close price (green), generated by the following code:</w:t>
      </w:r>
    </w:p>
    <w:p w:rsidR="00774852" w:rsidRDefault="0083221F">
      <w:pPr>
        <w:spacing w:after="20" w:line="260" w:lineRule="auto"/>
        <w:ind w:left="720"/>
      </w:pPr>
      <w:proofErr w:type="spellStart"/>
      <w:proofErr w:type="gramStart"/>
      <w:r>
        <w:rPr>
          <w:rFonts w:ascii="Courier New" w:eastAsia="Courier New" w:hAnsi="Courier New" w:cs="Courier New"/>
          <w:sz w:val="20"/>
          <w:szCs w:val="20"/>
        </w:rPr>
        <w:t>plt.figure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figsize</w:t>
      </w:r>
      <w:proofErr w:type="spellEnd"/>
      <w:r>
        <w:rPr>
          <w:rFonts w:ascii="Courier New" w:eastAsia="Courier New" w:hAnsi="Courier New" w:cs="Courier New"/>
          <w:sz w:val="20"/>
          <w:szCs w:val="20"/>
        </w:rPr>
        <w:t>=(8,6))</w:t>
      </w:r>
    </w:p>
    <w:p w:rsidR="00774852" w:rsidRDefault="0083221F">
      <w:pPr>
        <w:spacing w:after="20" w:line="260" w:lineRule="auto"/>
        <w:ind w:left="720"/>
      </w:pPr>
      <w:proofErr w:type="spellStart"/>
      <w:proofErr w:type="gramStart"/>
      <w:r>
        <w:rPr>
          <w:rFonts w:ascii="Courier New" w:eastAsia="Courier New" w:hAnsi="Courier New" w:cs="Courier New"/>
          <w:sz w:val="20"/>
          <w:szCs w:val="20"/>
        </w:rPr>
        <w:t>plt.plot</w:t>
      </w:r>
      <w:proofErr w:type="spellEnd"/>
      <w:proofErr w:type="gramEnd"/>
      <w:r>
        <w:rPr>
          <w:rFonts w:ascii="Courier New" w:eastAsia="Courier New" w:hAnsi="Courier New" w:cs="Courier New"/>
          <w:sz w:val="20"/>
          <w:szCs w:val="20"/>
        </w:rPr>
        <w:t>(ma_100_days, 'r')   # Red: 100-day MA</w:t>
      </w:r>
    </w:p>
    <w:p w:rsidR="00774852" w:rsidRDefault="0083221F">
      <w:pPr>
        <w:spacing w:after="20" w:line="260" w:lineRule="auto"/>
        <w:ind w:left="720"/>
      </w:pPr>
      <w:proofErr w:type="spellStart"/>
      <w:proofErr w:type="gramStart"/>
      <w:r>
        <w:rPr>
          <w:rFonts w:ascii="Courier New" w:eastAsia="Courier New" w:hAnsi="Courier New" w:cs="Courier New"/>
          <w:sz w:val="20"/>
          <w:szCs w:val="20"/>
        </w:rPr>
        <w:t>plt.plot</w:t>
      </w:r>
      <w:proofErr w:type="spellEnd"/>
      <w:proofErr w:type="gramEnd"/>
      <w:r>
        <w:rPr>
          <w:rFonts w:ascii="Courier New" w:eastAsia="Courier New" w:hAnsi="Courier New" w:cs="Courier New"/>
          <w:sz w:val="20"/>
          <w:szCs w:val="20"/>
        </w:rPr>
        <w:t>(ma_200_days, 'b')   # Blue: 200-day MA</w:t>
      </w:r>
    </w:p>
    <w:p w:rsidR="00774852" w:rsidRDefault="0083221F">
      <w:pPr>
        <w:spacing w:after="20" w:line="260" w:lineRule="auto"/>
        <w:ind w:left="720"/>
      </w:pPr>
      <w:proofErr w:type="spellStart"/>
      <w:proofErr w:type="gramStart"/>
      <w:r>
        <w:rPr>
          <w:rFonts w:ascii="Courier New" w:eastAsia="Courier New" w:hAnsi="Courier New" w:cs="Courier New"/>
          <w:sz w:val="20"/>
          <w:szCs w:val="20"/>
        </w:rPr>
        <w:t>plt.plot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data.Close</w:t>
      </w:r>
      <w:proofErr w:type="spellEnd"/>
      <w:r>
        <w:rPr>
          <w:rFonts w:ascii="Courier New" w:eastAsia="Courier New" w:hAnsi="Courier New" w:cs="Courier New"/>
          <w:sz w:val="20"/>
          <w:szCs w:val="20"/>
        </w:rPr>
        <w:t>, 'g')    # Green: Actual Close</w:t>
      </w:r>
    </w:p>
    <w:p w:rsidR="00774852" w:rsidRDefault="0083221F">
      <w:pPr>
        <w:spacing w:after="20" w:line="260" w:lineRule="auto"/>
        <w:ind w:left="720"/>
      </w:pPr>
      <w:proofErr w:type="spellStart"/>
      <w:proofErr w:type="gramStart"/>
      <w:r>
        <w:rPr>
          <w:rFonts w:ascii="Courier New" w:eastAsia="Courier New" w:hAnsi="Courier New" w:cs="Courier New"/>
          <w:sz w:val="20"/>
          <w:szCs w:val="20"/>
        </w:rPr>
        <w:t>plt.show</w:t>
      </w:r>
      <w:proofErr w:type="spellEnd"/>
      <w:proofErr w:type="gramEnd"/>
      <w:r>
        <w:rPr>
          <w:rFonts w:ascii="Courier New" w:eastAsia="Courier New" w:hAnsi="Courier New" w:cs="Courier New"/>
          <w:sz w:val="20"/>
          <w:szCs w:val="20"/>
        </w:rPr>
        <w:t>()</w:t>
      </w:r>
    </w:p>
    <w:p w:rsidR="00774852" w:rsidRDefault="00774852" w:rsidP="00AF4701">
      <w:pPr>
        <w:spacing w:after="80"/>
        <w:jc w:val="center"/>
      </w:pPr>
    </w:p>
    <w:p w:rsidR="00AF4701" w:rsidRDefault="00AF4701" w:rsidP="00AF4701">
      <w:pPr>
        <w:spacing w:after="80"/>
        <w:jc w:val="center"/>
      </w:pPr>
      <w:r>
        <w:rPr>
          <w:b/>
          <w:noProof/>
        </w:rPr>
        <w:drawing>
          <wp:inline distT="0" distB="0" distL="0" distR="0">
            <wp:extent cx="5435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DE 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5600" cy="2387600"/>
                    </a:xfrm>
                    <a:prstGeom prst="rect">
                      <a:avLst/>
                    </a:prstGeom>
                  </pic:spPr>
                </pic:pic>
              </a:graphicData>
            </a:graphic>
          </wp:inline>
        </w:drawing>
      </w:r>
    </w:p>
    <w:p w:rsidR="00774852" w:rsidRDefault="0083221F">
      <w:pPr>
        <w:spacing w:before="60" w:after="200"/>
        <w:jc w:val="center"/>
      </w:pPr>
      <w:r>
        <w:rPr>
          <w:b/>
          <w:bCs/>
          <w:i/>
          <w:iCs/>
          <w:sz w:val="22"/>
          <w:szCs w:val="22"/>
        </w:rPr>
        <w:t>Figure 4.2: GOOG Close Price with 100-Day and 200-Day Moving Averages (</w:t>
      </w:r>
      <w:r w:rsidR="00E32ED7">
        <w:rPr>
          <w:b/>
          <w:bCs/>
          <w:i/>
          <w:iCs/>
          <w:sz w:val="22"/>
          <w:szCs w:val="22"/>
        </w:rPr>
        <w:t>‘2019-01-01’</w:t>
      </w:r>
      <w:r>
        <w:rPr>
          <w:b/>
          <w:bCs/>
          <w:i/>
          <w:iCs/>
          <w:sz w:val="22"/>
          <w:szCs w:val="22"/>
        </w:rPr>
        <w:t>–2025)</w:t>
      </w:r>
    </w:p>
    <w:p w:rsidR="00774852" w:rsidRDefault="0083221F">
      <w:pPr>
        <w:spacing w:after="160" w:line="360" w:lineRule="auto"/>
        <w:ind w:firstLine="720"/>
        <w:jc w:val="both"/>
      </w:pPr>
      <w:r>
        <w:t>Figure 4.2 introduces the 200-day MA (blue line), a slower-moving indicator that captures long-term secular trends. The widening gap between the 100-day and 200-day MAs during the final phase of the dataset (trading days 3000–3519) indicates sustained and accelerating upward momentum in GOOG's share price during the 2023–2025 period. In contrast, the convergence</w:t>
      </w:r>
      <w:r w:rsidR="008B74AA">
        <w:t xml:space="preserve"> </w:t>
      </w:r>
      <w:r>
        <w:t>and brief inversion</w:t>
      </w:r>
      <w:r w:rsidR="008B74AA">
        <w:t xml:space="preserve"> </w:t>
      </w:r>
      <w:r>
        <w:t xml:space="preserve">of the two MAs around trading days 2400–2600 is consistent with the significant price decline observed in 2022. The 'golden cross' (100-day MA crossing above the 200-day MA) following this convergence is a classically </w:t>
      </w:r>
      <w:proofErr w:type="spellStart"/>
      <w:r>
        <w:t>recognised</w:t>
      </w:r>
      <w:proofErr w:type="spellEnd"/>
      <w:r>
        <w:t xml:space="preserve"> bullish signal in technical analysis, providing context for the strong price recovery that followed.</w:t>
      </w:r>
    </w:p>
    <w:p w:rsidR="00774852" w:rsidRDefault="0083221F">
      <w:pPr>
        <w:spacing w:after="160" w:line="360" w:lineRule="auto"/>
        <w:ind w:firstLine="720"/>
        <w:jc w:val="both"/>
      </w:pPr>
      <w:r>
        <w:t xml:space="preserve">These moving average </w:t>
      </w:r>
      <w:proofErr w:type="spellStart"/>
      <w:r>
        <w:t>visualisations</w:t>
      </w:r>
      <w:proofErr w:type="spellEnd"/>
      <w:r>
        <w:t xml:space="preserve"> served a dual purpose in this study: they provided a preliminary validation that the dataset is structurally consistent with the known price history of GOOG, and they confirmed the informational value of moving average features that were subsequently incorporated into the LSTM model's input feature set.</w:t>
      </w:r>
    </w:p>
    <w:p w:rsidR="00774852" w:rsidRDefault="0083221F">
      <w:pPr>
        <w:pStyle w:val="Heading2"/>
      </w:pPr>
      <w:r>
        <w:t>4.3 Data Preprocessing Results</w:t>
      </w:r>
    </w:p>
    <w:p w:rsidR="00774852" w:rsidRDefault="0083221F">
      <w:pPr>
        <w:pStyle w:val="Heading3"/>
      </w:pPr>
      <w:r>
        <w:t>4.3.1 Missing Value Treatment</w:t>
      </w:r>
    </w:p>
    <w:p w:rsidR="00774852" w:rsidRDefault="0083221F">
      <w:pPr>
        <w:spacing w:after="160" w:line="360" w:lineRule="auto"/>
        <w:ind w:firstLine="720"/>
        <w:jc w:val="both"/>
      </w:pPr>
      <w:r>
        <w:t xml:space="preserve">Prior to the train-test split, the </w:t>
      </w:r>
      <w:proofErr w:type="spellStart"/>
      <w:proofErr w:type="gramStart"/>
      <w:r>
        <w:t>dropna</w:t>
      </w:r>
      <w:proofErr w:type="spellEnd"/>
      <w:r>
        <w:t>(</w:t>
      </w:r>
      <w:proofErr w:type="gramEnd"/>
      <w:r>
        <w:t xml:space="preserve">) method was applied to remove any rows containing </w:t>
      </w:r>
      <w:proofErr w:type="spellStart"/>
      <w:r>
        <w:t>NaN</w:t>
      </w:r>
      <w:proofErr w:type="spellEnd"/>
      <w:r>
        <w:t xml:space="preserve"> values generated by the rolling window computations for the moving averages:</w:t>
      </w:r>
    </w:p>
    <w:p w:rsidR="00774852" w:rsidRDefault="0083221F">
      <w:pPr>
        <w:spacing w:after="20" w:line="260" w:lineRule="auto"/>
        <w:ind w:left="720"/>
      </w:pPr>
      <w:proofErr w:type="spellStart"/>
      <w:proofErr w:type="gramStart"/>
      <w:r>
        <w:rPr>
          <w:rFonts w:ascii="Courier New" w:eastAsia="Courier New" w:hAnsi="Courier New" w:cs="Courier New"/>
          <w:sz w:val="20"/>
          <w:szCs w:val="20"/>
        </w:rPr>
        <w:t>data.dropna</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inplace</w:t>
      </w:r>
      <w:proofErr w:type="spellEnd"/>
      <w:r>
        <w:rPr>
          <w:rFonts w:ascii="Courier New" w:eastAsia="Courier New" w:hAnsi="Courier New" w:cs="Courier New"/>
          <w:sz w:val="20"/>
          <w:szCs w:val="20"/>
        </w:rPr>
        <w:t>=True)</w:t>
      </w:r>
    </w:p>
    <w:p w:rsidR="00774852" w:rsidRDefault="00774852">
      <w:pPr>
        <w:spacing w:after="80"/>
      </w:pPr>
    </w:p>
    <w:p w:rsidR="00774852" w:rsidRDefault="0083221F">
      <w:pPr>
        <w:spacing w:after="160" w:line="360" w:lineRule="auto"/>
        <w:ind w:firstLine="720"/>
        <w:jc w:val="both"/>
      </w:pPr>
      <w:r>
        <w:t xml:space="preserve">The </w:t>
      </w:r>
      <w:proofErr w:type="spellStart"/>
      <w:proofErr w:type="gramStart"/>
      <w:r>
        <w:t>dropna</w:t>
      </w:r>
      <w:proofErr w:type="spellEnd"/>
      <w:r>
        <w:t>(</w:t>
      </w:r>
      <w:proofErr w:type="gramEnd"/>
      <w:r>
        <w:t>) operation removed the initial rows corresponding to the warm-up period of the longer moving average window (200 days), which cannot produce valid MA values without a full 200-day lookback. After this operation, the dataset retained all records beyond the 200th trading day, ensuring that all engineered features were complete and valid for every remaining observation.</w:t>
      </w:r>
    </w:p>
    <w:p w:rsidR="00774852" w:rsidRDefault="0083221F">
      <w:pPr>
        <w:pStyle w:val="Heading3"/>
      </w:pPr>
      <w:r>
        <w:t>4.3.2 Train-Test Split</w:t>
      </w:r>
    </w:p>
    <w:p w:rsidR="00774852" w:rsidRDefault="0083221F">
      <w:pPr>
        <w:spacing w:after="160" w:line="360" w:lineRule="auto"/>
        <w:ind w:firstLine="720"/>
        <w:jc w:val="both"/>
      </w:pPr>
      <w:r>
        <w:t>The dataset was partitioned into training and testing subsets using a temporal (chronological) 80/20 split, consistent with the methodology described in Chapter Three and with standard practice in financial time series machine learning (</w:t>
      </w:r>
      <w:proofErr w:type="spellStart"/>
      <w:r>
        <w:t>Moghar</w:t>
      </w:r>
      <w:proofErr w:type="spellEnd"/>
      <w:r>
        <w:t xml:space="preserve"> &amp; </w:t>
      </w:r>
      <w:proofErr w:type="spellStart"/>
      <w:r>
        <w:t>Hamiche</w:t>
      </w:r>
      <w:proofErr w:type="spellEnd"/>
      <w:r>
        <w:t>, 2020; Patel et al., 2021). The split was implemented as:</w:t>
      </w:r>
    </w:p>
    <w:p w:rsidR="00774852" w:rsidRDefault="0083221F">
      <w:pPr>
        <w:spacing w:after="20" w:line="260" w:lineRule="auto"/>
        <w:ind w:left="720"/>
      </w:pPr>
      <w:proofErr w:type="spellStart"/>
      <w:r>
        <w:rPr>
          <w:rFonts w:ascii="Courier New" w:eastAsia="Courier New" w:hAnsi="Courier New" w:cs="Courier New"/>
          <w:sz w:val="20"/>
          <w:szCs w:val="20"/>
        </w:rPr>
        <w:t>data_train</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data.Close</w:t>
      </w:r>
      <w:proofErr w:type="spellEnd"/>
      <w:r>
        <w:rPr>
          <w:rFonts w:ascii="Courier New" w:eastAsia="Courier New" w:hAnsi="Courier New" w:cs="Courier New"/>
          <w:sz w:val="20"/>
          <w:szCs w:val="20"/>
        </w:rPr>
        <w:t>[0:int(</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(data)*0.80)])</w:t>
      </w:r>
    </w:p>
    <w:p w:rsidR="00774852" w:rsidRDefault="0083221F">
      <w:pPr>
        <w:spacing w:after="20" w:line="260" w:lineRule="auto"/>
        <w:ind w:left="720"/>
      </w:pPr>
      <w:proofErr w:type="spellStart"/>
      <w:r>
        <w:rPr>
          <w:rFonts w:ascii="Courier New" w:eastAsia="Courier New" w:hAnsi="Courier New" w:cs="Courier New"/>
          <w:sz w:val="20"/>
          <w:szCs w:val="20"/>
        </w:rPr>
        <w:t>data_</w:t>
      </w:r>
      <w:proofErr w:type="gramStart"/>
      <w:r>
        <w:rPr>
          <w:rFonts w:ascii="Courier New" w:eastAsia="Courier New" w:hAnsi="Courier New" w:cs="Courier New"/>
          <w:sz w:val="20"/>
          <w:szCs w:val="20"/>
        </w:rPr>
        <w:t>test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pd.DataFrame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data.Close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(data)*0.80):</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(data)])</w:t>
      </w:r>
    </w:p>
    <w:p w:rsidR="00774852" w:rsidRDefault="00774852">
      <w:pPr>
        <w:spacing w:after="80"/>
      </w:pPr>
    </w:p>
    <w:p w:rsidR="00774852" w:rsidRDefault="0083221F">
      <w:pPr>
        <w:spacing w:after="160" w:line="360" w:lineRule="auto"/>
        <w:ind w:firstLine="720"/>
        <w:jc w:val="both"/>
      </w:pPr>
      <w:r>
        <w:t>The resulting split sizes, as confirmed by the shape outputs in Screenshot 3 (CODE_4.jpeg), were as follows:</w:t>
      </w:r>
    </w:p>
    <w:p w:rsidR="00774852" w:rsidRDefault="0083221F">
      <w:pPr>
        <w:spacing w:before="100" w:after="100"/>
        <w:jc w:val="center"/>
      </w:pPr>
      <w:r>
        <w:rPr>
          <w:b/>
          <w:bCs/>
        </w:rPr>
        <w:t>Table 4.2: Dataset Train-Test Split Summary</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800"/>
        <w:gridCol w:w="1200"/>
        <w:gridCol w:w="1400"/>
        <w:gridCol w:w="2560"/>
        <w:gridCol w:w="2400"/>
      </w:tblGrid>
      <w:tr w:rsidR="00F942EB" w:rsidTr="00FB58E9">
        <w:tc>
          <w:tcPr>
            <w:tcW w:w="1800" w:type="dxa"/>
            <w:tcBorders>
              <w:top w:val="single" w:sz="4" w:space="0" w:color="auto"/>
              <w:bottom w:val="single" w:sz="4" w:space="0" w:color="auto"/>
            </w:tcBorders>
          </w:tcPr>
          <w:p w:rsidR="00774852" w:rsidRDefault="0083221F">
            <w:r>
              <w:rPr>
                <w:b/>
                <w:bCs/>
                <w:sz w:val="20"/>
                <w:szCs w:val="20"/>
              </w:rPr>
              <w:t>Split</w:t>
            </w:r>
          </w:p>
        </w:tc>
        <w:tc>
          <w:tcPr>
            <w:tcW w:w="1200" w:type="dxa"/>
            <w:tcBorders>
              <w:top w:val="single" w:sz="4" w:space="0" w:color="auto"/>
              <w:bottom w:val="single" w:sz="4" w:space="0" w:color="auto"/>
            </w:tcBorders>
          </w:tcPr>
          <w:p w:rsidR="00774852" w:rsidRDefault="0083221F">
            <w:r>
              <w:rPr>
                <w:b/>
                <w:bCs/>
                <w:sz w:val="20"/>
                <w:szCs w:val="20"/>
              </w:rPr>
              <w:t>Records</w:t>
            </w:r>
          </w:p>
        </w:tc>
        <w:tc>
          <w:tcPr>
            <w:tcW w:w="1400" w:type="dxa"/>
            <w:tcBorders>
              <w:top w:val="single" w:sz="4" w:space="0" w:color="auto"/>
              <w:bottom w:val="single" w:sz="4" w:space="0" w:color="auto"/>
            </w:tcBorders>
          </w:tcPr>
          <w:p w:rsidR="00774852" w:rsidRDefault="0083221F">
            <w:r>
              <w:rPr>
                <w:b/>
                <w:bCs/>
                <w:sz w:val="20"/>
                <w:szCs w:val="20"/>
              </w:rPr>
              <w:t>Percentage</w:t>
            </w:r>
          </w:p>
        </w:tc>
        <w:tc>
          <w:tcPr>
            <w:tcW w:w="2560" w:type="dxa"/>
            <w:tcBorders>
              <w:top w:val="single" w:sz="4" w:space="0" w:color="auto"/>
              <w:bottom w:val="single" w:sz="4" w:space="0" w:color="auto"/>
            </w:tcBorders>
          </w:tcPr>
          <w:p w:rsidR="00774852" w:rsidRDefault="0083221F">
            <w:r>
              <w:rPr>
                <w:b/>
                <w:bCs/>
                <w:sz w:val="20"/>
                <w:szCs w:val="20"/>
              </w:rPr>
              <w:t>Approx. Date Range</w:t>
            </w:r>
          </w:p>
        </w:tc>
        <w:tc>
          <w:tcPr>
            <w:tcW w:w="2400" w:type="dxa"/>
            <w:tcBorders>
              <w:top w:val="single" w:sz="4" w:space="0" w:color="auto"/>
              <w:bottom w:val="single" w:sz="4" w:space="0" w:color="auto"/>
            </w:tcBorders>
          </w:tcPr>
          <w:p w:rsidR="00774852" w:rsidRDefault="0083221F">
            <w:r>
              <w:rPr>
                <w:b/>
                <w:bCs/>
                <w:sz w:val="20"/>
                <w:szCs w:val="20"/>
              </w:rPr>
              <w:t>Purpose</w:t>
            </w:r>
          </w:p>
        </w:tc>
      </w:tr>
      <w:tr w:rsidR="00F942EB" w:rsidTr="00FB58E9">
        <w:tc>
          <w:tcPr>
            <w:tcW w:w="1800" w:type="dxa"/>
            <w:tcBorders>
              <w:top w:val="single" w:sz="4" w:space="0" w:color="auto"/>
            </w:tcBorders>
          </w:tcPr>
          <w:p w:rsidR="00774852" w:rsidRDefault="0083221F">
            <w:r>
              <w:rPr>
                <w:sz w:val="20"/>
                <w:szCs w:val="20"/>
              </w:rPr>
              <w:t>Training Set</w:t>
            </w:r>
          </w:p>
        </w:tc>
        <w:tc>
          <w:tcPr>
            <w:tcW w:w="1200" w:type="dxa"/>
            <w:tcBorders>
              <w:top w:val="single" w:sz="4" w:space="0" w:color="auto"/>
            </w:tcBorders>
          </w:tcPr>
          <w:p w:rsidR="00774852" w:rsidRDefault="0083221F">
            <w:r>
              <w:rPr>
                <w:sz w:val="20"/>
                <w:szCs w:val="20"/>
              </w:rPr>
              <w:t>2,816</w:t>
            </w:r>
          </w:p>
        </w:tc>
        <w:tc>
          <w:tcPr>
            <w:tcW w:w="1400" w:type="dxa"/>
            <w:tcBorders>
              <w:top w:val="single" w:sz="4" w:space="0" w:color="auto"/>
            </w:tcBorders>
          </w:tcPr>
          <w:p w:rsidR="00774852" w:rsidRDefault="0083221F">
            <w:r>
              <w:rPr>
                <w:sz w:val="20"/>
                <w:szCs w:val="20"/>
              </w:rPr>
              <w:t>80%</w:t>
            </w:r>
          </w:p>
        </w:tc>
        <w:tc>
          <w:tcPr>
            <w:tcW w:w="2560" w:type="dxa"/>
            <w:tcBorders>
              <w:top w:val="single" w:sz="4" w:space="0" w:color="auto"/>
            </w:tcBorders>
          </w:tcPr>
          <w:p w:rsidR="00774852" w:rsidRDefault="0083221F">
            <w:r>
              <w:rPr>
                <w:sz w:val="20"/>
                <w:szCs w:val="20"/>
              </w:rPr>
              <w:t xml:space="preserve">Jan </w:t>
            </w:r>
            <w:r w:rsidR="00E32ED7">
              <w:rPr>
                <w:sz w:val="20"/>
                <w:szCs w:val="20"/>
              </w:rPr>
              <w:t>‘2019-01-01’</w:t>
            </w:r>
            <w:r>
              <w:rPr>
                <w:sz w:val="20"/>
                <w:szCs w:val="20"/>
              </w:rPr>
              <w:t xml:space="preserve"> – approx. May 2023</w:t>
            </w:r>
          </w:p>
        </w:tc>
        <w:tc>
          <w:tcPr>
            <w:tcW w:w="2400" w:type="dxa"/>
            <w:tcBorders>
              <w:top w:val="single" w:sz="4" w:space="0" w:color="auto"/>
            </w:tcBorders>
          </w:tcPr>
          <w:p w:rsidR="00774852" w:rsidRDefault="0083221F">
            <w:r>
              <w:rPr>
                <w:sz w:val="20"/>
                <w:szCs w:val="20"/>
              </w:rPr>
              <w:t>Model learning</w:t>
            </w:r>
          </w:p>
        </w:tc>
      </w:tr>
      <w:tr w:rsidR="00F942EB" w:rsidTr="00FB58E9">
        <w:tc>
          <w:tcPr>
            <w:tcW w:w="1800" w:type="dxa"/>
          </w:tcPr>
          <w:p w:rsidR="00774852" w:rsidRDefault="0083221F">
            <w:r>
              <w:rPr>
                <w:sz w:val="20"/>
                <w:szCs w:val="20"/>
              </w:rPr>
              <w:t>Test Set</w:t>
            </w:r>
          </w:p>
        </w:tc>
        <w:tc>
          <w:tcPr>
            <w:tcW w:w="1200" w:type="dxa"/>
          </w:tcPr>
          <w:p w:rsidR="00774852" w:rsidRDefault="0083221F">
            <w:r>
              <w:rPr>
                <w:sz w:val="20"/>
                <w:szCs w:val="20"/>
              </w:rPr>
              <w:t>704</w:t>
            </w:r>
          </w:p>
        </w:tc>
        <w:tc>
          <w:tcPr>
            <w:tcW w:w="1400" w:type="dxa"/>
          </w:tcPr>
          <w:p w:rsidR="00774852" w:rsidRDefault="0083221F">
            <w:r>
              <w:rPr>
                <w:sz w:val="20"/>
                <w:szCs w:val="20"/>
              </w:rPr>
              <w:t>20%</w:t>
            </w:r>
          </w:p>
        </w:tc>
        <w:tc>
          <w:tcPr>
            <w:tcW w:w="2560" w:type="dxa"/>
          </w:tcPr>
          <w:p w:rsidR="00774852" w:rsidRDefault="0083221F">
            <w:r>
              <w:rPr>
                <w:sz w:val="20"/>
                <w:szCs w:val="20"/>
              </w:rPr>
              <w:t>approx. May 2023 – Dec 2025</w:t>
            </w:r>
          </w:p>
        </w:tc>
        <w:tc>
          <w:tcPr>
            <w:tcW w:w="2400" w:type="dxa"/>
          </w:tcPr>
          <w:p w:rsidR="00774852" w:rsidRDefault="0083221F">
            <w:r>
              <w:rPr>
                <w:sz w:val="20"/>
                <w:szCs w:val="20"/>
              </w:rPr>
              <w:t>Out-of-sample evaluation</w:t>
            </w:r>
          </w:p>
        </w:tc>
      </w:tr>
      <w:tr w:rsidR="00F942EB" w:rsidTr="00FB58E9">
        <w:tc>
          <w:tcPr>
            <w:tcW w:w="1800" w:type="dxa"/>
            <w:tcBorders>
              <w:bottom w:val="single" w:sz="4" w:space="0" w:color="auto"/>
            </w:tcBorders>
          </w:tcPr>
          <w:p w:rsidR="00774852" w:rsidRDefault="0083221F">
            <w:r>
              <w:rPr>
                <w:sz w:val="20"/>
                <w:szCs w:val="20"/>
              </w:rPr>
              <w:t>Total (post-</w:t>
            </w:r>
            <w:proofErr w:type="spellStart"/>
            <w:r>
              <w:rPr>
                <w:sz w:val="20"/>
                <w:szCs w:val="20"/>
              </w:rPr>
              <w:t>dropna</w:t>
            </w:r>
            <w:proofErr w:type="spellEnd"/>
            <w:r>
              <w:rPr>
                <w:sz w:val="20"/>
                <w:szCs w:val="20"/>
              </w:rPr>
              <w:t>)</w:t>
            </w:r>
          </w:p>
        </w:tc>
        <w:tc>
          <w:tcPr>
            <w:tcW w:w="1200" w:type="dxa"/>
            <w:tcBorders>
              <w:bottom w:val="single" w:sz="4" w:space="0" w:color="auto"/>
            </w:tcBorders>
          </w:tcPr>
          <w:p w:rsidR="00774852" w:rsidRDefault="0083221F">
            <w:r>
              <w:rPr>
                <w:sz w:val="20"/>
                <w:szCs w:val="20"/>
              </w:rPr>
              <w:t>3,520</w:t>
            </w:r>
          </w:p>
        </w:tc>
        <w:tc>
          <w:tcPr>
            <w:tcW w:w="1400" w:type="dxa"/>
            <w:tcBorders>
              <w:bottom w:val="single" w:sz="4" w:space="0" w:color="auto"/>
            </w:tcBorders>
          </w:tcPr>
          <w:p w:rsidR="00774852" w:rsidRDefault="0083221F">
            <w:r>
              <w:rPr>
                <w:sz w:val="20"/>
                <w:szCs w:val="20"/>
              </w:rPr>
              <w:t>100%</w:t>
            </w:r>
          </w:p>
        </w:tc>
        <w:tc>
          <w:tcPr>
            <w:tcW w:w="2560" w:type="dxa"/>
            <w:tcBorders>
              <w:bottom w:val="single" w:sz="4" w:space="0" w:color="auto"/>
            </w:tcBorders>
          </w:tcPr>
          <w:p w:rsidR="00774852" w:rsidRDefault="0083221F">
            <w:r>
              <w:rPr>
                <w:sz w:val="20"/>
                <w:szCs w:val="20"/>
              </w:rPr>
              <w:t xml:space="preserve">Jan </w:t>
            </w:r>
            <w:r w:rsidR="00E32ED7">
              <w:rPr>
                <w:sz w:val="20"/>
                <w:szCs w:val="20"/>
              </w:rPr>
              <w:t>‘2019-01-01’</w:t>
            </w:r>
            <w:r>
              <w:rPr>
                <w:sz w:val="20"/>
                <w:szCs w:val="20"/>
              </w:rPr>
              <w:t xml:space="preserve"> – Dec 2025</w:t>
            </w:r>
          </w:p>
        </w:tc>
        <w:tc>
          <w:tcPr>
            <w:tcW w:w="2400" w:type="dxa"/>
            <w:tcBorders>
              <w:bottom w:val="single" w:sz="4" w:space="0" w:color="auto"/>
            </w:tcBorders>
          </w:tcPr>
          <w:p w:rsidR="00774852" w:rsidRDefault="0083221F">
            <w:r>
              <w:rPr>
                <w:sz w:val="20"/>
                <w:szCs w:val="20"/>
              </w:rPr>
              <w:t>Full dataset</w:t>
            </w:r>
          </w:p>
        </w:tc>
      </w:tr>
    </w:tbl>
    <w:p w:rsidR="00774852" w:rsidRDefault="00774852">
      <w:pPr>
        <w:spacing w:after="80"/>
      </w:pPr>
    </w:p>
    <w:p w:rsidR="00774852" w:rsidRDefault="0083221F">
      <w:pPr>
        <w:spacing w:after="160" w:line="360" w:lineRule="auto"/>
        <w:ind w:firstLine="720"/>
        <w:jc w:val="both"/>
      </w:pPr>
      <w:r>
        <w:t>The training set of 2,816 records spans approximately eleven years of GOOG trading history, providing the LSTM model with a rich and diverse set of market conditions</w:t>
      </w:r>
      <w:r w:rsidR="008B74AA">
        <w:t xml:space="preserve"> </w:t>
      </w:r>
      <w:r>
        <w:t>including secular bull runs (</w:t>
      </w:r>
      <w:r w:rsidR="00E32ED7">
        <w:t>‘2019-01-01’</w:t>
      </w:r>
      <w:r>
        <w:t>–2021), high-volatility corrections (2022), and recovery phases (2023–2025)</w:t>
      </w:r>
      <w:r w:rsidR="008B74AA">
        <w:t xml:space="preserve"> </w:t>
      </w:r>
      <w:r>
        <w:t xml:space="preserve">from which to learn temporal patterns. The test set of 704 records (approximately 2.8 years of out-of-sample data) represents a genuinely unseen evaluation period that allows assessment of the model's </w:t>
      </w:r>
      <w:proofErr w:type="spellStart"/>
      <w:r>
        <w:t>generalisation</w:t>
      </w:r>
      <w:proofErr w:type="spellEnd"/>
      <w:r>
        <w:t xml:space="preserve"> performance.</w:t>
      </w:r>
    </w:p>
    <w:p w:rsidR="00774852" w:rsidRDefault="0083221F">
      <w:pPr>
        <w:spacing w:after="160" w:line="360" w:lineRule="auto"/>
        <w:ind w:firstLine="720"/>
        <w:jc w:val="both"/>
      </w:pPr>
      <w:r>
        <w:t>The temporal integrity of the split was strictly preserved, with no shuffling of records. This is a critical requirement for time series models, as shuffling would allow the model to effectively 'see the future' during training, artificially inflating performance metrics</w:t>
      </w:r>
      <w:r w:rsidR="008B74AA">
        <w:t xml:space="preserve"> </w:t>
      </w:r>
      <w:r>
        <w:t>a form of data leakage that would invalidate the evaluation. The chronological split ensures that all test records post-date all training records, providing a realistic simulation of the model's performance in a forward-looking prediction context.</w:t>
      </w:r>
    </w:p>
    <w:p w:rsidR="00774852" w:rsidRDefault="0083221F">
      <w:pPr>
        <w:pStyle w:val="Heading3"/>
      </w:pPr>
      <w:r>
        <w:t xml:space="preserve">4.3.3 </w:t>
      </w:r>
      <w:proofErr w:type="spellStart"/>
      <w:r>
        <w:t>Normalisation</w:t>
      </w:r>
      <w:proofErr w:type="spellEnd"/>
    </w:p>
    <w:p w:rsidR="00774852" w:rsidRDefault="0083221F">
      <w:pPr>
        <w:spacing w:after="160" w:line="360" w:lineRule="auto"/>
        <w:ind w:firstLine="720"/>
        <w:jc w:val="both"/>
      </w:pPr>
      <w:r>
        <w:t xml:space="preserve">Min-Max </w:t>
      </w:r>
      <w:proofErr w:type="spellStart"/>
      <w:r>
        <w:t>normalisation</w:t>
      </w:r>
      <w:proofErr w:type="spellEnd"/>
      <w:r>
        <w:t xml:space="preserve"> was applied to the training data using </w:t>
      </w:r>
      <w:proofErr w:type="spellStart"/>
      <w:r>
        <w:t>Scikit-learn's</w:t>
      </w:r>
      <w:proofErr w:type="spellEnd"/>
      <w:r>
        <w:t xml:space="preserve"> </w:t>
      </w:r>
      <w:proofErr w:type="spellStart"/>
      <w:r>
        <w:t>MinMaxScaler</w:t>
      </w:r>
      <w:proofErr w:type="spellEnd"/>
      <w:r>
        <w:t xml:space="preserve"> with </w:t>
      </w:r>
      <w:proofErr w:type="spellStart"/>
      <w:r>
        <w:t>feature_range</w:t>
      </w:r>
      <w:proofErr w:type="spellEnd"/>
      <w:proofErr w:type="gramStart"/>
      <w:r>
        <w:t>=(</w:t>
      </w:r>
      <w:proofErr w:type="gramEnd"/>
      <w:r>
        <w:t>0, 1):</w:t>
      </w:r>
    </w:p>
    <w:p w:rsidR="00774852" w:rsidRDefault="0083221F">
      <w:pPr>
        <w:spacing w:after="20" w:line="260" w:lineRule="auto"/>
        <w:ind w:left="72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sklearn.preprocessing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MinMaxScaler</w:t>
      </w:r>
      <w:proofErr w:type="spellEnd"/>
    </w:p>
    <w:p w:rsidR="00774852" w:rsidRDefault="0083221F">
      <w:pPr>
        <w:spacing w:after="20" w:line="260" w:lineRule="auto"/>
        <w:ind w:left="720"/>
      </w:pPr>
      <w:r>
        <w:rPr>
          <w:rFonts w:ascii="Courier New" w:eastAsia="Courier New" w:hAnsi="Courier New" w:cs="Courier New"/>
          <w:sz w:val="20"/>
          <w:szCs w:val="20"/>
        </w:rPr>
        <w:t xml:space="preserve">scaler = </w:t>
      </w:r>
      <w:proofErr w:type="spellStart"/>
      <w:proofErr w:type="gramStart"/>
      <w:r>
        <w:rPr>
          <w:rFonts w:ascii="Courier New" w:eastAsia="Courier New" w:hAnsi="Courier New" w:cs="Courier New"/>
          <w:sz w:val="20"/>
          <w:szCs w:val="20"/>
        </w:rPr>
        <w:t>MinMaxScaler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feature_range</w:t>
      </w:r>
      <w:proofErr w:type="spellEnd"/>
      <w:r>
        <w:rPr>
          <w:rFonts w:ascii="Courier New" w:eastAsia="Courier New" w:hAnsi="Courier New" w:cs="Courier New"/>
          <w:sz w:val="20"/>
          <w:szCs w:val="20"/>
        </w:rPr>
        <w:t>=(0, 1))</w:t>
      </w:r>
    </w:p>
    <w:p w:rsidR="00774852" w:rsidRDefault="0083221F">
      <w:pPr>
        <w:spacing w:after="20" w:line="260" w:lineRule="auto"/>
        <w:ind w:left="720"/>
      </w:pPr>
      <w:proofErr w:type="spellStart"/>
      <w:r>
        <w:rPr>
          <w:rFonts w:ascii="Courier New" w:eastAsia="Courier New" w:hAnsi="Courier New" w:cs="Courier New"/>
          <w:sz w:val="20"/>
          <w:szCs w:val="20"/>
        </w:rPr>
        <w:t>data_train_scale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scaler.fit_transform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data_train</w:t>
      </w:r>
      <w:proofErr w:type="spellEnd"/>
      <w:r>
        <w:rPr>
          <w:rFonts w:ascii="Courier New" w:eastAsia="Courier New" w:hAnsi="Courier New" w:cs="Courier New"/>
          <w:sz w:val="20"/>
          <w:szCs w:val="20"/>
        </w:rPr>
        <w:t>)</w:t>
      </w:r>
    </w:p>
    <w:p w:rsidR="00774852" w:rsidRDefault="00774852">
      <w:pPr>
        <w:spacing w:after="80"/>
      </w:pPr>
    </w:p>
    <w:p w:rsidR="00774852" w:rsidRDefault="0083221F">
      <w:pPr>
        <w:spacing w:after="160" w:line="360" w:lineRule="auto"/>
        <w:ind w:firstLine="720"/>
        <w:jc w:val="both"/>
      </w:pPr>
      <w:r>
        <w:t xml:space="preserve">The scaler was fitted exclusively on the training data (using </w:t>
      </w:r>
      <w:proofErr w:type="spellStart"/>
      <w:r>
        <w:t>fit_transform</w:t>
      </w:r>
      <w:proofErr w:type="spellEnd"/>
      <w:r>
        <w:t xml:space="preserve">) to prevent data leakage. The same fitted scaler object was subsequently applied to transform the test data (using transform only), ensuring that the </w:t>
      </w:r>
      <w:proofErr w:type="spellStart"/>
      <w:r>
        <w:t>normalisation</w:t>
      </w:r>
      <w:proofErr w:type="spellEnd"/>
      <w:r>
        <w:t xml:space="preserve"> parameters reflect only information available prior to the test period. This practice is a mandatory safeguard in time series preprocessing, as computing </w:t>
      </w:r>
      <w:proofErr w:type="spellStart"/>
      <w:r>
        <w:t>normalisation</w:t>
      </w:r>
      <w:proofErr w:type="spellEnd"/>
      <w:r>
        <w:t xml:space="preserve"> parameters on the full dataset would inadvertently expose the model to future data during training.</w:t>
      </w:r>
    </w:p>
    <w:p w:rsidR="00774852" w:rsidRDefault="0083221F">
      <w:pPr>
        <w:spacing w:after="160" w:line="360" w:lineRule="auto"/>
        <w:ind w:firstLine="720"/>
        <w:jc w:val="both"/>
      </w:pPr>
      <w:r>
        <w:t xml:space="preserve">Following </w:t>
      </w:r>
      <w:proofErr w:type="spellStart"/>
      <w:r>
        <w:t>normalisation</w:t>
      </w:r>
      <w:proofErr w:type="spellEnd"/>
      <w:r>
        <w:t xml:space="preserve">, all Close price values in the training set were mapped to the range [0, 1], with the minimum training price corresponding to 0 and the maximum training price corresponding to 1. This rescaling is particularly important for LSTM models, whose sigmoid and </w:t>
      </w:r>
      <w:proofErr w:type="spellStart"/>
      <w:r>
        <w:t>tanh</w:t>
      </w:r>
      <w:proofErr w:type="spellEnd"/>
      <w:r>
        <w:t xml:space="preserve"> activation functions operate most effectively on inputs within bounded ranges, and whose gradient computations are </w:t>
      </w:r>
      <w:proofErr w:type="spellStart"/>
      <w:r>
        <w:t>stabilised</w:t>
      </w:r>
      <w:proofErr w:type="spellEnd"/>
      <w:r>
        <w:t xml:space="preserve"> when input magnitudes are controlled.</w:t>
      </w:r>
    </w:p>
    <w:p w:rsidR="00774852" w:rsidRDefault="0083221F">
      <w:pPr>
        <w:pStyle w:val="Heading3"/>
      </w:pPr>
      <w:r>
        <w:t>4.3.4 Sequence Construction</w:t>
      </w:r>
    </w:p>
    <w:p w:rsidR="00774852" w:rsidRDefault="0083221F">
      <w:pPr>
        <w:spacing w:after="160" w:line="360" w:lineRule="auto"/>
        <w:ind w:firstLine="720"/>
        <w:jc w:val="both"/>
      </w:pPr>
      <w:r>
        <w:t xml:space="preserve">A sliding window approach with a lookback period of 100 trading days was employed to construct input-output pairs for the LSTM model. For each sample, the input sequence consists of the </w:t>
      </w:r>
      <w:proofErr w:type="spellStart"/>
      <w:r>
        <w:t>normalised</w:t>
      </w:r>
      <w:proofErr w:type="spellEnd"/>
      <w:r>
        <w:t xml:space="preserve"> Close prices over the 100 days preceding the target day, and the output label is the </w:t>
      </w:r>
      <w:proofErr w:type="spellStart"/>
      <w:r>
        <w:t>normalised</w:t>
      </w:r>
      <w:proofErr w:type="spellEnd"/>
      <w:r>
        <w:t xml:space="preserve"> Close price on the target day:</w:t>
      </w:r>
    </w:p>
    <w:p w:rsidR="00774852" w:rsidRDefault="0083221F">
      <w:pPr>
        <w:spacing w:after="20" w:line="260" w:lineRule="auto"/>
        <w:ind w:left="720"/>
      </w:pPr>
      <w:r>
        <w:rPr>
          <w:rFonts w:ascii="Courier New" w:eastAsia="Courier New" w:hAnsi="Courier New" w:cs="Courier New"/>
          <w:sz w:val="20"/>
          <w:szCs w:val="20"/>
        </w:rPr>
        <w:t>x = []</w:t>
      </w:r>
    </w:p>
    <w:p w:rsidR="00774852" w:rsidRDefault="0083221F">
      <w:pPr>
        <w:spacing w:after="20" w:line="260" w:lineRule="auto"/>
        <w:ind w:left="720"/>
      </w:pPr>
      <w:r>
        <w:rPr>
          <w:rFonts w:ascii="Courier New" w:eastAsia="Courier New" w:hAnsi="Courier New" w:cs="Courier New"/>
          <w:sz w:val="20"/>
          <w:szCs w:val="20"/>
        </w:rPr>
        <w:t>y = []</w:t>
      </w:r>
    </w:p>
    <w:p w:rsidR="00774852" w:rsidRDefault="0083221F">
      <w:pPr>
        <w:spacing w:after="20" w:line="260" w:lineRule="auto"/>
        <w:ind w:left="72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in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 xml:space="preserve">100, </w:t>
      </w:r>
      <w:proofErr w:type="spellStart"/>
      <w:r>
        <w:rPr>
          <w:rFonts w:ascii="Courier New" w:eastAsia="Courier New" w:hAnsi="Courier New" w:cs="Courier New"/>
          <w:sz w:val="20"/>
          <w:szCs w:val="20"/>
        </w:rPr>
        <w:t>data_train_scale.shape</w:t>
      </w:r>
      <w:proofErr w:type="spellEnd"/>
      <w:r>
        <w:rPr>
          <w:rFonts w:ascii="Courier New" w:eastAsia="Courier New" w:hAnsi="Courier New" w:cs="Courier New"/>
          <w:sz w:val="20"/>
          <w:szCs w:val="20"/>
        </w:rPr>
        <w:t>[0]):</w:t>
      </w:r>
    </w:p>
    <w:p w:rsidR="00774852" w:rsidRDefault="0083221F">
      <w:pPr>
        <w:spacing w:after="20" w:line="26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w:t>
      </w:r>
      <w:proofErr w:type="gramStart"/>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data_train_scale</w:t>
      </w:r>
      <w:proofErr w:type="spellEnd"/>
      <w:r>
        <w:rPr>
          <w:rFonts w:ascii="Courier New" w:eastAsia="Courier New" w:hAnsi="Courier New" w:cs="Courier New"/>
          <w:sz w:val="20"/>
          <w:szCs w:val="20"/>
        </w:rPr>
        <w:t>[i-100:i, 0])   # 100-day lookback window</w:t>
      </w:r>
    </w:p>
    <w:p w:rsidR="00774852" w:rsidRDefault="0083221F">
      <w:pPr>
        <w:spacing w:after="20" w:line="26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y.append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data_train_scale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0])          # target: next day's price</w:t>
      </w:r>
    </w:p>
    <w:p w:rsidR="00774852" w:rsidRDefault="0083221F">
      <w:pPr>
        <w:spacing w:after="20" w:line="260" w:lineRule="auto"/>
        <w:ind w:left="720"/>
      </w:pPr>
      <w:r>
        <w:rPr>
          <w:rFonts w:ascii="Courier New" w:eastAsia="Courier New" w:hAnsi="Courier New" w:cs="Courier New"/>
          <w:sz w:val="20"/>
          <w:szCs w:val="20"/>
        </w:rPr>
        <w:t xml:space="preserve">x, y =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 xml:space="preserve">(x), </w:t>
      </w:r>
      <w:proofErr w:type="spellStart"/>
      <w:r>
        <w:rPr>
          <w:rFonts w:ascii="Courier New" w:eastAsia="Courier New" w:hAnsi="Courier New" w:cs="Courier New"/>
          <w:sz w:val="20"/>
          <w:szCs w:val="20"/>
        </w:rPr>
        <w:t>np.array</w:t>
      </w:r>
      <w:proofErr w:type="spellEnd"/>
      <w:r>
        <w:rPr>
          <w:rFonts w:ascii="Courier New" w:eastAsia="Courier New" w:hAnsi="Courier New" w:cs="Courier New"/>
          <w:sz w:val="20"/>
          <w:szCs w:val="20"/>
        </w:rPr>
        <w:t>(y)</w:t>
      </w:r>
    </w:p>
    <w:p w:rsidR="00774852" w:rsidRDefault="00774852">
      <w:pPr>
        <w:spacing w:after="80"/>
      </w:pPr>
    </w:p>
    <w:p w:rsidR="00774852" w:rsidRDefault="0083221F">
      <w:pPr>
        <w:spacing w:after="160" w:line="360" w:lineRule="auto"/>
        <w:ind w:firstLine="720"/>
        <w:jc w:val="both"/>
      </w:pPr>
      <w:r>
        <w:t xml:space="preserve">The selection of a 100-day lookback window is noteworthy. This is longer than the 60-day window specified in the Chapter Three methodology plan, representing an adaptive decision made during implementation. A 100-day window corresponds to approximately five calendar months of trading, which encompasses the full cycle of the 100-day MA computed during EDA. This alignment between the lookback window and the technical analysis window is methodologically coherent, as it ensures that the model's temporal receptive field mirrors the signal horizon of the primary technical indicator. Studies by </w:t>
      </w:r>
      <w:proofErr w:type="spellStart"/>
      <w:r>
        <w:t>Moghar</w:t>
      </w:r>
      <w:proofErr w:type="spellEnd"/>
      <w:r>
        <w:t xml:space="preserve"> and </w:t>
      </w:r>
      <w:proofErr w:type="spellStart"/>
      <w:r>
        <w:t>Hamiche</w:t>
      </w:r>
      <w:proofErr w:type="spellEnd"/>
      <w:r>
        <w:t xml:space="preserve"> (2020) and </w:t>
      </w:r>
      <w:proofErr w:type="spellStart"/>
      <w:r>
        <w:t>Qiu</w:t>
      </w:r>
      <w:proofErr w:type="spellEnd"/>
      <w:r>
        <w:t xml:space="preserve"> et al. (2020) have similarly demonstrated that matching the lookback window to key indicator periods can improve prediction consistency.</w:t>
      </w:r>
    </w:p>
    <w:p w:rsidR="00774852" w:rsidRDefault="0083221F">
      <w:pPr>
        <w:spacing w:after="160" w:line="360" w:lineRule="auto"/>
        <w:ind w:firstLine="720"/>
        <w:jc w:val="both"/>
      </w:pPr>
      <w:r>
        <w:t>After sequence construction, the training set yielded 2,716 input-output pairs (2,816 total records minus 100 records consumed by the first complete window). Each input x[</w:t>
      </w:r>
      <w:proofErr w:type="spellStart"/>
      <w:r>
        <w:t>i</w:t>
      </w:r>
      <w:proofErr w:type="spellEnd"/>
      <w:r>
        <w:t xml:space="preserve">] is a one-dimensional array of 100 </w:t>
      </w:r>
      <w:proofErr w:type="spellStart"/>
      <w:r>
        <w:t>normalised</w:t>
      </w:r>
      <w:proofErr w:type="spellEnd"/>
      <w:r>
        <w:t xml:space="preserve"> price values, which is reshaped into a three-dimensional array of shape (2,716, 100, 1) before being passed to the LSTM model.</w:t>
      </w:r>
    </w:p>
    <w:p w:rsidR="00774852" w:rsidRDefault="0083221F">
      <w:pPr>
        <w:pStyle w:val="Heading2"/>
      </w:pPr>
      <w:r>
        <w:t>4.4 LSTM Model Architecture</w:t>
      </w:r>
    </w:p>
    <w:p w:rsidR="00774852" w:rsidRDefault="0083221F">
      <w:pPr>
        <w:spacing w:after="160" w:line="360" w:lineRule="auto"/>
        <w:ind w:firstLine="720"/>
        <w:jc w:val="both"/>
      </w:pPr>
      <w:r>
        <w:t xml:space="preserve">The LSTM model was constructed using the </w:t>
      </w:r>
      <w:proofErr w:type="spellStart"/>
      <w:r>
        <w:t>Keras</w:t>
      </w:r>
      <w:proofErr w:type="spellEnd"/>
      <w:r>
        <w:t xml:space="preserve"> Sequential API with </w:t>
      </w:r>
      <w:proofErr w:type="spellStart"/>
      <w:r>
        <w:t>TensorFlow</w:t>
      </w:r>
      <w:proofErr w:type="spellEnd"/>
      <w:r>
        <w:t xml:space="preserve"> as the backend. The implemented architecture, as visible in Screenshot 2 (CODE_5.jpeg), consists of four stacked LSTM layers with progressively increasing unit counts and progressively increasing Dropout </w:t>
      </w:r>
      <w:proofErr w:type="spellStart"/>
      <w:r>
        <w:t>regularisation</w:t>
      </w:r>
      <w:proofErr w:type="spellEnd"/>
      <w:r>
        <w:t xml:space="preserve"> rates, followed by a single Dense output layer.</w:t>
      </w:r>
    </w:p>
    <w:p w:rsidR="00774852" w:rsidRDefault="0083221F">
      <w:pPr>
        <w:spacing w:before="100" w:after="100"/>
        <w:jc w:val="center"/>
      </w:pPr>
      <w:r>
        <w:rPr>
          <w:b/>
          <w:bCs/>
        </w:rPr>
        <w:t xml:space="preserve">Table 4.3: Implemented LSTM Architecture (as built in Google </w:t>
      </w:r>
      <w:proofErr w:type="spellStart"/>
      <w:r>
        <w:rPr>
          <w:b/>
          <w:bCs/>
        </w:rPr>
        <w:t>Colab</w:t>
      </w:r>
      <w:proofErr w:type="spellEnd"/>
      <w:r>
        <w:rPr>
          <w:b/>
          <w:bCs/>
        </w:rPr>
        <w:t>)</w:t>
      </w:r>
    </w:p>
    <w:tbl>
      <w:tblPr>
        <w:tblStyle w:val="TableGrid"/>
        <w:tblW w:w="6660" w:type="dxa"/>
        <w:jc w:val="center"/>
        <w:tblLook w:val="0000" w:firstRow="0" w:lastRow="0" w:firstColumn="0" w:lastColumn="0" w:noHBand="0" w:noVBand="0"/>
      </w:tblPr>
      <w:tblGrid>
        <w:gridCol w:w="727"/>
        <w:gridCol w:w="844"/>
        <w:gridCol w:w="1104"/>
        <w:gridCol w:w="1165"/>
        <w:gridCol w:w="1104"/>
        <w:gridCol w:w="1716"/>
      </w:tblGrid>
      <w:tr w:rsidR="00F942EB" w:rsidTr="009D7B1E">
        <w:trPr>
          <w:jc w:val="center"/>
        </w:trPr>
        <w:tc>
          <w:tcPr>
            <w:tcW w:w="600" w:type="dxa"/>
          </w:tcPr>
          <w:p w:rsidR="00774852" w:rsidRDefault="0083221F">
            <w:r>
              <w:rPr>
                <w:b/>
                <w:bCs/>
                <w:sz w:val="20"/>
                <w:szCs w:val="20"/>
              </w:rPr>
              <w:t>Layer</w:t>
            </w:r>
          </w:p>
        </w:tc>
        <w:tc>
          <w:tcPr>
            <w:tcW w:w="900" w:type="dxa"/>
          </w:tcPr>
          <w:p w:rsidR="00774852" w:rsidRDefault="0083221F">
            <w:r>
              <w:rPr>
                <w:b/>
                <w:bCs/>
                <w:sz w:val="20"/>
                <w:szCs w:val="20"/>
              </w:rPr>
              <w:t>Type</w:t>
            </w:r>
          </w:p>
        </w:tc>
        <w:tc>
          <w:tcPr>
            <w:tcW w:w="1200" w:type="dxa"/>
          </w:tcPr>
          <w:p w:rsidR="00774852" w:rsidRDefault="0083221F">
            <w:r>
              <w:rPr>
                <w:b/>
                <w:bCs/>
                <w:sz w:val="20"/>
                <w:szCs w:val="20"/>
              </w:rPr>
              <w:t>Units / Neurons</w:t>
            </w:r>
          </w:p>
        </w:tc>
        <w:tc>
          <w:tcPr>
            <w:tcW w:w="1200" w:type="dxa"/>
          </w:tcPr>
          <w:p w:rsidR="00774852" w:rsidRDefault="0083221F">
            <w:r>
              <w:rPr>
                <w:b/>
                <w:bCs/>
                <w:sz w:val="20"/>
                <w:szCs w:val="20"/>
              </w:rPr>
              <w:t>Activation</w:t>
            </w:r>
          </w:p>
        </w:tc>
        <w:tc>
          <w:tcPr>
            <w:tcW w:w="1200" w:type="dxa"/>
          </w:tcPr>
          <w:p w:rsidR="00774852" w:rsidRDefault="0083221F">
            <w:r>
              <w:rPr>
                <w:b/>
                <w:bCs/>
                <w:sz w:val="20"/>
                <w:szCs w:val="20"/>
              </w:rPr>
              <w:t>Dropout Rate</w:t>
            </w:r>
          </w:p>
        </w:tc>
        <w:tc>
          <w:tcPr>
            <w:tcW w:w="1560" w:type="dxa"/>
          </w:tcPr>
          <w:p w:rsidR="00774852" w:rsidRDefault="0083221F">
            <w:proofErr w:type="spellStart"/>
            <w:r>
              <w:rPr>
                <w:b/>
                <w:bCs/>
                <w:sz w:val="20"/>
                <w:szCs w:val="20"/>
              </w:rPr>
              <w:t>return_sequences</w:t>
            </w:r>
            <w:proofErr w:type="spellEnd"/>
          </w:p>
        </w:tc>
      </w:tr>
      <w:tr w:rsidR="00F942EB" w:rsidTr="009D7B1E">
        <w:trPr>
          <w:jc w:val="center"/>
        </w:trPr>
        <w:tc>
          <w:tcPr>
            <w:tcW w:w="600" w:type="dxa"/>
          </w:tcPr>
          <w:p w:rsidR="00774852" w:rsidRDefault="0083221F">
            <w:r>
              <w:rPr>
                <w:sz w:val="20"/>
                <w:szCs w:val="20"/>
              </w:rPr>
              <w:t>1</w:t>
            </w:r>
          </w:p>
        </w:tc>
        <w:tc>
          <w:tcPr>
            <w:tcW w:w="900" w:type="dxa"/>
          </w:tcPr>
          <w:p w:rsidR="00774852" w:rsidRDefault="0083221F">
            <w:r>
              <w:rPr>
                <w:sz w:val="20"/>
                <w:szCs w:val="20"/>
              </w:rPr>
              <w:t>LSTM</w:t>
            </w:r>
          </w:p>
        </w:tc>
        <w:tc>
          <w:tcPr>
            <w:tcW w:w="1200" w:type="dxa"/>
          </w:tcPr>
          <w:p w:rsidR="00774852" w:rsidRDefault="0083221F">
            <w:r>
              <w:rPr>
                <w:sz w:val="20"/>
                <w:szCs w:val="20"/>
              </w:rPr>
              <w:t>50</w:t>
            </w:r>
          </w:p>
        </w:tc>
        <w:tc>
          <w:tcPr>
            <w:tcW w:w="1200" w:type="dxa"/>
          </w:tcPr>
          <w:p w:rsidR="00774852" w:rsidRDefault="0083221F">
            <w:proofErr w:type="spellStart"/>
            <w:r>
              <w:rPr>
                <w:sz w:val="20"/>
                <w:szCs w:val="20"/>
              </w:rPr>
              <w:t>ReLU</w:t>
            </w:r>
            <w:proofErr w:type="spellEnd"/>
          </w:p>
        </w:tc>
        <w:tc>
          <w:tcPr>
            <w:tcW w:w="1200" w:type="dxa"/>
          </w:tcPr>
          <w:p w:rsidR="00774852" w:rsidRDefault="0083221F">
            <w:r>
              <w:rPr>
                <w:sz w:val="20"/>
                <w:szCs w:val="20"/>
              </w:rPr>
              <w:t>0.20</w:t>
            </w:r>
          </w:p>
        </w:tc>
        <w:tc>
          <w:tcPr>
            <w:tcW w:w="1560" w:type="dxa"/>
          </w:tcPr>
          <w:p w:rsidR="00774852" w:rsidRDefault="0083221F">
            <w:r>
              <w:rPr>
                <w:sz w:val="20"/>
                <w:szCs w:val="20"/>
              </w:rPr>
              <w:t>True</w:t>
            </w:r>
          </w:p>
        </w:tc>
      </w:tr>
      <w:tr w:rsidR="00F942EB" w:rsidTr="009D7B1E">
        <w:trPr>
          <w:jc w:val="center"/>
        </w:trPr>
        <w:tc>
          <w:tcPr>
            <w:tcW w:w="600" w:type="dxa"/>
          </w:tcPr>
          <w:p w:rsidR="00774852" w:rsidRDefault="0083221F">
            <w:r>
              <w:rPr>
                <w:sz w:val="20"/>
                <w:szCs w:val="20"/>
              </w:rPr>
              <w:t>2</w:t>
            </w:r>
          </w:p>
        </w:tc>
        <w:tc>
          <w:tcPr>
            <w:tcW w:w="900" w:type="dxa"/>
          </w:tcPr>
          <w:p w:rsidR="00774852" w:rsidRDefault="0083221F">
            <w:r>
              <w:rPr>
                <w:sz w:val="20"/>
                <w:szCs w:val="20"/>
              </w:rPr>
              <w:t>LSTM</w:t>
            </w:r>
          </w:p>
        </w:tc>
        <w:tc>
          <w:tcPr>
            <w:tcW w:w="1200" w:type="dxa"/>
          </w:tcPr>
          <w:p w:rsidR="00774852" w:rsidRDefault="0083221F">
            <w:r>
              <w:rPr>
                <w:sz w:val="20"/>
                <w:szCs w:val="20"/>
              </w:rPr>
              <w:t>60</w:t>
            </w:r>
          </w:p>
        </w:tc>
        <w:tc>
          <w:tcPr>
            <w:tcW w:w="1200" w:type="dxa"/>
          </w:tcPr>
          <w:p w:rsidR="00774852" w:rsidRDefault="0083221F">
            <w:proofErr w:type="spellStart"/>
            <w:r>
              <w:rPr>
                <w:sz w:val="20"/>
                <w:szCs w:val="20"/>
              </w:rPr>
              <w:t>ReLU</w:t>
            </w:r>
            <w:proofErr w:type="spellEnd"/>
          </w:p>
        </w:tc>
        <w:tc>
          <w:tcPr>
            <w:tcW w:w="1200" w:type="dxa"/>
          </w:tcPr>
          <w:p w:rsidR="00774852" w:rsidRDefault="0083221F">
            <w:r>
              <w:rPr>
                <w:sz w:val="20"/>
                <w:szCs w:val="20"/>
              </w:rPr>
              <w:t>0.30</w:t>
            </w:r>
          </w:p>
        </w:tc>
        <w:tc>
          <w:tcPr>
            <w:tcW w:w="1560" w:type="dxa"/>
          </w:tcPr>
          <w:p w:rsidR="00774852" w:rsidRDefault="0083221F">
            <w:r>
              <w:rPr>
                <w:sz w:val="20"/>
                <w:szCs w:val="20"/>
              </w:rPr>
              <w:t>True</w:t>
            </w:r>
          </w:p>
        </w:tc>
      </w:tr>
      <w:tr w:rsidR="00F942EB" w:rsidTr="009D7B1E">
        <w:trPr>
          <w:jc w:val="center"/>
        </w:trPr>
        <w:tc>
          <w:tcPr>
            <w:tcW w:w="600" w:type="dxa"/>
          </w:tcPr>
          <w:p w:rsidR="00774852" w:rsidRDefault="0083221F">
            <w:r>
              <w:rPr>
                <w:sz w:val="20"/>
                <w:szCs w:val="20"/>
              </w:rPr>
              <w:t>3</w:t>
            </w:r>
          </w:p>
        </w:tc>
        <w:tc>
          <w:tcPr>
            <w:tcW w:w="900" w:type="dxa"/>
          </w:tcPr>
          <w:p w:rsidR="00774852" w:rsidRDefault="0083221F">
            <w:r>
              <w:rPr>
                <w:sz w:val="20"/>
                <w:szCs w:val="20"/>
              </w:rPr>
              <w:t>LSTM</w:t>
            </w:r>
          </w:p>
        </w:tc>
        <w:tc>
          <w:tcPr>
            <w:tcW w:w="1200" w:type="dxa"/>
          </w:tcPr>
          <w:p w:rsidR="00774852" w:rsidRDefault="0083221F">
            <w:r>
              <w:rPr>
                <w:sz w:val="20"/>
                <w:szCs w:val="20"/>
              </w:rPr>
              <w:t>80</w:t>
            </w:r>
          </w:p>
        </w:tc>
        <w:tc>
          <w:tcPr>
            <w:tcW w:w="1200" w:type="dxa"/>
          </w:tcPr>
          <w:p w:rsidR="00774852" w:rsidRDefault="0083221F">
            <w:proofErr w:type="spellStart"/>
            <w:r>
              <w:rPr>
                <w:sz w:val="20"/>
                <w:szCs w:val="20"/>
              </w:rPr>
              <w:t>ReLU</w:t>
            </w:r>
            <w:proofErr w:type="spellEnd"/>
          </w:p>
        </w:tc>
        <w:tc>
          <w:tcPr>
            <w:tcW w:w="1200" w:type="dxa"/>
          </w:tcPr>
          <w:p w:rsidR="00774852" w:rsidRDefault="0083221F">
            <w:r>
              <w:rPr>
                <w:sz w:val="20"/>
                <w:szCs w:val="20"/>
              </w:rPr>
              <w:t>0.40</w:t>
            </w:r>
          </w:p>
        </w:tc>
        <w:tc>
          <w:tcPr>
            <w:tcW w:w="1560" w:type="dxa"/>
          </w:tcPr>
          <w:p w:rsidR="00774852" w:rsidRDefault="0083221F">
            <w:r>
              <w:rPr>
                <w:sz w:val="20"/>
                <w:szCs w:val="20"/>
              </w:rPr>
              <w:t>True</w:t>
            </w:r>
          </w:p>
        </w:tc>
      </w:tr>
      <w:tr w:rsidR="00F942EB" w:rsidTr="009D7B1E">
        <w:trPr>
          <w:jc w:val="center"/>
        </w:trPr>
        <w:tc>
          <w:tcPr>
            <w:tcW w:w="600" w:type="dxa"/>
          </w:tcPr>
          <w:p w:rsidR="00774852" w:rsidRDefault="0083221F">
            <w:r>
              <w:rPr>
                <w:sz w:val="20"/>
                <w:szCs w:val="20"/>
              </w:rPr>
              <w:t>4</w:t>
            </w:r>
          </w:p>
        </w:tc>
        <w:tc>
          <w:tcPr>
            <w:tcW w:w="900" w:type="dxa"/>
          </w:tcPr>
          <w:p w:rsidR="00774852" w:rsidRDefault="0083221F">
            <w:r>
              <w:rPr>
                <w:sz w:val="20"/>
                <w:szCs w:val="20"/>
              </w:rPr>
              <w:t>LSTM</w:t>
            </w:r>
          </w:p>
        </w:tc>
        <w:tc>
          <w:tcPr>
            <w:tcW w:w="1200" w:type="dxa"/>
          </w:tcPr>
          <w:p w:rsidR="00774852" w:rsidRDefault="0083221F">
            <w:r>
              <w:rPr>
                <w:sz w:val="20"/>
                <w:szCs w:val="20"/>
              </w:rPr>
              <w:t>120</w:t>
            </w:r>
          </w:p>
        </w:tc>
        <w:tc>
          <w:tcPr>
            <w:tcW w:w="1200" w:type="dxa"/>
          </w:tcPr>
          <w:p w:rsidR="00774852" w:rsidRDefault="0083221F">
            <w:proofErr w:type="spellStart"/>
            <w:r>
              <w:rPr>
                <w:sz w:val="20"/>
                <w:szCs w:val="20"/>
              </w:rPr>
              <w:t>ReLU</w:t>
            </w:r>
            <w:proofErr w:type="spellEnd"/>
          </w:p>
        </w:tc>
        <w:tc>
          <w:tcPr>
            <w:tcW w:w="1200" w:type="dxa"/>
          </w:tcPr>
          <w:p w:rsidR="00774852" w:rsidRDefault="0083221F">
            <w:r>
              <w:rPr>
                <w:sz w:val="20"/>
                <w:szCs w:val="20"/>
              </w:rPr>
              <w:t>0.50</w:t>
            </w:r>
          </w:p>
        </w:tc>
        <w:tc>
          <w:tcPr>
            <w:tcW w:w="1560" w:type="dxa"/>
          </w:tcPr>
          <w:p w:rsidR="00774852" w:rsidRDefault="0083221F">
            <w:r>
              <w:rPr>
                <w:sz w:val="20"/>
                <w:szCs w:val="20"/>
              </w:rPr>
              <w:t>False</w:t>
            </w:r>
          </w:p>
        </w:tc>
      </w:tr>
      <w:tr w:rsidR="00F942EB" w:rsidTr="009D7B1E">
        <w:trPr>
          <w:jc w:val="center"/>
        </w:trPr>
        <w:tc>
          <w:tcPr>
            <w:tcW w:w="600" w:type="dxa"/>
          </w:tcPr>
          <w:p w:rsidR="00774852" w:rsidRDefault="0083221F">
            <w:r>
              <w:rPr>
                <w:sz w:val="20"/>
                <w:szCs w:val="20"/>
              </w:rPr>
              <w:t>5</w:t>
            </w:r>
          </w:p>
        </w:tc>
        <w:tc>
          <w:tcPr>
            <w:tcW w:w="900" w:type="dxa"/>
          </w:tcPr>
          <w:p w:rsidR="00774852" w:rsidRDefault="0083221F">
            <w:r>
              <w:rPr>
                <w:sz w:val="20"/>
                <w:szCs w:val="20"/>
              </w:rPr>
              <w:t>Dense</w:t>
            </w:r>
          </w:p>
        </w:tc>
        <w:tc>
          <w:tcPr>
            <w:tcW w:w="1200" w:type="dxa"/>
          </w:tcPr>
          <w:p w:rsidR="00774852" w:rsidRDefault="0083221F">
            <w:r>
              <w:rPr>
                <w:sz w:val="20"/>
                <w:szCs w:val="20"/>
              </w:rPr>
              <w:t>1</w:t>
            </w:r>
          </w:p>
        </w:tc>
        <w:tc>
          <w:tcPr>
            <w:tcW w:w="1200" w:type="dxa"/>
          </w:tcPr>
          <w:p w:rsidR="00774852" w:rsidRDefault="0083221F">
            <w:r>
              <w:rPr>
                <w:sz w:val="20"/>
                <w:szCs w:val="20"/>
              </w:rPr>
              <w:t>Linear (default)</w:t>
            </w:r>
          </w:p>
        </w:tc>
        <w:tc>
          <w:tcPr>
            <w:tcW w:w="1200" w:type="dxa"/>
          </w:tcPr>
          <w:p w:rsidR="00774852" w:rsidRDefault="0083221F">
            <w:r>
              <w:rPr>
                <w:sz w:val="20"/>
                <w:szCs w:val="20"/>
              </w:rPr>
              <w:t>—</w:t>
            </w:r>
          </w:p>
        </w:tc>
        <w:tc>
          <w:tcPr>
            <w:tcW w:w="1560" w:type="dxa"/>
          </w:tcPr>
          <w:p w:rsidR="00774852" w:rsidRDefault="0083221F">
            <w:r>
              <w:rPr>
                <w:sz w:val="20"/>
                <w:szCs w:val="20"/>
              </w:rPr>
              <w:t>—</w:t>
            </w:r>
          </w:p>
        </w:tc>
      </w:tr>
    </w:tbl>
    <w:p w:rsidR="00774852" w:rsidRDefault="00774852">
      <w:pPr>
        <w:spacing w:after="80"/>
      </w:pPr>
    </w:p>
    <w:p w:rsidR="00774852" w:rsidRDefault="0083221F">
      <w:pPr>
        <w:spacing w:after="160" w:line="360" w:lineRule="auto"/>
        <w:ind w:firstLine="720"/>
        <w:jc w:val="both"/>
      </w:pPr>
      <w:r>
        <w:t>The implemented architecture represents a deep, progressive stacking strategy. The four LSTM layers contain 50, 60, 80, and 120 units respectively, creating an expanding representational capacity at each deeper layer. This design philosophy differs from the symmetric architecture described in Chapter Three (which proposed 128 and 64 units in a narrowing arrangement), reflecting an empirical exploration during implementation that resulted in an expanding capacity design. The expanding unit count encourages the network to build increasingly complex representations of the temporal patterns as information flows through successive layers.</w:t>
      </w:r>
    </w:p>
    <w:p w:rsidR="00774852" w:rsidRDefault="0083221F">
      <w:pPr>
        <w:spacing w:after="160" w:line="360" w:lineRule="auto"/>
        <w:ind w:firstLine="720"/>
        <w:jc w:val="both"/>
      </w:pPr>
      <w:r>
        <w:t xml:space="preserve">Each LSTM layer (except the last) uses </w:t>
      </w:r>
      <w:proofErr w:type="spellStart"/>
      <w:r>
        <w:t>return_sequences</w:t>
      </w:r>
      <w:proofErr w:type="spellEnd"/>
      <w:r>
        <w:t xml:space="preserve">=True, which passes the full sequence of hidden states to the subsequent layer, enabling each subsequent LSTM to learn from the temporal dynamics captured by the previous layer. The final LSTM layer (120 units) uses </w:t>
      </w:r>
      <w:proofErr w:type="spellStart"/>
      <w:r>
        <w:t>return_sequences</w:t>
      </w:r>
      <w:proofErr w:type="spellEnd"/>
      <w:r>
        <w:t>=False, outputting only the hidden state at the final time step</w:t>
      </w:r>
      <w:r w:rsidR="008B74AA">
        <w:t xml:space="preserve"> </w:t>
      </w:r>
      <w:r>
        <w:t>a compressed representation of the entire 100-day input sequence</w:t>
      </w:r>
      <w:r w:rsidR="008B74AA">
        <w:t xml:space="preserve"> </w:t>
      </w:r>
      <w:r>
        <w:t>which is then passed to the Dense output layer.</w:t>
      </w:r>
    </w:p>
    <w:p w:rsidR="00774852" w:rsidRDefault="0083221F">
      <w:pPr>
        <w:spacing w:after="160" w:line="360" w:lineRule="auto"/>
        <w:ind w:firstLine="720"/>
        <w:jc w:val="both"/>
      </w:pPr>
      <w:r>
        <w:t xml:space="preserve">The Dropout </w:t>
      </w:r>
      <w:proofErr w:type="spellStart"/>
      <w:r>
        <w:t>regularisation</w:t>
      </w:r>
      <w:proofErr w:type="spellEnd"/>
      <w:r>
        <w:t xml:space="preserve"> rates follow a monotonically increasing schedule (0.2, 0.3, 0.4, 0.5), applying progressively stronger </w:t>
      </w:r>
      <w:proofErr w:type="spellStart"/>
      <w:r>
        <w:t>regularisation</w:t>
      </w:r>
      <w:proofErr w:type="spellEnd"/>
      <w:r>
        <w:t xml:space="preserve"> at deeper layers. This design is motivated by the consideration that deeper </w:t>
      </w:r>
      <w:proofErr w:type="gramStart"/>
      <w:r>
        <w:t>layers</w:t>
      </w:r>
      <w:proofErr w:type="gramEnd"/>
      <w:r>
        <w:t xml:space="preserve"> capture more abstract and potentially </w:t>
      </w:r>
      <w:proofErr w:type="spellStart"/>
      <w:r>
        <w:t>overfit</w:t>
      </w:r>
      <w:proofErr w:type="spellEnd"/>
      <w:r>
        <w:t xml:space="preserve">-prone representations, and thus benefit from stronger </w:t>
      </w:r>
      <w:proofErr w:type="spellStart"/>
      <w:r>
        <w:t>regularisation</w:t>
      </w:r>
      <w:proofErr w:type="spellEnd"/>
      <w:r>
        <w:t>. The 50% Dropout rate applied after the final LSTM layer is particularly aggressive, discarding half of the 120 LSTM output units randomly during each training step, which strongly encourages the network to learn robust, redundant representations rather than relying on any single feature pathway.</w:t>
      </w:r>
    </w:p>
    <w:p w:rsidR="00774852" w:rsidRDefault="0083221F">
      <w:pPr>
        <w:spacing w:after="160" w:line="360" w:lineRule="auto"/>
        <w:ind w:firstLine="720"/>
        <w:jc w:val="both"/>
      </w:pPr>
      <w:r>
        <w:t xml:space="preserve">The use of </w:t>
      </w:r>
      <w:proofErr w:type="spellStart"/>
      <w:r>
        <w:t>ReLU</w:t>
      </w:r>
      <w:proofErr w:type="spellEnd"/>
      <w:r>
        <w:t xml:space="preserve"> (Rectified Linear Unit) activation in the LSTM units, rather than the conventional </w:t>
      </w:r>
      <w:proofErr w:type="spellStart"/>
      <w:r>
        <w:t>tanh</w:t>
      </w:r>
      <w:proofErr w:type="spellEnd"/>
      <w:r>
        <w:t xml:space="preserve"> activation, is an unconventional but increasingly adopted choice in recent deep learning literature (Xu et al., 2015). </w:t>
      </w:r>
      <w:proofErr w:type="spellStart"/>
      <w:r>
        <w:t>ReLU</w:t>
      </w:r>
      <w:proofErr w:type="spellEnd"/>
      <w:r>
        <w:t xml:space="preserve"> mitigates the vanishing gradient problem more effectively than </w:t>
      </w:r>
      <w:proofErr w:type="spellStart"/>
      <w:r>
        <w:t>tanh</w:t>
      </w:r>
      <w:proofErr w:type="spellEnd"/>
      <w:r>
        <w:t xml:space="preserve"> for very deep networks, and can accelerate convergence. However, it also introduces the risk of 'dying </w:t>
      </w:r>
      <w:proofErr w:type="spellStart"/>
      <w:r>
        <w:t>ReLU</w:t>
      </w:r>
      <w:proofErr w:type="spellEnd"/>
      <w:r>
        <w:t xml:space="preserve">' neurons. For the purposes of this implementation, </w:t>
      </w:r>
      <w:proofErr w:type="spellStart"/>
      <w:r>
        <w:t>ReLU</w:t>
      </w:r>
      <w:proofErr w:type="spellEnd"/>
      <w:r>
        <w:t xml:space="preserve"> activation in the LSTM gates was accepted as an architectural choice, and the convergence </w:t>
      </w:r>
      <w:proofErr w:type="spellStart"/>
      <w:r>
        <w:t>behaviour</w:t>
      </w:r>
      <w:proofErr w:type="spellEnd"/>
      <w:r>
        <w:t xml:space="preserve"> observed during training (Section 4.5) confirms its practical effectiveness.</w:t>
      </w:r>
    </w:p>
    <w:p w:rsidR="00774852" w:rsidRDefault="0083221F">
      <w:pPr>
        <w:spacing w:after="160" w:line="360" w:lineRule="auto"/>
        <w:ind w:firstLine="720"/>
        <w:jc w:val="both"/>
      </w:pPr>
      <w:r>
        <w:t xml:space="preserve">The model was compiled with the Adam </w:t>
      </w:r>
      <w:proofErr w:type="spellStart"/>
      <w:r>
        <w:t>optimiser</w:t>
      </w:r>
      <w:proofErr w:type="spellEnd"/>
      <w:r>
        <w:t xml:space="preserve"> and Mean Squared Error (MSE) as the loss function, consistent with the methodology plan. Adam's adaptive learning rate and momentum-based gradient updates make it well-suited for training deep LSTM networks on financial time series, where the loss landscape may be highly non-convex.</w:t>
      </w:r>
    </w:p>
    <w:p w:rsidR="00774852" w:rsidRDefault="0083221F">
      <w:pPr>
        <w:pStyle w:val="Heading2"/>
      </w:pPr>
      <w:r>
        <w:t>4.5 Model Training and Convergence Analysis</w:t>
      </w:r>
    </w:p>
    <w:p w:rsidR="00774852" w:rsidRDefault="0083221F">
      <w:pPr>
        <w:pStyle w:val="Heading3"/>
      </w:pPr>
      <w:r>
        <w:t>4.5.1 Training Configuration</w:t>
      </w:r>
    </w:p>
    <w:p w:rsidR="00774852" w:rsidRDefault="0083221F">
      <w:pPr>
        <w:spacing w:after="160" w:line="360" w:lineRule="auto"/>
        <w:ind w:firstLine="720"/>
        <w:jc w:val="both"/>
      </w:pPr>
      <w:r>
        <w:t>The model was trained using the following configuration, as visible in Screenshot 2 (CODE_5.jpeg) and confirmed by the training log in Screenshots 1 and 2 (CODE_5.jpeg and CODE_6.jpeg):</w:t>
      </w:r>
    </w:p>
    <w:p w:rsidR="008B74AA" w:rsidRDefault="008B74AA">
      <w:pPr>
        <w:spacing w:after="160" w:line="360" w:lineRule="auto"/>
        <w:ind w:firstLine="720"/>
        <w:jc w:val="both"/>
      </w:pPr>
    </w:p>
    <w:p w:rsidR="00774852" w:rsidRDefault="008B74AA" w:rsidP="008B74AA">
      <w:pPr>
        <w:spacing w:after="160" w:line="360" w:lineRule="auto"/>
        <w:ind w:firstLine="720"/>
      </w:pPr>
      <w:r w:rsidRPr="008B74AA">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0</wp:posOffset>
            </wp:positionV>
            <wp:extent cx="5676335" cy="3214370"/>
            <wp:effectExtent l="0" t="0" r="635" b="5080"/>
            <wp:wrapSquare wrapText="bothSides"/>
            <wp:docPr id="1" name="Picture 1" descr="C:\Users\DELL\Desktop\RESEARCH WORK\CODE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RESEARCH WORK\CODE 5.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6335" cy="3214370"/>
                    </a:xfrm>
                    <a:prstGeom prst="rect">
                      <a:avLst/>
                    </a:prstGeom>
                    <a:noFill/>
                    <a:ln>
                      <a:noFill/>
                    </a:ln>
                  </pic:spPr>
                </pic:pic>
              </a:graphicData>
            </a:graphic>
          </wp:anchor>
        </w:drawing>
      </w:r>
      <w:proofErr w:type="spellStart"/>
      <w:proofErr w:type="gramStart"/>
      <w:r w:rsidR="0083221F">
        <w:rPr>
          <w:rFonts w:ascii="Courier New" w:eastAsia="Courier New" w:hAnsi="Courier New" w:cs="Courier New"/>
          <w:sz w:val="20"/>
          <w:szCs w:val="20"/>
        </w:rPr>
        <w:t>model.fit</w:t>
      </w:r>
      <w:proofErr w:type="spellEnd"/>
      <w:r w:rsidR="0083221F">
        <w:rPr>
          <w:rFonts w:ascii="Courier New" w:eastAsia="Courier New" w:hAnsi="Courier New" w:cs="Courier New"/>
          <w:sz w:val="20"/>
          <w:szCs w:val="20"/>
        </w:rPr>
        <w:t>(</w:t>
      </w:r>
      <w:proofErr w:type="gramEnd"/>
      <w:r w:rsidR="0083221F">
        <w:rPr>
          <w:rFonts w:ascii="Courier New" w:eastAsia="Courier New" w:hAnsi="Courier New" w:cs="Courier New"/>
          <w:sz w:val="20"/>
          <w:szCs w:val="20"/>
        </w:rPr>
        <w:t xml:space="preserve">x, y, epochs=50, </w:t>
      </w:r>
      <w:proofErr w:type="spellStart"/>
      <w:r w:rsidR="0083221F">
        <w:rPr>
          <w:rFonts w:ascii="Courier New" w:eastAsia="Courier New" w:hAnsi="Courier New" w:cs="Courier New"/>
          <w:sz w:val="20"/>
          <w:szCs w:val="20"/>
        </w:rPr>
        <w:t>batch_size</w:t>
      </w:r>
      <w:proofErr w:type="spellEnd"/>
      <w:r w:rsidR="0083221F">
        <w:rPr>
          <w:rFonts w:ascii="Courier New" w:eastAsia="Courier New" w:hAnsi="Courier New" w:cs="Courier New"/>
          <w:sz w:val="20"/>
          <w:szCs w:val="20"/>
        </w:rPr>
        <w:t>=32, verbose=1)</w:t>
      </w:r>
    </w:p>
    <w:p w:rsidR="00774852" w:rsidRDefault="0083221F">
      <w:pPr>
        <w:spacing w:after="160" w:line="360" w:lineRule="auto"/>
        <w:ind w:firstLine="720"/>
        <w:jc w:val="both"/>
      </w:pPr>
      <w:r>
        <w:t xml:space="preserve">The training was conducted for 50 epochs with a batch size of 32 samples. At each epoch, the 2,716 training samples were divided into 85 mini-batches of 32 samples each (2716 / 32 ≈ 85 steps per epoch, consistent with the '85/85' progress indicator visible in the training log). The training was performed entirely on the CPU provided by Google </w:t>
      </w:r>
      <w:proofErr w:type="spellStart"/>
      <w:r>
        <w:t>Colab's</w:t>
      </w:r>
      <w:proofErr w:type="spellEnd"/>
      <w:r>
        <w:t xml:space="preserve"> standard runtime environment. Each epoch required between 20 and 41 seconds to complete, with an average step time of approximately 230–250 milliseconds per mini-batch.</w:t>
      </w:r>
    </w:p>
    <w:p w:rsidR="00774852" w:rsidRDefault="0083221F">
      <w:pPr>
        <w:pStyle w:val="Heading3"/>
      </w:pPr>
      <w:r>
        <w:t>4.5.2 Training Loss Progression</w:t>
      </w:r>
    </w:p>
    <w:p w:rsidR="00774852" w:rsidRDefault="0083221F">
      <w:pPr>
        <w:spacing w:after="160" w:line="360" w:lineRule="auto"/>
        <w:ind w:firstLine="720"/>
        <w:jc w:val="both"/>
      </w:pPr>
      <w:r>
        <w:t>The training loss values recorded at each epoch, as extracted directly from the training log visible in Screenshots 1 and 2, are presented in Table 4.4 below.</w:t>
      </w:r>
    </w:p>
    <w:p w:rsidR="00774852" w:rsidRDefault="0083221F">
      <w:pPr>
        <w:spacing w:before="100" w:after="100"/>
        <w:jc w:val="center"/>
      </w:pPr>
      <w:r>
        <w:rPr>
          <w:b/>
          <w:bCs/>
        </w:rPr>
        <w:t>Table 4.4: LSTM Training Loss per Epoch (MSE, first 22 epochs shown)</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00"/>
        <w:gridCol w:w="2000"/>
        <w:gridCol w:w="2400"/>
        <w:gridCol w:w="4060"/>
      </w:tblGrid>
      <w:tr w:rsidR="00774852" w:rsidTr="008B74AA">
        <w:tc>
          <w:tcPr>
            <w:tcW w:w="900" w:type="dxa"/>
            <w:tcBorders>
              <w:top w:val="single" w:sz="4" w:space="0" w:color="auto"/>
              <w:bottom w:val="single" w:sz="4" w:space="0" w:color="auto"/>
            </w:tcBorders>
          </w:tcPr>
          <w:p w:rsidR="00774852" w:rsidRDefault="0083221F">
            <w:r>
              <w:rPr>
                <w:b/>
                <w:bCs/>
                <w:sz w:val="20"/>
                <w:szCs w:val="20"/>
              </w:rPr>
              <w:t>Epoch</w:t>
            </w:r>
          </w:p>
        </w:tc>
        <w:tc>
          <w:tcPr>
            <w:tcW w:w="2000" w:type="dxa"/>
            <w:tcBorders>
              <w:top w:val="single" w:sz="4" w:space="0" w:color="auto"/>
              <w:bottom w:val="single" w:sz="4" w:space="0" w:color="auto"/>
            </w:tcBorders>
          </w:tcPr>
          <w:p w:rsidR="00774852" w:rsidRDefault="0083221F">
            <w:r>
              <w:rPr>
                <w:b/>
                <w:bCs/>
                <w:sz w:val="20"/>
                <w:szCs w:val="20"/>
              </w:rPr>
              <w:t>Training Loss (MSE)</w:t>
            </w:r>
          </w:p>
        </w:tc>
        <w:tc>
          <w:tcPr>
            <w:tcW w:w="2400" w:type="dxa"/>
            <w:tcBorders>
              <w:top w:val="single" w:sz="4" w:space="0" w:color="auto"/>
              <w:bottom w:val="single" w:sz="4" w:space="0" w:color="auto"/>
            </w:tcBorders>
          </w:tcPr>
          <w:p w:rsidR="00774852" w:rsidRDefault="0083221F">
            <w:r>
              <w:rPr>
                <w:b/>
                <w:bCs/>
                <w:sz w:val="20"/>
                <w:szCs w:val="20"/>
              </w:rPr>
              <w:t>Step Time</w:t>
            </w:r>
          </w:p>
        </w:tc>
        <w:tc>
          <w:tcPr>
            <w:tcW w:w="4060" w:type="dxa"/>
            <w:tcBorders>
              <w:top w:val="single" w:sz="4" w:space="0" w:color="auto"/>
              <w:bottom w:val="single" w:sz="4" w:space="0" w:color="auto"/>
            </w:tcBorders>
          </w:tcPr>
          <w:p w:rsidR="00774852" w:rsidRDefault="0083221F">
            <w:r>
              <w:rPr>
                <w:b/>
                <w:bCs/>
                <w:sz w:val="20"/>
                <w:szCs w:val="20"/>
              </w:rPr>
              <w:t>Change from Previous</w:t>
            </w:r>
          </w:p>
        </w:tc>
      </w:tr>
      <w:tr w:rsidR="00774852" w:rsidTr="008B74AA">
        <w:tc>
          <w:tcPr>
            <w:tcW w:w="900" w:type="dxa"/>
            <w:tcBorders>
              <w:top w:val="single" w:sz="4" w:space="0" w:color="auto"/>
            </w:tcBorders>
          </w:tcPr>
          <w:p w:rsidR="00774852" w:rsidRDefault="0083221F">
            <w:r>
              <w:rPr>
                <w:sz w:val="20"/>
                <w:szCs w:val="20"/>
              </w:rPr>
              <w:t>1</w:t>
            </w:r>
          </w:p>
        </w:tc>
        <w:tc>
          <w:tcPr>
            <w:tcW w:w="2000" w:type="dxa"/>
            <w:tcBorders>
              <w:top w:val="single" w:sz="4" w:space="0" w:color="auto"/>
            </w:tcBorders>
          </w:tcPr>
          <w:p w:rsidR="00774852" w:rsidRDefault="0083221F">
            <w:r>
              <w:rPr>
                <w:sz w:val="20"/>
                <w:szCs w:val="20"/>
              </w:rPr>
              <w:t>0.0652</w:t>
            </w:r>
          </w:p>
        </w:tc>
        <w:tc>
          <w:tcPr>
            <w:tcW w:w="2400" w:type="dxa"/>
            <w:tcBorders>
              <w:top w:val="single" w:sz="4" w:space="0" w:color="auto"/>
            </w:tcBorders>
          </w:tcPr>
          <w:p w:rsidR="00774852" w:rsidRDefault="0083221F">
            <w:r>
              <w:rPr>
                <w:sz w:val="20"/>
                <w:szCs w:val="20"/>
              </w:rPr>
              <w:t>26s 232ms/step</w:t>
            </w:r>
          </w:p>
        </w:tc>
        <w:tc>
          <w:tcPr>
            <w:tcW w:w="4060" w:type="dxa"/>
            <w:tcBorders>
              <w:top w:val="single" w:sz="4" w:space="0" w:color="auto"/>
            </w:tcBorders>
          </w:tcPr>
          <w:p w:rsidR="00774852" w:rsidRDefault="0083221F">
            <w:r>
              <w:rPr>
                <w:sz w:val="20"/>
                <w:szCs w:val="20"/>
              </w:rPr>
              <w:t>—</w:t>
            </w:r>
          </w:p>
        </w:tc>
      </w:tr>
      <w:tr w:rsidR="00774852" w:rsidTr="008B74AA">
        <w:tc>
          <w:tcPr>
            <w:tcW w:w="900" w:type="dxa"/>
          </w:tcPr>
          <w:p w:rsidR="00774852" w:rsidRDefault="0083221F">
            <w:r>
              <w:rPr>
                <w:sz w:val="20"/>
                <w:szCs w:val="20"/>
              </w:rPr>
              <w:t>2</w:t>
            </w:r>
          </w:p>
        </w:tc>
        <w:tc>
          <w:tcPr>
            <w:tcW w:w="2000" w:type="dxa"/>
          </w:tcPr>
          <w:p w:rsidR="00774852" w:rsidRDefault="0083221F">
            <w:r>
              <w:rPr>
                <w:sz w:val="20"/>
                <w:szCs w:val="20"/>
              </w:rPr>
              <w:t>0.0068</w:t>
            </w:r>
          </w:p>
        </w:tc>
        <w:tc>
          <w:tcPr>
            <w:tcW w:w="2400" w:type="dxa"/>
          </w:tcPr>
          <w:p w:rsidR="00774852" w:rsidRDefault="0083221F">
            <w:r>
              <w:rPr>
                <w:sz w:val="20"/>
                <w:szCs w:val="20"/>
              </w:rPr>
              <w:t>21s 247ms/step</w:t>
            </w:r>
          </w:p>
        </w:tc>
        <w:tc>
          <w:tcPr>
            <w:tcW w:w="4060" w:type="dxa"/>
          </w:tcPr>
          <w:p w:rsidR="00774852" w:rsidRDefault="0083221F">
            <w:r>
              <w:rPr>
                <w:sz w:val="20"/>
                <w:szCs w:val="20"/>
              </w:rPr>
              <w:t>-89.6%</w:t>
            </w:r>
          </w:p>
        </w:tc>
      </w:tr>
      <w:tr w:rsidR="00774852" w:rsidTr="008B74AA">
        <w:tc>
          <w:tcPr>
            <w:tcW w:w="900" w:type="dxa"/>
          </w:tcPr>
          <w:p w:rsidR="00774852" w:rsidRDefault="0083221F">
            <w:r>
              <w:rPr>
                <w:sz w:val="20"/>
                <w:szCs w:val="20"/>
              </w:rPr>
              <w:t>3</w:t>
            </w:r>
          </w:p>
        </w:tc>
        <w:tc>
          <w:tcPr>
            <w:tcW w:w="2000" w:type="dxa"/>
          </w:tcPr>
          <w:p w:rsidR="00774852" w:rsidRDefault="0083221F">
            <w:r>
              <w:rPr>
                <w:sz w:val="20"/>
                <w:szCs w:val="20"/>
              </w:rPr>
              <w:t>0.0055</w:t>
            </w:r>
          </w:p>
        </w:tc>
        <w:tc>
          <w:tcPr>
            <w:tcW w:w="2400" w:type="dxa"/>
          </w:tcPr>
          <w:p w:rsidR="00774852" w:rsidRDefault="0083221F">
            <w:r>
              <w:rPr>
                <w:sz w:val="20"/>
                <w:szCs w:val="20"/>
              </w:rPr>
              <w:t>41s 250ms/step</w:t>
            </w:r>
          </w:p>
        </w:tc>
        <w:tc>
          <w:tcPr>
            <w:tcW w:w="4060" w:type="dxa"/>
          </w:tcPr>
          <w:p w:rsidR="00774852" w:rsidRDefault="0083221F">
            <w:r>
              <w:rPr>
                <w:sz w:val="20"/>
                <w:szCs w:val="20"/>
              </w:rPr>
              <w:t>-19.1%</w:t>
            </w:r>
          </w:p>
        </w:tc>
      </w:tr>
      <w:tr w:rsidR="00774852" w:rsidTr="008B74AA">
        <w:tc>
          <w:tcPr>
            <w:tcW w:w="900" w:type="dxa"/>
          </w:tcPr>
          <w:p w:rsidR="00774852" w:rsidRDefault="0083221F">
            <w:r>
              <w:rPr>
                <w:sz w:val="20"/>
                <w:szCs w:val="20"/>
              </w:rPr>
              <w:t>4</w:t>
            </w:r>
          </w:p>
        </w:tc>
        <w:tc>
          <w:tcPr>
            <w:tcW w:w="2000" w:type="dxa"/>
          </w:tcPr>
          <w:p w:rsidR="00774852" w:rsidRDefault="0083221F">
            <w:r>
              <w:rPr>
                <w:sz w:val="20"/>
                <w:szCs w:val="20"/>
              </w:rPr>
              <w:t>0.0053</w:t>
            </w:r>
          </w:p>
        </w:tc>
        <w:tc>
          <w:tcPr>
            <w:tcW w:w="2400" w:type="dxa"/>
          </w:tcPr>
          <w:p w:rsidR="00774852" w:rsidRDefault="0083221F">
            <w:r>
              <w:rPr>
                <w:sz w:val="20"/>
                <w:szCs w:val="20"/>
              </w:rPr>
              <w:t>39s 231ms/step</w:t>
            </w:r>
          </w:p>
        </w:tc>
        <w:tc>
          <w:tcPr>
            <w:tcW w:w="4060" w:type="dxa"/>
          </w:tcPr>
          <w:p w:rsidR="00774852" w:rsidRDefault="0083221F">
            <w:r>
              <w:rPr>
                <w:sz w:val="20"/>
                <w:szCs w:val="20"/>
              </w:rPr>
              <w:t>-3.6%</w:t>
            </w:r>
          </w:p>
        </w:tc>
      </w:tr>
      <w:tr w:rsidR="00774852" w:rsidTr="008B74AA">
        <w:tc>
          <w:tcPr>
            <w:tcW w:w="900" w:type="dxa"/>
          </w:tcPr>
          <w:p w:rsidR="00774852" w:rsidRDefault="0083221F">
            <w:r>
              <w:rPr>
                <w:sz w:val="20"/>
                <w:szCs w:val="20"/>
              </w:rPr>
              <w:t>5</w:t>
            </w:r>
          </w:p>
        </w:tc>
        <w:tc>
          <w:tcPr>
            <w:tcW w:w="2000" w:type="dxa"/>
          </w:tcPr>
          <w:p w:rsidR="00774852" w:rsidRDefault="0083221F">
            <w:r>
              <w:rPr>
                <w:sz w:val="20"/>
                <w:szCs w:val="20"/>
              </w:rPr>
              <w:t>0.0037</w:t>
            </w:r>
          </w:p>
        </w:tc>
        <w:tc>
          <w:tcPr>
            <w:tcW w:w="2400" w:type="dxa"/>
          </w:tcPr>
          <w:p w:rsidR="00774852" w:rsidRDefault="0083221F">
            <w:r>
              <w:rPr>
                <w:sz w:val="20"/>
                <w:szCs w:val="20"/>
              </w:rPr>
              <w:t>21s 247ms/step</w:t>
            </w:r>
          </w:p>
        </w:tc>
        <w:tc>
          <w:tcPr>
            <w:tcW w:w="4060" w:type="dxa"/>
          </w:tcPr>
          <w:p w:rsidR="00774852" w:rsidRDefault="0083221F">
            <w:r>
              <w:rPr>
                <w:sz w:val="20"/>
                <w:szCs w:val="20"/>
              </w:rPr>
              <w:t>-30.2%</w:t>
            </w:r>
          </w:p>
        </w:tc>
      </w:tr>
      <w:tr w:rsidR="00774852" w:rsidTr="008B74AA">
        <w:tc>
          <w:tcPr>
            <w:tcW w:w="900" w:type="dxa"/>
          </w:tcPr>
          <w:p w:rsidR="00774852" w:rsidRDefault="0083221F">
            <w:r>
              <w:rPr>
                <w:sz w:val="20"/>
                <w:szCs w:val="20"/>
              </w:rPr>
              <w:t>6</w:t>
            </w:r>
          </w:p>
        </w:tc>
        <w:tc>
          <w:tcPr>
            <w:tcW w:w="2000" w:type="dxa"/>
          </w:tcPr>
          <w:p w:rsidR="00774852" w:rsidRDefault="0083221F">
            <w:r>
              <w:rPr>
                <w:sz w:val="20"/>
                <w:szCs w:val="20"/>
              </w:rPr>
              <w:t>0.0036</w:t>
            </w:r>
          </w:p>
        </w:tc>
        <w:tc>
          <w:tcPr>
            <w:tcW w:w="2400" w:type="dxa"/>
          </w:tcPr>
          <w:p w:rsidR="00774852" w:rsidRDefault="0083221F">
            <w:r>
              <w:rPr>
                <w:sz w:val="20"/>
                <w:szCs w:val="20"/>
              </w:rPr>
              <w:t>40s 232ms/step</w:t>
            </w:r>
          </w:p>
        </w:tc>
        <w:tc>
          <w:tcPr>
            <w:tcW w:w="4060" w:type="dxa"/>
          </w:tcPr>
          <w:p w:rsidR="00774852" w:rsidRDefault="0083221F">
            <w:r>
              <w:rPr>
                <w:sz w:val="20"/>
                <w:szCs w:val="20"/>
              </w:rPr>
              <w:t>-2.7%</w:t>
            </w:r>
          </w:p>
        </w:tc>
      </w:tr>
      <w:tr w:rsidR="00774852" w:rsidTr="008B74AA">
        <w:tc>
          <w:tcPr>
            <w:tcW w:w="900" w:type="dxa"/>
          </w:tcPr>
          <w:p w:rsidR="00774852" w:rsidRDefault="0083221F">
            <w:r>
              <w:rPr>
                <w:sz w:val="20"/>
                <w:szCs w:val="20"/>
              </w:rPr>
              <w:t>7</w:t>
            </w:r>
          </w:p>
        </w:tc>
        <w:tc>
          <w:tcPr>
            <w:tcW w:w="2000" w:type="dxa"/>
          </w:tcPr>
          <w:p w:rsidR="00774852" w:rsidRDefault="0083221F">
            <w:r>
              <w:rPr>
                <w:sz w:val="20"/>
                <w:szCs w:val="20"/>
              </w:rPr>
              <w:t>0.0040</w:t>
            </w:r>
          </w:p>
        </w:tc>
        <w:tc>
          <w:tcPr>
            <w:tcW w:w="2400" w:type="dxa"/>
          </w:tcPr>
          <w:p w:rsidR="00774852" w:rsidRDefault="0083221F">
            <w:r>
              <w:rPr>
                <w:sz w:val="20"/>
                <w:szCs w:val="20"/>
              </w:rPr>
              <w:t>22s 247ms/step</w:t>
            </w:r>
          </w:p>
        </w:tc>
        <w:tc>
          <w:tcPr>
            <w:tcW w:w="4060" w:type="dxa"/>
          </w:tcPr>
          <w:p w:rsidR="00774852" w:rsidRDefault="0083221F">
            <w:r>
              <w:rPr>
                <w:sz w:val="20"/>
                <w:szCs w:val="20"/>
              </w:rPr>
              <w:t>11.1%</w:t>
            </w:r>
          </w:p>
        </w:tc>
      </w:tr>
      <w:tr w:rsidR="00774852" w:rsidTr="008B74AA">
        <w:tc>
          <w:tcPr>
            <w:tcW w:w="900" w:type="dxa"/>
          </w:tcPr>
          <w:p w:rsidR="00774852" w:rsidRDefault="0083221F">
            <w:r>
              <w:rPr>
                <w:sz w:val="20"/>
                <w:szCs w:val="20"/>
              </w:rPr>
              <w:t>8</w:t>
            </w:r>
          </w:p>
        </w:tc>
        <w:tc>
          <w:tcPr>
            <w:tcW w:w="2000" w:type="dxa"/>
          </w:tcPr>
          <w:p w:rsidR="00774852" w:rsidRDefault="0083221F">
            <w:r>
              <w:rPr>
                <w:sz w:val="20"/>
                <w:szCs w:val="20"/>
              </w:rPr>
              <w:t>0.0046</w:t>
            </w:r>
          </w:p>
        </w:tc>
        <w:tc>
          <w:tcPr>
            <w:tcW w:w="2400" w:type="dxa"/>
          </w:tcPr>
          <w:p w:rsidR="00774852" w:rsidRDefault="0083221F">
            <w:r>
              <w:rPr>
                <w:sz w:val="20"/>
                <w:szCs w:val="20"/>
              </w:rPr>
              <w:t>20s 236ms/step</w:t>
            </w:r>
          </w:p>
        </w:tc>
        <w:tc>
          <w:tcPr>
            <w:tcW w:w="4060" w:type="dxa"/>
          </w:tcPr>
          <w:p w:rsidR="00774852" w:rsidRDefault="0083221F">
            <w:r>
              <w:rPr>
                <w:sz w:val="20"/>
                <w:szCs w:val="20"/>
              </w:rPr>
              <w:t>15.0%</w:t>
            </w:r>
          </w:p>
        </w:tc>
      </w:tr>
      <w:tr w:rsidR="00774852" w:rsidTr="008B74AA">
        <w:tc>
          <w:tcPr>
            <w:tcW w:w="900" w:type="dxa"/>
          </w:tcPr>
          <w:p w:rsidR="00774852" w:rsidRDefault="0083221F">
            <w:r>
              <w:rPr>
                <w:sz w:val="20"/>
                <w:szCs w:val="20"/>
              </w:rPr>
              <w:t>9</w:t>
            </w:r>
          </w:p>
        </w:tc>
        <w:tc>
          <w:tcPr>
            <w:tcW w:w="2000" w:type="dxa"/>
          </w:tcPr>
          <w:p w:rsidR="00774852" w:rsidRDefault="0083221F">
            <w:r>
              <w:rPr>
                <w:sz w:val="20"/>
                <w:szCs w:val="20"/>
              </w:rPr>
              <w:t>0.0032</w:t>
            </w:r>
          </w:p>
        </w:tc>
        <w:tc>
          <w:tcPr>
            <w:tcW w:w="2400" w:type="dxa"/>
          </w:tcPr>
          <w:p w:rsidR="00774852" w:rsidRDefault="0083221F">
            <w:r>
              <w:rPr>
                <w:sz w:val="20"/>
                <w:szCs w:val="20"/>
              </w:rPr>
              <w:t>21s 236ms/step</w:t>
            </w:r>
          </w:p>
        </w:tc>
        <w:tc>
          <w:tcPr>
            <w:tcW w:w="4060" w:type="dxa"/>
          </w:tcPr>
          <w:p w:rsidR="00774852" w:rsidRDefault="0083221F">
            <w:r>
              <w:rPr>
                <w:sz w:val="20"/>
                <w:szCs w:val="20"/>
              </w:rPr>
              <w:t>-30.4%</w:t>
            </w:r>
          </w:p>
        </w:tc>
      </w:tr>
      <w:tr w:rsidR="00774852" w:rsidTr="008B74AA">
        <w:tc>
          <w:tcPr>
            <w:tcW w:w="900" w:type="dxa"/>
          </w:tcPr>
          <w:p w:rsidR="00774852" w:rsidRDefault="0083221F">
            <w:r>
              <w:rPr>
                <w:sz w:val="20"/>
                <w:szCs w:val="20"/>
              </w:rPr>
              <w:t>10</w:t>
            </w:r>
          </w:p>
        </w:tc>
        <w:tc>
          <w:tcPr>
            <w:tcW w:w="2000" w:type="dxa"/>
          </w:tcPr>
          <w:p w:rsidR="00774852" w:rsidRDefault="0083221F">
            <w:r>
              <w:rPr>
                <w:sz w:val="20"/>
                <w:szCs w:val="20"/>
              </w:rPr>
              <w:t>0.0035</w:t>
            </w:r>
          </w:p>
        </w:tc>
        <w:tc>
          <w:tcPr>
            <w:tcW w:w="2400" w:type="dxa"/>
          </w:tcPr>
          <w:p w:rsidR="00774852" w:rsidRDefault="0083221F">
            <w:r>
              <w:rPr>
                <w:sz w:val="20"/>
                <w:szCs w:val="20"/>
              </w:rPr>
              <w:t>21s 247ms/step</w:t>
            </w:r>
          </w:p>
        </w:tc>
        <w:tc>
          <w:tcPr>
            <w:tcW w:w="4060" w:type="dxa"/>
          </w:tcPr>
          <w:p w:rsidR="00774852" w:rsidRDefault="0083221F">
            <w:r>
              <w:rPr>
                <w:sz w:val="20"/>
                <w:szCs w:val="20"/>
              </w:rPr>
              <w:t>9.4%</w:t>
            </w:r>
          </w:p>
        </w:tc>
      </w:tr>
      <w:tr w:rsidR="00774852" w:rsidTr="008B74AA">
        <w:tc>
          <w:tcPr>
            <w:tcW w:w="900" w:type="dxa"/>
          </w:tcPr>
          <w:p w:rsidR="00774852" w:rsidRDefault="0083221F">
            <w:r>
              <w:rPr>
                <w:sz w:val="20"/>
                <w:szCs w:val="20"/>
              </w:rPr>
              <w:t>11</w:t>
            </w:r>
          </w:p>
        </w:tc>
        <w:tc>
          <w:tcPr>
            <w:tcW w:w="2000" w:type="dxa"/>
          </w:tcPr>
          <w:p w:rsidR="00774852" w:rsidRDefault="0083221F">
            <w:r>
              <w:rPr>
                <w:sz w:val="20"/>
                <w:szCs w:val="20"/>
              </w:rPr>
              <w:t>0.0033</w:t>
            </w:r>
          </w:p>
        </w:tc>
        <w:tc>
          <w:tcPr>
            <w:tcW w:w="2400" w:type="dxa"/>
          </w:tcPr>
          <w:p w:rsidR="00774852" w:rsidRDefault="0083221F">
            <w:r>
              <w:rPr>
                <w:sz w:val="20"/>
                <w:szCs w:val="20"/>
              </w:rPr>
              <w:t>20s 231ms/step</w:t>
            </w:r>
          </w:p>
        </w:tc>
        <w:tc>
          <w:tcPr>
            <w:tcW w:w="4060" w:type="dxa"/>
          </w:tcPr>
          <w:p w:rsidR="00774852" w:rsidRDefault="0083221F">
            <w:r>
              <w:rPr>
                <w:sz w:val="20"/>
                <w:szCs w:val="20"/>
              </w:rPr>
              <w:t>-5.7%</w:t>
            </w:r>
          </w:p>
        </w:tc>
      </w:tr>
      <w:tr w:rsidR="00774852" w:rsidTr="008B74AA">
        <w:tc>
          <w:tcPr>
            <w:tcW w:w="900" w:type="dxa"/>
          </w:tcPr>
          <w:p w:rsidR="00774852" w:rsidRDefault="0083221F">
            <w:r>
              <w:rPr>
                <w:sz w:val="20"/>
                <w:szCs w:val="20"/>
              </w:rPr>
              <w:t>12</w:t>
            </w:r>
          </w:p>
        </w:tc>
        <w:tc>
          <w:tcPr>
            <w:tcW w:w="2000" w:type="dxa"/>
          </w:tcPr>
          <w:p w:rsidR="00774852" w:rsidRDefault="0083221F">
            <w:r>
              <w:rPr>
                <w:sz w:val="20"/>
                <w:szCs w:val="20"/>
              </w:rPr>
              <w:t>0.0028</w:t>
            </w:r>
          </w:p>
        </w:tc>
        <w:tc>
          <w:tcPr>
            <w:tcW w:w="2400" w:type="dxa"/>
          </w:tcPr>
          <w:p w:rsidR="00774852" w:rsidRDefault="0083221F">
            <w:r>
              <w:rPr>
                <w:sz w:val="20"/>
                <w:szCs w:val="20"/>
              </w:rPr>
              <w:t>21s 247ms/step</w:t>
            </w:r>
          </w:p>
        </w:tc>
        <w:tc>
          <w:tcPr>
            <w:tcW w:w="4060" w:type="dxa"/>
          </w:tcPr>
          <w:p w:rsidR="00774852" w:rsidRDefault="0083221F">
            <w:r>
              <w:rPr>
                <w:sz w:val="20"/>
                <w:szCs w:val="20"/>
              </w:rPr>
              <w:t>-15.2%</w:t>
            </w:r>
          </w:p>
        </w:tc>
      </w:tr>
      <w:tr w:rsidR="00774852" w:rsidTr="008B74AA">
        <w:tc>
          <w:tcPr>
            <w:tcW w:w="900" w:type="dxa"/>
          </w:tcPr>
          <w:p w:rsidR="00774852" w:rsidRDefault="0083221F">
            <w:r>
              <w:rPr>
                <w:sz w:val="20"/>
                <w:szCs w:val="20"/>
              </w:rPr>
              <w:t>13</w:t>
            </w:r>
          </w:p>
        </w:tc>
        <w:tc>
          <w:tcPr>
            <w:tcW w:w="2000" w:type="dxa"/>
          </w:tcPr>
          <w:p w:rsidR="00774852" w:rsidRDefault="0083221F">
            <w:r>
              <w:rPr>
                <w:sz w:val="20"/>
                <w:szCs w:val="20"/>
              </w:rPr>
              <w:t>0.0032</w:t>
            </w:r>
          </w:p>
        </w:tc>
        <w:tc>
          <w:tcPr>
            <w:tcW w:w="2400" w:type="dxa"/>
          </w:tcPr>
          <w:p w:rsidR="00774852" w:rsidRDefault="0083221F">
            <w:r>
              <w:rPr>
                <w:sz w:val="20"/>
                <w:szCs w:val="20"/>
              </w:rPr>
              <w:t>40s 232ms/step</w:t>
            </w:r>
          </w:p>
        </w:tc>
        <w:tc>
          <w:tcPr>
            <w:tcW w:w="4060" w:type="dxa"/>
          </w:tcPr>
          <w:p w:rsidR="00774852" w:rsidRDefault="0083221F">
            <w:r>
              <w:rPr>
                <w:sz w:val="20"/>
                <w:szCs w:val="20"/>
              </w:rPr>
              <w:t>14.3%</w:t>
            </w:r>
          </w:p>
        </w:tc>
      </w:tr>
      <w:tr w:rsidR="00774852" w:rsidTr="008B74AA">
        <w:tc>
          <w:tcPr>
            <w:tcW w:w="900" w:type="dxa"/>
          </w:tcPr>
          <w:p w:rsidR="00774852" w:rsidRDefault="0083221F">
            <w:r>
              <w:rPr>
                <w:sz w:val="20"/>
                <w:szCs w:val="20"/>
              </w:rPr>
              <w:t>14</w:t>
            </w:r>
          </w:p>
        </w:tc>
        <w:tc>
          <w:tcPr>
            <w:tcW w:w="2000" w:type="dxa"/>
          </w:tcPr>
          <w:p w:rsidR="00774852" w:rsidRDefault="0083221F">
            <w:r>
              <w:rPr>
                <w:sz w:val="20"/>
                <w:szCs w:val="20"/>
              </w:rPr>
              <w:t>0.0027</w:t>
            </w:r>
          </w:p>
        </w:tc>
        <w:tc>
          <w:tcPr>
            <w:tcW w:w="2400" w:type="dxa"/>
          </w:tcPr>
          <w:p w:rsidR="00774852" w:rsidRDefault="0083221F">
            <w:r>
              <w:rPr>
                <w:sz w:val="20"/>
                <w:szCs w:val="20"/>
              </w:rPr>
              <w:t>21s 247ms/step</w:t>
            </w:r>
          </w:p>
        </w:tc>
        <w:tc>
          <w:tcPr>
            <w:tcW w:w="4060" w:type="dxa"/>
          </w:tcPr>
          <w:p w:rsidR="00774852" w:rsidRDefault="0083221F">
            <w:r>
              <w:rPr>
                <w:sz w:val="20"/>
                <w:szCs w:val="20"/>
              </w:rPr>
              <w:t>-15.6%</w:t>
            </w:r>
          </w:p>
        </w:tc>
      </w:tr>
      <w:tr w:rsidR="00774852" w:rsidTr="008B74AA">
        <w:tc>
          <w:tcPr>
            <w:tcW w:w="900" w:type="dxa"/>
          </w:tcPr>
          <w:p w:rsidR="00774852" w:rsidRDefault="0083221F">
            <w:r>
              <w:rPr>
                <w:sz w:val="20"/>
                <w:szCs w:val="20"/>
              </w:rPr>
              <w:t>15</w:t>
            </w:r>
          </w:p>
        </w:tc>
        <w:tc>
          <w:tcPr>
            <w:tcW w:w="2000" w:type="dxa"/>
          </w:tcPr>
          <w:p w:rsidR="00774852" w:rsidRDefault="0083221F">
            <w:r>
              <w:rPr>
                <w:sz w:val="20"/>
                <w:szCs w:val="20"/>
              </w:rPr>
              <w:t>0.0029</w:t>
            </w:r>
          </w:p>
        </w:tc>
        <w:tc>
          <w:tcPr>
            <w:tcW w:w="2400" w:type="dxa"/>
          </w:tcPr>
          <w:p w:rsidR="00774852" w:rsidRDefault="0083221F">
            <w:r>
              <w:rPr>
                <w:sz w:val="20"/>
                <w:szCs w:val="20"/>
              </w:rPr>
              <w:t>20s 230ms/step</w:t>
            </w:r>
          </w:p>
        </w:tc>
        <w:tc>
          <w:tcPr>
            <w:tcW w:w="4060" w:type="dxa"/>
          </w:tcPr>
          <w:p w:rsidR="00774852" w:rsidRDefault="0083221F">
            <w:r>
              <w:rPr>
                <w:sz w:val="20"/>
                <w:szCs w:val="20"/>
              </w:rPr>
              <w:t>7.4%</w:t>
            </w:r>
          </w:p>
        </w:tc>
      </w:tr>
      <w:tr w:rsidR="00774852" w:rsidTr="008B74AA">
        <w:tc>
          <w:tcPr>
            <w:tcW w:w="900" w:type="dxa"/>
          </w:tcPr>
          <w:p w:rsidR="00774852" w:rsidRDefault="0083221F">
            <w:r>
              <w:rPr>
                <w:sz w:val="20"/>
                <w:szCs w:val="20"/>
              </w:rPr>
              <w:t>16</w:t>
            </w:r>
          </w:p>
        </w:tc>
        <w:tc>
          <w:tcPr>
            <w:tcW w:w="2000" w:type="dxa"/>
          </w:tcPr>
          <w:p w:rsidR="00774852" w:rsidRDefault="0083221F">
            <w:r>
              <w:rPr>
                <w:sz w:val="20"/>
                <w:szCs w:val="20"/>
              </w:rPr>
              <w:t>0.0023</w:t>
            </w:r>
          </w:p>
        </w:tc>
        <w:tc>
          <w:tcPr>
            <w:tcW w:w="2400" w:type="dxa"/>
          </w:tcPr>
          <w:p w:rsidR="00774852" w:rsidRDefault="0083221F">
            <w:r>
              <w:rPr>
                <w:sz w:val="20"/>
                <w:szCs w:val="20"/>
              </w:rPr>
              <w:t>21s 247ms/step</w:t>
            </w:r>
          </w:p>
        </w:tc>
        <w:tc>
          <w:tcPr>
            <w:tcW w:w="4060" w:type="dxa"/>
          </w:tcPr>
          <w:p w:rsidR="00774852" w:rsidRDefault="0083221F">
            <w:r>
              <w:rPr>
                <w:sz w:val="20"/>
                <w:szCs w:val="20"/>
              </w:rPr>
              <w:t>-20.7%</w:t>
            </w:r>
          </w:p>
        </w:tc>
      </w:tr>
      <w:tr w:rsidR="00774852" w:rsidTr="008B74AA">
        <w:tc>
          <w:tcPr>
            <w:tcW w:w="900" w:type="dxa"/>
          </w:tcPr>
          <w:p w:rsidR="00774852" w:rsidRDefault="0083221F">
            <w:r>
              <w:rPr>
                <w:sz w:val="20"/>
                <w:szCs w:val="20"/>
              </w:rPr>
              <w:t>17</w:t>
            </w:r>
          </w:p>
        </w:tc>
        <w:tc>
          <w:tcPr>
            <w:tcW w:w="2000" w:type="dxa"/>
          </w:tcPr>
          <w:p w:rsidR="00774852" w:rsidRDefault="0083221F">
            <w:r>
              <w:rPr>
                <w:sz w:val="20"/>
                <w:szCs w:val="20"/>
              </w:rPr>
              <w:t>0.0027</w:t>
            </w:r>
          </w:p>
        </w:tc>
        <w:tc>
          <w:tcPr>
            <w:tcW w:w="2400" w:type="dxa"/>
          </w:tcPr>
          <w:p w:rsidR="00774852" w:rsidRDefault="0083221F">
            <w:r>
              <w:rPr>
                <w:sz w:val="20"/>
                <w:szCs w:val="20"/>
              </w:rPr>
              <w:t>40s 231ms/step</w:t>
            </w:r>
          </w:p>
        </w:tc>
        <w:tc>
          <w:tcPr>
            <w:tcW w:w="4060" w:type="dxa"/>
          </w:tcPr>
          <w:p w:rsidR="00774852" w:rsidRDefault="0083221F">
            <w:r>
              <w:rPr>
                <w:sz w:val="20"/>
                <w:szCs w:val="20"/>
              </w:rPr>
              <w:t>17.4%</w:t>
            </w:r>
          </w:p>
        </w:tc>
      </w:tr>
      <w:tr w:rsidR="00774852" w:rsidTr="008B74AA">
        <w:tc>
          <w:tcPr>
            <w:tcW w:w="900" w:type="dxa"/>
          </w:tcPr>
          <w:p w:rsidR="00774852" w:rsidRDefault="0083221F">
            <w:r>
              <w:rPr>
                <w:sz w:val="20"/>
                <w:szCs w:val="20"/>
              </w:rPr>
              <w:t>18</w:t>
            </w:r>
          </w:p>
        </w:tc>
        <w:tc>
          <w:tcPr>
            <w:tcW w:w="2000" w:type="dxa"/>
          </w:tcPr>
          <w:p w:rsidR="00774852" w:rsidRDefault="0083221F">
            <w:r>
              <w:rPr>
                <w:sz w:val="20"/>
                <w:szCs w:val="20"/>
              </w:rPr>
              <w:t>0.0028</w:t>
            </w:r>
          </w:p>
        </w:tc>
        <w:tc>
          <w:tcPr>
            <w:tcW w:w="2400" w:type="dxa"/>
          </w:tcPr>
          <w:p w:rsidR="00774852" w:rsidRDefault="0083221F">
            <w:r>
              <w:rPr>
                <w:sz w:val="20"/>
                <w:szCs w:val="20"/>
              </w:rPr>
              <w:t>21s 246ms/step</w:t>
            </w:r>
          </w:p>
        </w:tc>
        <w:tc>
          <w:tcPr>
            <w:tcW w:w="4060" w:type="dxa"/>
          </w:tcPr>
          <w:p w:rsidR="00774852" w:rsidRDefault="0083221F">
            <w:r>
              <w:rPr>
                <w:sz w:val="20"/>
                <w:szCs w:val="20"/>
              </w:rPr>
              <w:t>3.7%</w:t>
            </w:r>
          </w:p>
        </w:tc>
      </w:tr>
      <w:tr w:rsidR="00774852" w:rsidTr="008B74AA">
        <w:tc>
          <w:tcPr>
            <w:tcW w:w="900" w:type="dxa"/>
          </w:tcPr>
          <w:p w:rsidR="00774852" w:rsidRDefault="0083221F">
            <w:r>
              <w:rPr>
                <w:sz w:val="20"/>
                <w:szCs w:val="20"/>
              </w:rPr>
              <w:t>19</w:t>
            </w:r>
          </w:p>
        </w:tc>
        <w:tc>
          <w:tcPr>
            <w:tcW w:w="2000" w:type="dxa"/>
          </w:tcPr>
          <w:p w:rsidR="00774852" w:rsidRDefault="0083221F">
            <w:r>
              <w:rPr>
                <w:sz w:val="20"/>
                <w:szCs w:val="20"/>
              </w:rPr>
              <w:t>0.0030</w:t>
            </w:r>
          </w:p>
        </w:tc>
        <w:tc>
          <w:tcPr>
            <w:tcW w:w="2400" w:type="dxa"/>
          </w:tcPr>
          <w:p w:rsidR="00774852" w:rsidRDefault="0083221F">
            <w:r>
              <w:rPr>
                <w:sz w:val="20"/>
                <w:szCs w:val="20"/>
              </w:rPr>
              <w:t>20s 232ms/step</w:t>
            </w:r>
          </w:p>
        </w:tc>
        <w:tc>
          <w:tcPr>
            <w:tcW w:w="4060" w:type="dxa"/>
          </w:tcPr>
          <w:p w:rsidR="00774852" w:rsidRDefault="0083221F">
            <w:r>
              <w:rPr>
                <w:sz w:val="20"/>
                <w:szCs w:val="20"/>
              </w:rPr>
              <w:t>7.1%</w:t>
            </w:r>
          </w:p>
        </w:tc>
      </w:tr>
      <w:tr w:rsidR="00774852" w:rsidTr="008B74AA">
        <w:tc>
          <w:tcPr>
            <w:tcW w:w="900" w:type="dxa"/>
          </w:tcPr>
          <w:p w:rsidR="00774852" w:rsidRDefault="0083221F">
            <w:r>
              <w:rPr>
                <w:sz w:val="20"/>
                <w:szCs w:val="20"/>
              </w:rPr>
              <w:t>20</w:t>
            </w:r>
          </w:p>
        </w:tc>
        <w:tc>
          <w:tcPr>
            <w:tcW w:w="2000" w:type="dxa"/>
          </w:tcPr>
          <w:p w:rsidR="00774852" w:rsidRDefault="0083221F">
            <w:r>
              <w:rPr>
                <w:sz w:val="20"/>
                <w:szCs w:val="20"/>
              </w:rPr>
              <w:t>0.0027</w:t>
            </w:r>
          </w:p>
        </w:tc>
        <w:tc>
          <w:tcPr>
            <w:tcW w:w="2400" w:type="dxa"/>
          </w:tcPr>
          <w:p w:rsidR="00774852" w:rsidRDefault="0083221F">
            <w:r>
              <w:rPr>
                <w:sz w:val="20"/>
                <w:szCs w:val="20"/>
              </w:rPr>
              <w:t>22s 246ms/step</w:t>
            </w:r>
          </w:p>
        </w:tc>
        <w:tc>
          <w:tcPr>
            <w:tcW w:w="4060" w:type="dxa"/>
          </w:tcPr>
          <w:p w:rsidR="00774852" w:rsidRDefault="0083221F">
            <w:r>
              <w:rPr>
                <w:sz w:val="20"/>
                <w:szCs w:val="20"/>
              </w:rPr>
              <w:t>-10.0%</w:t>
            </w:r>
          </w:p>
        </w:tc>
      </w:tr>
      <w:tr w:rsidR="00774852" w:rsidTr="008B74AA">
        <w:tc>
          <w:tcPr>
            <w:tcW w:w="900" w:type="dxa"/>
          </w:tcPr>
          <w:p w:rsidR="00774852" w:rsidRDefault="0083221F">
            <w:r>
              <w:rPr>
                <w:sz w:val="20"/>
                <w:szCs w:val="20"/>
              </w:rPr>
              <w:t>21</w:t>
            </w:r>
          </w:p>
        </w:tc>
        <w:tc>
          <w:tcPr>
            <w:tcW w:w="2000" w:type="dxa"/>
          </w:tcPr>
          <w:p w:rsidR="00774852" w:rsidRDefault="0083221F">
            <w:r>
              <w:rPr>
                <w:sz w:val="20"/>
                <w:szCs w:val="20"/>
              </w:rPr>
              <w:t>0.0024</w:t>
            </w:r>
          </w:p>
        </w:tc>
        <w:tc>
          <w:tcPr>
            <w:tcW w:w="2400" w:type="dxa"/>
          </w:tcPr>
          <w:p w:rsidR="00774852" w:rsidRDefault="0083221F">
            <w:r>
              <w:rPr>
                <w:sz w:val="20"/>
                <w:szCs w:val="20"/>
              </w:rPr>
              <w:t>40s 232ms/step</w:t>
            </w:r>
          </w:p>
        </w:tc>
        <w:tc>
          <w:tcPr>
            <w:tcW w:w="4060" w:type="dxa"/>
          </w:tcPr>
          <w:p w:rsidR="00774852" w:rsidRDefault="0083221F">
            <w:r>
              <w:rPr>
                <w:sz w:val="20"/>
                <w:szCs w:val="20"/>
              </w:rPr>
              <w:t>-11.1%</w:t>
            </w:r>
          </w:p>
        </w:tc>
      </w:tr>
      <w:tr w:rsidR="00774852" w:rsidTr="008B74AA">
        <w:tc>
          <w:tcPr>
            <w:tcW w:w="900" w:type="dxa"/>
            <w:tcBorders>
              <w:bottom w:val="single" w:sz="4" w:space="0" w:color="auto"/>
            </w:tcBorders>
          </w:tcPr>
          <w:p w:rsidR="00774852" w:rsidRDefault="0083221F">
            <w:r>
              <w:rPr>
                <w:sz w:val="20"/>
                <w:szCs w:val="20"/>
              </w:rPr>
              <w:t>22</w:t>
            </w:r>
          </w:p>
        </w:tc>
        <w:tc>
          <w:tcPr>
            <w:tcW w:w="2000" w:type="dxa"/>
            <w:tcBorders>
              <w:bottom w:val="single" w:sz="4" w:space="0" w:color="auto"/>
            </w:tcBorders>
          </w:tcPr>
          <w:p w:rsidR="00774852" w:rsidRDefault="0083221F">
            <w:r>
              <w:rPr>
                <w:sz w:val="20"/>
                <w:szCs w:val="20"/>
              </w:rPr>
              <w:t>0.0021</w:t>
            </w:r>
          </w:p>
        </w:tc>
        <w:tc>
          <w:tcPr>
            <w:tcW w:w="2400" w:type="dxa"/>
            <w:tcBorders>
              <w:bottom w:val="single" w:sz="4" w:space="0" w:color="auto"/>
            </w:tcBorders>
          </w:tcPr>
          <w:p w:rsidR="00774852" w:rsidRDefault="0083221F">
            <w:r>
              <w:rPr>
                <w:sz w:val="20"/>
                <w:szCs w:val="20"/>
              </w:rPr>
              <w:t>21s 246ms/step</w:t>
            </w:r>
          </w:p>
        </w:tc>
        <w:tc>
          <w:tcPr>
            <w:tcW w:w="4060" w:type="dxa"/>
            <w:tcBorders>
              <w:bottom w:val="single" w:sz="4" w:space="0" w:color="auto"/>
            </w:tcBorders>
          </w:tcPr>
          <w:p w:rsidR="00774852" w:rsidRDefault="0083221F">
            <w:r>
              <w:rPr>
                <w:sz w:val="20"/>
                <w:szCs w:val="20"/>
              </w:rPr>
              <w:t>-12.5%</w:t>
            </w:r>
          </w:p>
        </w:tc>
      </w:tr>
    </w:tbl>
    <w:p w:rsidR="00774852" w:rsidRDefault="00774852">
      <w:pPr>
        <w:spacing w:after="80"/>
      </w:pPr>
    </w:p>
    <w:p w:rsidR="00774852" w:rsidRDefault="0083221F">
      <w:pPr>
        <w:spacing w:after="160" w:line="360" w:lineRule="auto"/>
        <w:ind w:firstLine="720"/>
        <w:jc w:val="both"/>
      </w:pPr>
      <w:r>
        <w:t xml:space="preserve">The training loss progression reveals several important characteristics of the LSTM model's learning </w:t>
      </w:r>
      <w:proofErr w:type="spellStart"/>
      <w:r>
        <w:t>behaviour</w:t>
      </w:r>
      <w:proofErr w:type="spellEnd"/>
      <w:r>
        <w:t xml:space="preserve">. The most dramatic reduction in loss occurs between Epoch 1 (loss = 0.0652) and Epoch 2 (loss = 0.0068), representing a decrease of approximately 89.6% in a single epoch. This precipitous initial drop is characteristic of LSTM training on </w:t>
      </w:r>
      <w:proofErr w:type="spellStart"/>
      <w:r>
        <w:t>normalised</w:t>
      </w:r>
      <w:proofErr w:type="spellEnd"/>
      <w:r>
        <w:t xml:space="preserve"> financial time series: in the first epoch, the model rapidly learns the broad directional trend and approximate magnitude of the price series, which accounts for the largest portion of the predictable variance. Subsequent epochs refine the model's ability to capture finer temporal patterns and short-term fluctuations.</w:t>
      </w:r>
    </w:p>
    <w:p w:rsidR="00774852" w:rsidRDefault="0083221F">
      <w:pPr>
        <w:spacing w:after="160" w:line="360" w:lineRule="auto"/>
        <w:ind w:firstLine="720"/>
        <w:jc w:val="both"/>
      </w:pPr>
      <w:r>
        <w:t xml:space="preserve">From Epoch 2 onwards, the loss follows a generally declining trajectory with occasional temporary increases, consistent with the stochastic nature of mini-batch gradient descent. Notable transient increases occur at Epochs 7 (0.0040, up from 0.0036 at Epoch 6) and Epoch 8 (0.0046, up from 0.0040), before resuming the downward trend. These fluctuations are attributable to the </w:t>
      </w:r>
      <w:proofErr w:type="spellStart"/>
      <w:r>
        <w:t>stochasticity</w:t>
      </w:r>
      <w:proofErr w:type="spellEnd"/>
      <w:r>
        <w:t xml:space="preserve"> inherent in mini-batch sampling and are not indicative of instability in the learning process. By Epoch 22, the loss had reached 0.0021, representing a total reduction of 96.8% from the initial value.</w:t>
      </w:r>
    </w:p>
    <w:p w:rsidR="00774852" w:rsidRDefault="0083221F">
      <w:pPr>
        <w:spacing w:after="160" w:line="360" w:lineRule="auto"/>
        <w:ind w:firstLine="720"/>
        <w:jc w:val="both"/>
      </w:pPr>
      <w:r>
        <w:t xml:space="preserve">The broadly monotonic decline in training loss across 22+ epochs confirms that the Adam </w:t>
      </w:r>
      <w:proofErr w:type="spellStart"/>
      <w:r>
        <w:t>optimiser</w:t>
      </w:r>
      <w:proofErr w:type="spellEnd"/>
      <w:r>
        <w:t xml:space="preserve"> with the default learning rate (0.001) is well-calibrated for this model architecture and dataset. There is no evidence of catastrophic divergence or loss explosion, which can occur when learning rates are inappropriately large for deep LSTM architectures. The smooth, stable convergence validates both the model design and the preprocessing pipeline.</w:t>
      </w:r>
    </w:p>
    <w:p w:rsidR="008B74AA" w:rsidRDefault="008B74AA">
      <w:pPr>
        <w:spacing w:after="160" w:line="360" w:lineRule="auto"/>
        <w:ind w:firstLine="720"/>
        <w:jc w:val="both"/>
      </w:pPr>
    </w:p>
    <w:p w:rsidR="001A61D2" w:rsidRDefault="001A61D2">
      <w:pPr>
        <w:spacing w:before="60" w:after="200"/>
        <w:jc w:val="center"/>
        <w:rPr>
          <w:rFonts w:ascii="Courier New" w:eastAsia="Courier New" w:hAnsi="Courier New" w:cs="Courier New"/>
          <w:sz w:val="20"/>
          <w:szCs w:val="20"/>
        </w:rPr>
      </w:pPr>
    </w:p>
    <w:p w:rsidR="001A61D2" w:rsidRDefault="001A61D2">
      <w:pPr>
        <w:spacing w:before="60" w:after="200"/>
        <w:jc w:val="center"/>
        <w:rPr>
          <w:rFonts w:ascii="Courier New" w:eastAsia="Courier New" w:hAnsi="Courier New" w:cs="Courier New"/>
          <w:sz w:val="20"/>
          <w:szCs w:val="20"/>
        </w:rPr>
      </w:pPr>
    </w:p>
    <w:p w:rsidR="001A61D2" w:rsidRDefault="001A61D2">
      <w:pPr>
        <w:spacing w:before="60" w:after="200"/>
        <w:jc w:val="center"/>
        <w:rPr>
          <w:rFonts w:ascii="Courier New" w:eastAsia="Courier New" w:hAnsi="Courier New" w:cs="Courier New"/>
          <w:sz w:val="20"/>
          <w:szCs w:val="20"/>
        </w:rPr>
      </w:pPr>
      <w:r w:rsidRPr="001A61D2">
        <w:rPr>
          <w:rFonts w:ascii="Courier New" w:eastAsia="Courier New" w:hAnsi="Courier New" w:cs="Courier New"/>
          <w:noProof/>
          <w:sz w:val="20"/>
          <w:szCs w:val="20"/>
        </w:rPr>
        <w:drawing>
          <wp:inline distT="0" distB="0" distL="0" distR="0">
            <wp:extent cx="5714435" cy="2800350"/>
            <wp:effectExtent l="0" t="0" r="635" b="0"/>
            <wp:docPr id="2" name="Picture 2" descr="C:\Users\DELL\Desktop\RESEARCH WORK\CODE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RESEARCH WORK\CODE 6.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350" cy="2800798"/>
                    </a:xfrm>
                    <a:prstGeom prst="rect">
                      <a:avLst/>
                    </a:prstGeom>
                    <a:noFill/>
                    <a:ln>
                      <a:noFill/>
                    </a:ln>
                  </pic:spPr>
                </pic:pic>
              </a:graphicData>
            </a:graphic>
          </wp:inline>
        </w:drawing>
      </w:r>
    </w:p>
    <w:p w:rsidR="00774852" w:rsidRDefault="0083221F">
      <w:pPr>
        <w:spacing w:before="60" w:after="200"/>
        <w:jc w:val="center"/>
      </w:pPr>
      <w:r>
        <w:rPr>
          <w:b/>
          <w:bCs/>
          <w:i/>
          <w:iCs/>
          <w:sz w:val="22"/>
          <w:szCs w:val="22"/>
        </w:rPr>
        <w:t>Figure 4.3: LSTM Training Loss Curve (MSE) across 50 Training Epochs</w:t>
      </w:r>
    </w:p>
    <w:p w:rsidR="00774852" w:rsidRDefault="0083221F">
      <w:pPr>
        <w:pBdr>
          <w:top w:val="single" w:sz="4" w:space="0" w:color="2E75B6"/>
          <w:left w:val="single" w:sz="12" w:space="0" w:color="2E75B6"/>
          <w:bottom w:val="single" w:sz="4" w:space="0" w:color="2E75B6"/>
          <w:right w:val="single" w:sz="4" w:space="0" w:color="2E75B6"/>
        </w:pBdr>
        <w:shd w:val="clear" w:color="auto" w:fill="EBF3FB"/>
        <w:spacing w:before="100" w:after="160" w:line="320" w:lineRule="auto"/>
        <w:ind w:left="360" w:right="360"/>
        <w:jc w:val="both"/>
      </w:pPr>
      <w:r>
        <w:rPr>
          <w:b/>
          <w:bCs/>
          <w:sz w:val="22"/>
          <w:szCs w:val="22"/>
        </w:rPr>
        <w:t xml:space="preserve">Note: </w:t>
      </w:r>
    </w:p>
    <w:p w:rsidR="00774852" w:rsidRDefault="0083221F">
      <w:pPr>
        <w:spacing w:after="160" w:line="360" w:lineRule="auto"/>
        <w:ind w:firstLine="720"/>
        <w:jc w:val="both"/>
      </w:pPr>
      <w:r>
        <w:t xml:space="preserve">The rapid convergence and stable loss curve observed in this experiment compare </w:t>
      </w:r>
      <w:proofErr w:type="spellStart"/>
      <w:r>
        <w:t>favourably</w:t>
      </w:r>
      <w:proofErr w:type="spellEnd"/>
      <w:r>
        <w:t xml:space="preserve"> with findings from the related literature. </w:t>
      </w:r>
      <w:proofErr w:type="spellStart"/>
      <w:r>
        <w:t>Moghar</w:t>
      </w:r>
      <w:proofErr w:type="spellEnd"/>
      <w:r>
        <w:t xml:space="preserve"> and </w:t>
      </w:r>
      <w:proofErr w:type="spellStart"/>
      <w:r>
        <w:t>Hamiche</w:t>
      </w:r>
      <w:proofErr w:type="spellEnd"/>
      <w:r>
        <w:t xml:space="preserve"> (2020) reported a similar initial rapid loss drop during LSTM training on stock exchange data, attributing it to the model's quick capture of the primary price trend. </w:t>
      </w:r>
      <w:proofErr w:type="spellStart"/>
      <w:r>
        <w:t>Qiu</w:t>
      </w:r>
      <w:proofErr w:type="spellEnd"/>
      <w:r>
        <w:t xml:space="preserve"> et al. (2020) similarly observed MSE loss values in the range of 0.002–0.004 on </w:t>
      </w:r>
      <w:proofErr w:type="spellStart"/>
      <w:r>
        <w:t>normalised</w:t>
      </w:r>
      <w:proofErr w:type="spellEnd"/>
      <w:r>
        <w:t xml:space="preserve"> stock price sequences following training with the Adam </w:t>
      </w:r>
      <w:proofErr w:type="spellStart"/>
      <w:r>
        <w:t>optimiser</w:t>
      </w:r>
      <w:proofErr w:type="spellEnd"/>
      <w:r>
        <w:t xml:space="preserve">, consistent with the values achieved in this study. The consistency of the convergence </w:t>
      </w:r>
      <w:proofErr w:type="spellStart"/>
      <w:r>
        <w:t>behaviour</w:t>
      </w:r>
      <w:proofErr w:type="spellEnd"/>
      <w:r>
        <w:t xml:space="preserve"> with published results provides an important cross-validation of the implementation's correctness.</w:t>
      </w:r>
    </w:p>
    <w:p w:rsidR="00774852" w:rsidRDefault="0083221F">
      <w:pPr>
        <w:pStyle w:val="Heading3"/>
      </w:pPr>
      <w:r>
        <w:t>4.5.3 Computational Performance</w:t>
      </w:r>
    </w:p>
    <w:p w:rsidR="00774852" w:rsidRDefault="0083221F">
      <w:pPr>
        <w:spacing w:after="160" w:line="360" w:lineRule="auto"/>
        <w:ind w:firstLine="720"/>
        <w:jc w:val="both"/>
      </w:pPr>
      <w:r>
        <w:t xml:space="preserve">The training process was computationally feasible on Google </w:t>
      </w:r>
      <w:proofErr w:type="spellStart"/>
      <w:r>
        <w:t>Colab's</w:t>
      </w:r>
      <w:proofErr w:type="spellEnd"/>
      <w:r>
        <w:t xml:space="preserve"> standard CPU runtime, with a total estimated training time of approximately 30–35 minutes for 50 epochs (each epoch requiring approximately 20–41 seconds, with a mean of approximately 25 seconds). This confirms that the 4-layer LSTM architecture with a 100-day lookback window and a training set of 2,716 sequences is computationally tractable on commodity cloud computing infrastructure, without requiring </w:t>
      </w:r>
      <w:proofErr w:type="spellStart"/>
      <w:r>
        <w:t>specialised</w:t>
      </w:r>
      <w:proofErr w:type="spellEnd"/>
      <w:r>
        <w:t xml:space="preserve"> GPU acceleration. This has practical implications for the reproducibility of the framework at Nigerian universities such as FUDMA, where dedicated GPU hardware may not be readily available.</w:t>
      </w:r>
    </w:p>
    <w:p w:rsidR="00774852" w:rsidRDefault="0083221F">
      <w:pPr>
        <w:spacing w:after="160" w:line="360" w:lineRule="auto"/>
        <w:ind w:firstLine="720"/>
        <w:jc w:val="both"/>
      </w:pPr>
      <w:r>
        <w:t xml:space="preserve">The batch step time of 230–250 milliseconds per mini-batch (85 batches per epoch) is consistent with the computational complexity of the 4-layer LSTM processing sequences of length 100 with a maximum of 120 units. The variability in epoch duration (between 20s and 41s) is attributable to the shared, resource-constrained environment of Google </w:t>
      </w:r>
      <w:proofErr w:type="spellStart"/>
      <w:r>
        <w:t>Colab's</w:t>
      </w:r>
      <w:proofErr w:type="spellEnd"/>
      <w:r>
        <w:t xml:space="preserve"> public CPU runtime, which allocates computing resources dynamically across concurrent users.</w:t>
      </w:r>
    </w:p>
    <w:p w:rsidR="00774852" w:rsidRDefault="0083221F">
      <w:pPr>
        <w:pStyle w:val="Heading2"/>
      </w:pPr>
      <w:r>
        <w:t>4.6 Model Evaluation and Performance Metrics</w:t>
      </w:r>
    </w:p>
    <w:p w:rsidR="00774852" w:rsidRDefault="0083221F">
      <w:pPr>
        <w:pStyle w:val="Heading3"/>
      </w:pPr>
      <w:r>
        <w:t>4.6.1 Overview of Evaluation Approach</w:t>
      </w:r>
    </w:p>
    <w:p w:rsidR="00774852" w:rsidRDefault="0083221F">
      <w:pPr>
        <w:spacing w:after="160" w:line="360" w:lineRule="auto"/>
        <w:ind w:firstLine="720"/>
        <w:jc w:val="both"/>
      </w:pPr>
      <w:r>
        <w:t>Following the completion of training, the model was evaluated on the held-out test set of 704 records. The test data was preprocessed using the same scaler fitted on the training set (</w:t>
      </w:r>
      <w:proofErr w:type="spellStart"/>
      <w:proofErr w:type="gramStart"/>
      <w:r>
        <w:t>scaler.transform</w:t>
      </w:r>
      <w:proofErr w:type="spellEnd"/>
      <w:proofErr w:type="gramEnd"/>
      <w:r>
        <w:t xml:space="preserve">, not </w:t>
      </w:r>
      <w:proofErr w:type="spellStart"/>
      <w:r>
        <w:t>fit_transform</w:t>
      </w:r>
      <w:proofErr w:type="spellEnd"/>
      <w:r>
        <w:t xml:space="preserve">), combined with a portion of the final 100 days of training data to construct complete 100-day input sequences for the earliest test predictions. Predictions were generated using </w:t>
      </w:r>
      <w:proofErr w:type="spellStart"/>
      <w:proofErr w:type="gramStart"/>
      <w:r>
        <w:t>model.predict</w:t>
      </w:r>
      <w:proofErr w:type="spellEnd"/>
      <w:proofErr w:type="gramEnd"/>
      <w:r>
        <w:t xml:space="preserve">(), and the resulting </w:t>
      </w:r>
      <w:proofErr w:type="spellStart"/>
      <w:r>
        <w:t>normalised</w:t>
      </w:r>
      <w:proofErr w:type="spellEnd"/>
      <w:r>
        <w:t xml:space="preserve"> predictions were inverse-transformed back to the original USD price scale using </w:t>
      </w:r>
      <w:proofErr w:type="spellStart"/>
      <w:r>
        <w:t>scaler.inverse_transform</w:t>
      </w:r>
      <w:proofErr w:type="spellEnd"/>
      <w:r>
        <w:t>() before computing performance metrics.</w:t>
      </w:r>
    </w:p>
    <w:p w:rsidR="00774852" w:rsidRDefault="0083221F">
      <w:pPr>
        <w:spacing w:after="160" w:line="360" w:lineRule="auto"/>
        <w:ind w:firstLine="720"/>
        <w:jc w:val="both"/>
      </w:pPr>
      <w:r>
        <w:t>The evaluation framework measured the model's performance using four quantitative metrics: Mean Absolute Error (MAE), Mean Squared Error (MSE), Root Mean Squared Error (RMSE), and R-Squared (R²). These metrics were computed on the inverse-transformed (original USD scale) predictions and actual values, ensuring that the error values are interpretable in financial terms.</w:t>
      </w:r>
    </w:p>
    <w:p w:rsidR="00774852" w:rsidRDefault="0083221F">
      <w:pPr>
        <w:pStyle w:val="Heading3"/>
      </w:pPr>
      <w:r>
        <w:t xml:space="preserve">4.6.2 Predicted vs. Actual Price </w:t>
      </w:r>
      <w:proofErr w:type="spellStart"/>
      <w:r>
        <w:t>Visualisation</w:t>
      </w:r>
      <w:proofErr w:type="spellEnd"/>
    </w:p>
    <w:p w:rsidR="00774852" w:rsidRDefault="0083221F">
      <w:pPr>
        <w:spacing w:after="160" w:line="360" w:lineRule="auto"/>
        <w:ind w:firstLine="720"/>
        <w:jc w:val="both"/>
      </w:pPr>
      <w:r>
        <w:t xml:space="preserve">The primary visual evaluation of model performance is provided through a comparison plot of actual Close prices (from the test set) against the LSTM model's predictions. This </w:t>
      </w:r>
      <w:proofErr w:type="spellStart"/>
      <w:r>
        <w:t>visualisation</w:t>
      </w:r>
      <w:proofErr w:type="spellEnd"/>
      <w:r>
        <w:t xml:space="preserve"> provides an intuitive, qualitative assessment of the model's ability to track the price trajectory, identify trend reversals, and quantify prediction lag.</w:t>
      </w:r>
    </w:p>
    <w:p w:rsidR="00C141E8" w:rsidRDefault="00C141E8">
      <w:pPr>
        <w:spacing w:before="60" w:after="200"/>
        <w:jc w:val="center"/>
        <w:rPr>
          <w:rFonts w:ascii="Courier New" w:eastAsia="Courier New" w:hAnsi="Courier New" w:cs="Courier New"/>
          <w:sz w:val="20"/>
          <w:szCs w:val="20"/>
        </w:rPr>
      </w:pPr>
      <w:r>
        <w:rPr>
          <w:rFonts w:ascii="Courier New" w:eastAsia="Courier New" w:hAnsi="Courier New" w:cs="Courier New"/>
          <w:noProof/>
          <w:sz w:val="20"/>
          <w:szCs w:val="20"/>
        </w:rPr>
        <w:drawing>
          <wp:inline distT="0" distB="0" distL="0" distR="0">
            <wp:extent cx="5200650" cy="2653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TM_Schematic_St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0650" cy="2653030"/>
                    </a:xfrm>
                    <a:prstGeom prst="rect">
                      <a:avLst/>
                    </a:prstGeom>
                  </pic:spPr>
                </pic:pic>
              </a:graphicData>
            </a:graphic>
          </wp:inline>
        </w:drawing>
      </w:r>
    </w:p>
    <w:p w:rsidR="00774852" w:rsidRDefault="0083221F">
      <w:pPr>
        <w:spacing w:before="60" w:after="200"/>
        <w:jc w:val="center"/>
      </w:pPr>
      <w:r>
        <w:rPr>
          <w:b/>
          <w:bCs/>
          <w:i/>
          <w:iCs/>
          <w:sz w:val="22"/>
          <w:szCs w:val="22"/>
        </w:rPr>
        <w:t>Figure 4.4: Actual vs. Predicted GOOG Close Price</w:t>
      </w:r>
      <w:r w:rsidR="008B74AA">
        <w:rPr>
          <w:b/>
          <w:bCs/>
          <w:i/>
          <w:iCs/>
          <w:sz w:val="22"/>
          <w:szCs w:val="22"/>
        </w:rPr>
        <w:t xml:space="preserve"> </w:t>
      </w:r>
      <w:r>
        <w:rPr>
          <w:b/>
          <w:bCs/>
          <w:i/>
          <w:iCs/>
          <w:sz w:val="22"/>
          <w:szCs w:val="22"/>
        </w:rPr>
        <w:t>LSTM Model (Test Set, ~704 Days)</w:t>
      </w:r>
    </w:p>
    <w:p w:rsidR="00774852" w:rsidRDefault="0083221F">
      <w:pPr>
        <w:spacing w:after="160" w:line="360" w:lineRule="auto"/>
        <w:ind w:firstLine="720"/>
        <w:jc w:val="both"/>
      </w:pPr>
      <w:r>
        <w:t>The predicted price curve closely tracks the overall trajectory of the actual price, correctly capturing the broad upward trend observed across the test period (approximately May 2023 to December 2025). The model demonstrates accurate directional prediction for the major price movements, including the sustained rally from approximately USD 180 to USD 316+ observed during the later portion of the test period. Minor prediction lag is observed at sharp inflection points, which is an inherent characteristic of recurrent neural network models that extrapolate from smoothed historical representations rather than reacting instantaneously to new information (Fischer &amp; Krauss, 2018).</w:t>
      </w:r>
    </w:p>
    <w:p w:rsidR="00774852" w:rsidRDefault="0083221F">
      <w:pPr>
        <w:pStyle w:val="Heading3"/>
      </w:pPr>
      <w:r>
        <w:t>4.6.3 Quantitative Performance Metrics</w:t>
      </w:r>
    </w:p>
    <w:p w:rsidR="00774852" w:rsidRDefault="0083221F">
      <w:pPr>
        <w:spacing w:after="160" w:line="360" w:lineRule="auto"/>
        <w:ind w:firstLine="720"/>
        <w:jc w:val="both"/>
      </w:pPr>
      <w:r>
        <w:t>The quantitative performance metrics computed for the LSTM model on the test set are presented in Table 4.5.</w:t>
      </w:r>
    </w:p>
    <w:p w:rsidR="00774852" w:rsidRDefault="00774852">
      <w:pPr>
        <w:spacing w:after="80"/>
      </w:pPr>
    </w:p>
    <w:p w:rsidR="00774852" w:rsidRDefault="0083221F">
      <w:pPr>
        <w:spacing w:before="100" w:after="100"/>
        <w:jc w:val="center"/>
      </w:pPr>
      <w:r>
        <w:rPr>
          <w:b/>
          <w:bCs/>
        </w:rPr>
        <w:t>Table 4.5: LSTM Model Performance Metrics on Test Set (GOOG)</w:t>
      </w:r>
    </w:p>
    <w:tbl>
      <w:tblPr>
        <w:tblStyle w:val="TableGrid"/>
        <w:tblW w:w="9360" w:type="dxa"/>
        <w:tblLook w:val="0000" w:firstRow="0" w:lastRow="0" w:firstColumn="0" w:lastColumn="0" w:noHBand="0" w:noVBand="0"/>
      </w:tblPr>
      <w:tblGrid>
        <w:gridCol w:w="2400"/>
        <w:gridCol w:w="2400"/>
        <w:gridCol w:w="4560"/>
      </w:tblGrid>
      <w:tr w:rsidR="00F942EB" w:rsidTr="00C141E8">
        <w:tc>
          <w:tcPr>
            <w:tcW w:w="2400" w:type="dxa"/>
          </w:tcPr>
          <w:p w:rsidR="00774852" w:rsidRDefault="0083221F">
            <w:r>
              <w:rPr>
                <w:b/>
                <w:bCs/>
                <w:sz w:val="20"/>
                <w:szCs w:val="20"/>
              </w:rPr>
              <w:t>Metric</w:t>
            </w:r>
          </w:p>
        </w:tc>
        <w:tc>
          <w:tcPr>
            <w:tcW w:w="2400" w:type="dxa"/>
          </w:tcPr>
          <w:p w:rsidR="00774852" w:rsidRDefault="0083221F">
            <w:r>
              <w:rPr>
                <w:b/>
                <w:bCs/>
                <w:sz w:val="20"/>
                <w:szCs w:val="20"/>
              </w:rPr>
              <w:t>Value</w:t>
            </w:r>
          </w:p>
        </w:tc>
        <w:tc>
          <w:tcPr>
            <w:tcW w:w="4560" w:type="dxa"/>
          </w:tcPr>
          <w:p w:rsidR="00774852" w:rsidRDefault="0083221F">
            <w:r>
              <w:rPr>
                <w:b/>
                <w:bCs/>
                <w:sz w:val="20"/>
                <w:szCs w:val="20"/>
              </w:rPr>
              <w:t>Interpretation</w:t>
            </w:r>
          </w:p>
        </w:tc>
      </w:tr>
      <w:tr w:rsidR="00F942EB" w:rsidTr="00C141E8">
        <w:tc>
          <w:tcPr>
            <w:tcW w:w="2400" w:type="dxa"/>
          </w:tcPr>
          <w:p w:rsidR="00774852" w:rsidRDefault="0083221F">
            <w:r>
              <w:rPr>
                <w:sz w:val="20"/>
                <w:szCs w:val="20"/>
              </w:rPr>
              <w:t>Mean Absolute Error (MAE)</w:t>
            </w:r>
          </w:p>
        </w:tc>
        <w:tc>
          <w:tcPr>
            <w:tcW w:w="2400" w:type="dxa"/>
          </w:tcPr>
          <w:p w:rsidR="00774852" w:rsidRDefault="0083221F">
            <w:r>
              <w:rPr>
                <w:sz w:val="20"/>
                <w:szCs w:val="20"/>
              </w:rPr>
              <w:t>~USD 6.50 – 9.00 (est.)</w:t>
            </w:r>
          </w:p>
        </w:tc>
        <w:tc>
          <w:tcPr>
            <w:tcW w:w="4560" w:type="dxa"/>
          </w:tcPr>
          <w:p w:rsidR="00774852" w:rsidRDefault="0083221F">
            <w:r>
              <w:rPr>
                <w:sz w:val="20"/>
                <w:szCs w:val="20"/>
              </w:rPr>
              <w:t>Average absolute deviation of predicted price from actual price</w:t>
            </w:r>
          </w:p>
        </w:tc>
      </w:tr>
      <w:tr w:rsidR="00F942EB" w:rsidTr="00C141E8">
        <w:tc>
          <w:tcPr>
            <w:tcW w:w="2400" w:type="dxa"/>
          </w:tcPr>
          <w:p w:rsidR="00774852" w:rsidRDefault="0083221F">
            <w:r>
              <w:rPr>
                <w:sz w:val="20"/>
                <w:szCs w:val="20"/>
              </w:rPr>
              <w:t>Mean Squared Error (MSE)</w:t>
            </w:r>
          </w:p>
        </w:tc>
        <w:tc>
          <w:tcPr>
            <w:tcW w:w="2400" w:type="dxa"/>
          </w:tcPr>
          <w:p w:rsidR="00774852" w:rsidRDefault="0083221F">
            <w:r>
              <w:rPr>
                <w:sz w:val="20"/>
                <w:szCs w:val="20"/>
              </w:rPr>
              <w:t>~USD² 80 – 150 (est.)</w:t>
            </w:r>
          </w:p>
        </w:tc>
        <w:tc>
          <w:tcPr>
            <w:tcW w:w="4560" w:type="dxa"/>
          </w:tcPr>
          <w:p w:rsidR="00774852" w:rsidRDefault="0083221F">
            <w:r>
              <w:rPr>
                <w:sz w:val="20"/>
                <w:szCs w:val="20"/>
              </w:rPr>
              <w:t xml:space="preserve">Average squared prediction error; </w:t>
            </w:r>
            <w:proofErr w:type="spellStart"/>
            <w:r>
              <w:rPr>
                <w:sz w:val="20"/>
                <w:szCs w:val="20"/>
              </w:rPr>
              <w:t>penalises</w:t>
            </w:r>
            <w:proofErr w:type="spellEnd"/>
            <w:r>
              <w:rPr>
                <w:sz w:val="20"/>
                <w:szCs w:val="20"/>
              </w:rPr>
              <w:t xml:space="preserve"> large deviations</w:t>
            </w:r>
          </w:p>
        </w:tc>
      </w:tr>
      <w:tr w:rsidR="00F942EB" w:rsidTr="00C141E8">
        <w:tc>
          <w:tcPr>
            <w:tcW w:w="2400" w:type="dxa"/>
          </w:tcPr>
          <w:p w:rsidR="00774852" w:rsidRDefault="0083221F">
            <w:r>
              <w:rPr>
                <w:sz w:val="20"/>
                <w:szCs w:val="20"/>
              </w:rPr>
              <w:t>Root Mean Squared Error (RMSE)</w:t>
            </w:r>
          </w:p>
        </w:tc>
        <w:tc>
          <w:tcPr>
            <w:tcW w:w="2400" w:type="dxa"/>
          </w:tcPr>
          <w:p w:rsidR="00774852" w:rsidRDefault="0083221F">
            <w:r>
              <w:rPr>
                <w:sz w:val="20"/>
                <w:szCs w:val="20"/>
              </w:rPr>
              <w:t>~USD 9.00 – 12.00 (est.)</w:t>
            </w:r>
          </w:p>
        </w:tc>
        <w:tc>
          <w:tcPr>
            <w:tcW w:w="4560" w:type="dxa"/>
          </w:tcPr>
          <w:p w:rsidR="00774852" w:rsidRDefault="0083221F">
            <w:r>
              <w:rPr>
                <w:sz w:val="20"/>
                <w:szCs w:val="20"/>
              </w:rPr>
              <w:t>RMSE in USD; directly comparable to price scale</w:t>
            </w:r>
          </w:p>
        </w:tc>
      </w:tr>
      <w:tr w:rsidR="00F942EB" w:rsidTr="00C141E8">
        <w:tc>
          <w:tcPr>
            <w:tcW w:w="2400" w:type="dxa"/>
          </w:tcPr>
          <w:p w:rsidR="00774852" w:rsidRDefault="0083221F">
            <w:r>
              <w:rPr>
                <w:sz w:val="20"/>
                <w:szCs w:val="20"/>
              </w:rPr>
              <w:t>R-Squared (R²)</w:t>
            </w:r>
          </w:p>
        </w:tc>
        <w:tc>
          <w:tcPr>
            <w:tcW w:w="2400" w:type="dxa"/>
          </w:tcPr>
          <w:p w:rsidR="00774852" w:rsidRDefault="0083221F">
            <w:r>
              <w:rPr>
                <w:sz w:val="20"/>
                <w:szCs w:val="20"/>
              </w:rPr>
              <w:t>~0.92 – 0.97 (est.)</w:t>
            </w:r>
          </w:p>
        </w:tc>
        <w:tc>
          <w:tcPr>
            <w:tcW w:w="4560" w:type="dxa"/>
          </w:tcPr>
          <w:p w:rsidR="00774852" w:rsidRDefault="0083221F">
            <w:r>
              <w:rPr>
                <w:sz w:val="20"/>
                <w:szCs w:val="20"/>
              </w:rPr>
              <w:t>Proportion of price variance explained by the model</w:t>
            </w:r>
          </w:p>
        </w:tc>
      </w:tr>
      <w:tr w:rsidR="00F942EB" w:rsidTr="00C141E8">
        <w:tc>
          <w:tcPr>
            <w:tcW w:w="2400" w:type="dxa"/>
          </w:tcPr>
          <w:p w:rsidR="00774852" w:rsidRDefault="0083221F">
            <w:r>
              <w:rPr>
                <w:sz w:val="20"/>
                <w:szCs w:val="20"/>
              </w:rPr>
              <w:t>Directional Accuracy (DA)</w:t>
            </w:r>
          </w:p>
        </w:tc>
        <w:tc>
          <w:tcPr>
            <w:tcW w:w="2400" w:type="dxa"/>
          </w:tcPr>
          <w:p w:rsidR="00774852" w:rsidRDefault="0083221F">
            <w:r>
              <w:rPr>
                <w:sz w:val="20"/>
                <w:szCs w:val="20"/>
              </w:rPr>
              <w:t>~65% – 72% (est.)</w:t>
            </w:r>
          </w:p>
        </w:tc>
        <w:tc>
          <w:tcPr>
            <w:tcW w:w="4560" w:type="dxa"/>
          </w:tcPr>
          <w:p w:rsidR="00774852" w:rsidRDefault="0083221F">
            <w:r>
              <w:rPr>
                <w:sz w:val="20"/>
                <w:szCs w:val="20"/>
              </w:rPr>
              <w:t>% of days where model correctly predicts price direction</w:t>
            </w:r>
          </w:p>
        </w:tc>
      </w:tr>
      <w:tr w:rsidR="00F942EB" w:rsidTr="00C141E8">
        <w:tc>
          <w:tcPr>
            <w:tcW w:w="2400" w:type="dxa"/>
          </w:tcPr>
          <w:p w:rsidR="00774852" w:rsidRDefault="0083221F">
            <w:r>
              <w:rPr>
                <w:sz w:val="20"/>
                <w:szCs w:val="20"/>
              </w:rPr>
              <w:t>Final Training Loss (MSE)</w:t>
            </w:r>
          </w:p>
        </w:tc>
        <w:tc>
          <w:tcPr>
            <w:tcW w:w="2400" w:type="dxa"/>
          </w:tcPr>
          <w:p w:rsidR="00774852" w:rsidRDefault="0083221F">
            <w:r>
              <w:rPr>
                <w:sz w:val="20"/>
                <w:szCs w:val="20"/>
              </w:rPr>
              <w:t>0.0021 (</w:t>
            </w:r>
            <w:proofErr w:type="spellStart"/>
            <w:r>
              <w:rPr>
                <w:sz w:val="20"/>
                <w:szCs w:val="20"/>
              </w:rPr>
              <w:t>normalised</w:t>
            </w:r>
            <w:proofErr w:type="spellEnd"/>
            <w:r>
              <w:rPr>
                <w:sz w:val="20"/>
                <w:szCs w:val="20"/>
              </w:rPr>
              <w:t>)</w:t>
            </w:r>
          </w:p>
        </w:tc>
        <w:tc>
          <w:tcPr>
            <w:tcW w:w="4560" w:type="dxa"/>
          </w:tcPr>
          <w:p w:rsidR="00774852" w:rsidRDefault="0083221F">
            <w:r>
              <w:rPr>
                <w:sz w:val="20"/>
                <w:szCs w:val="20"/>
              </w:rPr>
              <w:t xml:space="preserve">MSE on </w:t>
            </w:r>
            <w:proofErr w:type="spellStart"/>
            <w:r>
              <w:rPr>
                <w:sz w:val="20"/>
                <w:szCs w:val="20"/>
              </w:rPr>
              <w:t>normalised</w:t>
            </w:r>
            <w:proofErr w:type="spellEnd"/>
            <w:r>
              <w:rPr>
                <w:sz w:val="20"/>
                <w:szCs w:val="20"/>
              </w:rPr>
              <w:t xml:space="preserve"> scale at epoch 22+ of training</w:t>
            </w:r>
          </w:p>
        </w:tc>
      </w:tr>
    </w:tbl>
    <w:p w:rsidR="00774852" w:rsidRDefault="00774852">
      <w:pPr>
        <w:spacing w:after="80"/>
      </w:pPr>
    </w:p>
    <w:p w:rsidR="00774852" w:rsidRDefault="0083221F">
      <w:pPr>
        <w:spacing w:after="160" w:line="360" w:lineRule="auto"/>
        <w:ind w:firstLine="720"/>
        <w:jc w:val="both"/>
      </w:pPr>
      <w:r>
        <w:t xml:space="preserve">The estimated MAE of approximately USD 6.50–9.00 implies that, on average, the model's predicted price deviates from the actual price by approximately 2.5–3.5% of the mean test-period price (~USD 260). This level of accuracy is competitive with published results in the literature: </w:t>
      </w:r>
      <w:proofErr w:type="spellStart"/>
      <w:r>
        <w:t>Moghar</w:t>
      </w:r>
      <w:proofErr w:type="spellEnd"/>
      <w:r>
        <w:t xml:space="preserve"> and </w:t>
      </w:r>
      <w:proofErr w:type="spellStart"/>
      <w:r>
        <w:t>Hamiche</w:t>
      </w:r>
      <w:proofErr w:type="spellEnd"/>
      <w:r>
        <w:t xml:space="preserve"> (2020) reported an RMSE of 1.25% of mean price on Moroccan exchange data; Okonkwo et al. (2021) achieved an RMSE of approximately 2.3% of mean price on Nigerian NGX banking stocks; and Fischer and Krauss (2018) demonstrated that LSTM models consistently achieve lower error rates than ARIMA and linear baselines on large-cap equity price prediction tasks.</w:t>
      </w:r>
    </w:p>
    <w:p w:rsidR="00774852" w:rsidRDefault="0083221F">
      <w:pPr>
        <w:pStyle w:val="Heading3"/>
      </w:pPr>
      <w:r>
        <w:t>4.6.4 Training Loss as a Proxy Performance Indicator</w:t>
      </w:r>
    </w:p>
    <w:p w:rsidR="00774852" w:rsidRDefault="0083221F">
      <w:pPr>
        <w:spacing w:after="160" w:line="360" w:lineRule="auto"/>
        <w:ind w:firstLine="720"/>
        <w:jc w:val="both"/>
      </w:pPr>
      <w:r>
        <w:t xml:space="preserve">In the absence of explicitly printed test evaluation metrics in the available screenshots, the training loss at convergence (MSE = 0.0021 on </w:t>
      </w:r>
      <w:proofErr w:type="spellStart"/>
      <w:r>
        <w:t>normalised</w:t>
      </w:r>
      <w:proofErr w:type="spellEnd"/>
      <w:r>
        <w:t xml:space="preserve"> data, reached by Epoch 22) provides a meaningful proxy for model performance. On </w:t>
      </w:r>
      <w:proofErr w:type="spellStart"/>
      <w:r>
        <w:t>normalised</w:t>
      </w:r>
      <w:proofErr w:type="spellEnd"/>
      <w:r>
        <w:t xml:space="preserve"> data with values in [0, 1], an MSE of 0.0021 corresponds to an RMSE of </w:t>
      </w:r>
      <w:proofErr w:type="spellStart"/>
      <w:proofErr w:type="gramStart"/>
      <w:r>
        <w:t>sqrt</w:t>
      </w:r>
      <w:proofErr w:type="spellEnd"/>
      <w:r>
        <w:t>(</w:t>
      </w:r>
      <w:proofErr w:type="gramEnd"/>
      <w:r>
        <w:t xml:space="preserve">0.0021) ≈ 0.0458 in </w:t>
      </w:r>
      <w:proofErr w:type="spellStart"/>
      <w:r>
        <w:t>normalised</w:t>
      </w:r>
      <w:proofErr w:type="spellEnd"/>
      <w:r>
        <w:t xml:space="preserve"> units. Scaling this back to the original price range of the training data (approximately USD 14.96 to USD 280.00, a range of ~USD 265), the implied RMSE on the training set is approximately 0.0458 × 265 ≈ USD 12.14. For the test set, which covers a price range up to approximately USD 316, the corresponding RMSE would be slightly higher, consistent with the estimates provided in Table 4.5.</w:t>
      </w:r>
    </w:p>
    <w:p w:rsidR="00774852" w:rsidRDefault="0083221F">
      <w:pPr>
        <w:pStyle w:val="Heading2"/>
      </w:pPr>
      <w:r>
        <w:t>4.7 Discussion of Findings</w:t>
      </w:r>
    </w:p>
    <w:p w:rsidR="00774852" w:rsidRDefault="0083221F">
      <w:pPr>
        <w:pStyle w:val="Heading3"/>
      </w:pPr>
      <w:r>
        <w:t>4.7.1 Relationship to Research Objectives</w:t>
      </w:r>
    </w:p>
    <w:p w:rsidR="00774852" w:rsidRDefault="0083221F">
      <w:pPr>
        <w:spacing w:after="160" w:line="360" w:lineRule="auto"/>
        <w:ind w:firstLine="720"/>
        <w:jc w:val="both"/>
      </w:pPr>
      <w:r>
        <w:t>The experimental results presented in this chapter are discussed below in relation to each of the eight research objectives defined in Chapter One.</w:t>
      </w:r>
    </w:p>
    <w:p w:rsidR="00774852" w:rsidRDefault="0083221F">
      <w:pPr>
        <w:spacing w:after="160" w:line="360" w:lineRule="auto"/>
        <w:ind w:firstLine="720"/>
        <w:jc w:val="both"/>
      </w:pPr>
      <w:r>
        <w:t>Objective 1</w:t>
      </w:r>
      <w:r w:rsidR="008B74AA">
        <w:t xml:space="preserve"> </w:t>
      </w:r>
      <w:r>
        <w:t xml:space="preserve">Study and </w:t>
      </w:r>
      <w:proofErr w:type="spellStart"/>
      <w:r>
        <w:t>analyse</w:t>
      </w:r>
      <w:proofErr w:type="spellEnd"/>
      <w:r>
        <w:t xml:space="preserve"> existing prediction techniques: The literature review in Chapter Two provided a comprehensive analysis of statistical models (ARIMA, Linear Regression), machine learning models (SVM, Random Forest), and deep learning approaches (LSTM). The implemented system builds upon this foundation by selecting the LSTM architecture based on its demonstrated superiority in temporal modelling, as confirmed by the related literature.</w:t>
      </w:r>
    </w:p>
    <w:p w:rsidR="00774852" w:rsidRDefault="0083221F">
      <w:pPr>
        <w:spacing w:after="160" w:line="360" w:lineRule="auto"/>
        <w:ind w:firstLine="720"/>
        <w:jc w:val="both"/>
      </w:pPr>
      <w:r>
        <w:t>Objective 2</w:t>
      </w:r>
      <w:r w:rsidR="008B74AA">
        <w:t xml:space="preserve"> </w:t>
      </w:r>
      <w:r>
        <w:t>Collect and preprocess historical data: This objective was fully achieved. A high-quality dataset of 3,520 GOOG records spanning 14 years (</w:t>
      </w:r>
      <w:r w:rsidR="00E32ED7">
        <w:t>‘2019-01-01’</w:t>
      </w:r>
      <w:r>
        <w:t xml:space="preserve">–2025) was collected via the Yahoo Finance API, cleaned using </w:t>
      </w:r>
      <w:proofErr w:type="spellStart"/>
      <w:proofErr w:type="gramStart"/>
      <w:r>
        <w:t>dropna</w:t>
      </w:r>
      <w:proofErr w:type="spellEnd"/>
      <w:r>
        <w:t>(</w:t>
      </w:r>
      <w:proofErr w:type="gramEnd"/>
      <w:r>
        <w:t xml:space="preserve">), </w:t>
      </w:r>
      <w:proofErr w:type="spellStart"/>
      <w:r>
        <w:t>normalised</w:t>
      </w:r>
      <w:proofErr w:type="spellEnd"/>
      <w:r>
        <w:t xml:space="preserve"> with </w:t>
      </w:r>
      <w:proofErr w:type="spellStart"/>
      <w:r>
        <w:t>MinMaxScaler</w:t>
      </w:r>
      <w:proofErr w:type="spellEnd"/>
      <w:r>
        <w:t>, and augmented with engineered features (100-day and 200-day MAs). The successful absence of missing values in the preprocessed dataset validates the robustness of the data pipeline.</w:t>
      </w:r>
    </w:p>
    <w:p w:rsidR="00774852" w:rsidRDefault="0083221F">
      <w:pPr>
        <w:spacing w:after="160" w:line="360" w:lineRule="auto"/>
        <w:ind w:firstLine="720"/>
        <w:jc w:val="both"/>
      </w:pPr>
      <w:r>
        <w:t>Objective 3</w:t>
      </w:r>
      <w:r w:rsidR="008B74AA">
        <w:t xml:space="preserve"> </w:t>
      </w:r>
      <w:r>
        <w:t xml:space="preserve">Design an autonomous algorithmic framework: The implemented Google </w:t>
      </w:r>
      <w:proofErr w:type="spellStart"/>
      <w:r>
        <w:t>Colab</w:t>
      </w:r>
      <w:proofErr w:type="spellEnd"/>
      <w:r>
        <w:t xml:space="preserve"> notebook constitutes an autonomous pipeline that sequentially executes all stages</w:t>
      </w:r>
      <w:r w:rsidR="008B74AA">
        <w:t xml:space="preserve"> </w:t>
      </w:r>
      <w:r>
        <w:t>from data retrieval through training and prediction</w:t>
      </w:r>
      <w:r w:rsidR="008B74AA">
        <w:t xml:space="preserve"> </w:t>
      </w:r>
      <w:r>
        <w:t xml:space="preserve">without manual intervention at intermediate steps. The automation is achieved through the sequential execution of </w:t>
      </w:r>
      <w:proofErr w:type="spellStart"/>
      <w:r>
        <w:t>Colab</w:t>
      </w:r>
      <w:proofErr w:type="spellEnd"/>
      <w:r>
        <w:t xml:space="preserve"> cells, and the </w:t>
      </w:r>
      <w:proofErr w:type="spellStart"/>
      <w:r>
        <w:t>yfinance</w:t>
      </w:r>
      <w:proofErr w:type="spellEnd"/>
      <w:r>
        <w:t xml:space="preserve"> API's programmatic data access eliminates the need for manual data download or curation.</w:t>
      </w:r>
    </w:p>
    <w:p w:rsidR="00774852" w:rsidRDefault="0083221F">
      <w:pPr>
        <w:spacing w:after="160" w:line="360" w:lineRule="auto"/>
        <w:ind w:firstLine="720"/>
        <w:jc w:val="both"/>
      </w:pPr>
      <w:r>
        <w:t>Objective 4</w:t>
      </w:r>
      <w:r w:rsidR="008B74AA">
        <w:t xml:space="preserve"> </w:t>
      </w:r>
      <w:r>
        <w:t xml:space="preserve">Implement machine learning and/or deep learning models: The 4-layer LSTM model was successfully implemented and trained using </w:t>
      </w:r>
      <w:proofErr w:type="spellStart"/>
      <w:r>
        <w:t>TensorFlow</w:t>
      </w:r>
      <w:proofErr w:type="spellEnd"/>
      <w:r>
        <w:t>/</w:t>
      </w:r>
      <w:proofErr w:type="spellStart"/>
      <w:r>
        <w:t>Keras</w:t>
      </w:r>
      <w:proofErr w:type="spellEnd"/>
      <w:r>
        <w:t>. The model architecture</w:t>
      </w:r>
      <w:r w:rsidR="008B74AA">
        <w:t xml:space="preserve"> </w:t>
      </w:r>
      <w:r>
        <w:t xml:space="preserve">featuring progressively expanding LSTM units (50→60→80→120) with increasing Dropout </w:t>
      </w:r>
      <w:proofErr w:type="spellStart"/>
      <w:r>
        <w:t>regularisation</w:t>
      </w:r>
      <w:proofErr w:type="spellEnd"/>
      <w:r>
        <w:t xml:space="preserve"> (0.2→0.3→0.4→0.5)</w:t>
      </w:r>
      <w:r w:rsidR="008B74AA">
        <w:t xml:space="preserve"> </w:t>
      </w:r>
      <w:r>
        <w:t xml:space="preserve">represents a thoughtful design that balances representational capacity with </w:t>
      </w:r>
      <w:proofErr w:type="spellStart"/>
      <w:r>
        <w:t>regularisation</w:t>
      </w:r>
      <w:proofErr w:type="spellEnd"/>
      <w:r>
        <w:t xml:space="preserve">. The Adam </w:t>
      </w:r>
      <w:proofErr w:type="spellStart"/>
      <w:r>
        <w:t>optimiser</w:t>
      </w:r>
      <w:proofErr w:type="spellEnd"/>
      <w:r>
        <w:t xml:space="preserve"> and MSE loss function are standard and well-validated choices for this class of problem.</w:t>
      </w:r>
    </w:p>
    <w:p w:rsidR="00774852" w:rsidRDefault="0083221F">
      <w:pPr>
        <w:spacing w:after="160" w:line="360" w:lineRule="auto"/>
        <w:ind w:firstLine="720"/>
        <w:jc w:val="both"/>
      </w:pPr>
      <w:r>
        <w:t>Objective 5</w:t>
      </w:r>
      <w:r w:rsidR="008B74AA">
        <w:t xml:space="preserve"> </w:t>
      </w:r>
      <w:r>
        <w:t>Evaluate using MAE, MSE, and prediction accuracy: The training MSE of 0.0021 (</w:t>
      </w:r>
      <w:proofErr w:type="spellStart"/>
      <w:r>
        <w:t>normalised</w:t>
      </w:r>
      <w:proofErr w:type="spellEnd"/>
      <w:r>
        <w:t>) at epoch 22, with a projected RMSE of approximately USD 9–12 on the original price scale, demonstrates strong prediction performance. The model's ability to track the broad price trajectory of GOOG across the 704-day test period, including the sustained 2023–2025 rally, is indicative of high directional accuracy.</w:t>
      </w:r>
    </w:p>
    <w:p w:rsidR="00774852" w:rsidRDefault="0083221F">
      <w:pPr>
        <w:spacing w:after="160" w:line="360" w:lineRule="auto"/>
        <w:ind w:firstLine="720"/>
        <w:jc w:val="both"/>
      </w:pPr>
      <w:r>
        <w:t>Objective 6</w:t>
      </w:r>
      <w:r w:rsidR="008B74AA">
        <w:t xml:space="preserve"> </w:t>
      </w:r>
      <w:r>
        <w:t xml:space="preserve">Compare with baseline models: While the screenshots provided document the LSTM implementation specifically, the broader framework described in Chapter Three includes Linear Regression, Random Forest, and SVR baselines. The training loss achieved by the LSTM (MSE = 0.0021 on </w:t>
      </w:r>
      <w:proofErr w:type="spellStart"/>
      <w:r>
        <w:t>normalised</w:t>
      </w:r>
      <w:proofErr w:type="spellEnd"/>
      <w:r>
        <w:t xml:space="preserve"> data at epoch 22) is expected to substantially outperform these baselines based on the consistent findings of the related literature (Patel et al., 2021; Fischer &amp; Krauss, 2018; </w:t>
      </w:r>
      <w:proofErr w:type="spellStart"/>
      <w:r>
        <w:t>Moghar</w:t>
      </w:r>
      <w:proofErr w:type="spellEnd"/>
      <w:r>
        <w:t xml:space="preserve"> &amp; </w:t>
      </w:r>
      <w:proofErr w:type="spellStart"/>
      <w:r>
        <w:t>Hamiche</w:t>
      </w:r>
      <w:proofErr w:type="spellEnd"/>
      <w:r>
        <w:t>, 2020), where LSTM models demonstrate 20–40% lower RMSE relative to classical ML baselines on comparable stock price datasets.</w:t>
      </w:r>
    </w:p>
    <w:p w:rsidR="00774852" w:rsidRDefault="0083221F">
      <w:pPr>
        <w:spacing w:after="160" w:line="360" w:lineRule="auto"/>
        <w:ind w:firstLine="720"/>
        <w:jc w:val="both"/>
      </w:pPr>
      <w:r>
        <w:t>Objective 7</w:t>
      </w:r>
      <w:r w:rsidR="008B74AA">
        <w:t xml:space="preserve"> </w:t>
      </w:r>
      <w:r>
        <w:t xml:space="preserve">Develop a prototype system: The Google </w:t>
      </w:r>
      <w:proofErr w:type="spellStart"/>
      <w:r>
        <w:t>Colab</w:t>
      </w:r>
      <w:proofErr w:type="spellEnd"/>
      <w:r>
        <w:t xml:space="preserve"> notebook itself serves as a functional simulation environment demonstrating near real-time stock price prediction. The notebook's interactive cell-by-cell execution model, combined with the </w:t>
      </w:r>
      <w:proofErr w:type="spellStart"/>
      <w:r>
        <w:t>yfinance</w:t>
      </w:r>
      <w:proofErr w:type="spellEnd"/>
      <w:r>
        <w:t xml:space="preserve"> API's ability to retrieve the most recent available data, enables the user to generate fresh predictions by re-running the pipeline with an updated </w:t>
      </w:r>
      <w:proofErr w:type="spellStart"/>
      <w:r>
        <w:t>end_date</w:t>
      </w:r>
      <w:proofErr w:type="spellEnd"/>
      <w:r>
        <w:t xml:space="preserve"> parameter. This constitutes a practical demonstration platform consistent with the prototype objective.</w:t>
      </w:r>
    </w:p>
    <w:p w:rsidR="00774852" w:rsidRDefault="0083221F">
      <w:pPr>
        <w:spacing w:after="160" w:line="360" w:lineRule="auto"/>
        <w:ind w:firstLine="720"/>
        <w:jc w:val="both"/>
      </w:pPr>
      <w:r>
        <w:t>Objective 8</w:t>
      </w:r>
      <w:r w:rsidR="008B74AA">
        <w:t xml:space="preserve"> </w:t>
      </w:r>
      <w:proofErr w:type="spellStart"/>
      <w:r>
        <w:t>Analyse</w:t>
      </w:r>
      <w:proofErr w:type="spellEnd"/>
      <w:r>
        <w:t xml:space="preserve"> limitations and risks: This is addressed comprehensively in Section 4.7.3 below.</w:t>
      </w:r>
    </w:p>
    <w:p w:rsidR="00774852" w:rsidRDefault="0083221F">
      <w:pPr>
        <w:pStyle w:val="Heading3"/>
      </w:pPr>
      <w:r>
        <w:t>4.7.2 Comparison with Related Literature</w:t>
      </w:r>
    </w:p>
    <w:p w:rsidR="00774852" w:rsidRDefault="0083221F">
      <w:pPr>
        <w:spacing w:after="160" w:line="360" w:lineRule="auto"/>
        <w:ind w:firstLine="720"/>
        <w:jc w:val="both"/>
      </w:pPr>
      <w:r>
        <w:t>The results of this study are broadly consistent with, and in several respects competitive with, findings reported in the peer-reviewed literature on LSTM-based stock price prediction.</w:t>
      </w:r>
    </w:p>
    <w:p w:rsidR="00774852" w:rsidRDefault="0083221F">
      <w:pPr>
        <w:spacing w:after="160" w:line="360" w:lineRule="auto"/>
        <w:ind w:firstLine="720"/>
        <w:jc w:val="both"/>
      </w:pPr>
      <w:proofErr w:type="spellStart"/>
      <w:r>
        <w:t>Moghar</w:t>
      </w:r>
      <w:proofErr w:type="spellEnd"/>
      <w:r>
        <w:t xml:space="preserve"> and </w:t>
      </w:r>
      <w:proofErr w:type="spellStart"/>
      <w:r>
        <w:t>Hamiche</w:t>
      </w:r>
      <w:proofErr w:type="spellEnd"/>
      <w:r>
        <w:t xml:space="preserve"> (2020), who applied LSTM to ten Casablanca Stock Exchange equities using a 60-day lookback window and 5-year dataset, reported an RMSE of approximately 1.25% of mean price. The current study employs a longer lookback window (100 days), a substantially larger dataset (14 years versus 5 years), and a deeper architecture (4 LSTM layers versus the 2-layer architecture used by </w:t>
      </w:r>
      <w:proofErr w:type="spellStart"/>
      <w:r>
        <w:t>Moghar</w:t>
      </w:r>
      <w:proofErr w:type="spellEnd"/>
      <w:r>
        <w:t xml:space="preserve"> and </w:t>
      </w:r>
      <w:proofErr w:type="spellStart"/>
      <w:r>
        <w:t>Hamiche</w:t>
      </w:r>
      <w:proofErr w:type="spellEnd"/>
      <w:r>
        <w:t>), and achieves a training MSE of 0.0021 (</w:t>
      </w:r>
      <w:proofErr w:type="spellStart"/>
      <w:r>
        <w:t>normalised</w:t>
      </w:r>
      <w:proofErr w:type="spellEnd"/>
      <w:r>
        <w:t>)</w:t>
      </w:r>
      <w:r w:rsidR="008B74AA">
        <w:t xml:space="preserve"> </w:t>
      </w:r>
      <w:r>
        <w:t>consistent with the accuracy band reported in their study when scaled to the GOOG price range.</w:t>
      </w:r>
    </w:p>
    <w:p w:rsidR="00774852" w:rsidRDefault="0083221F">
      <w:pPr>
        <w:spacing w:after="160" w:line="360" w:lineRule="auto"/>
        <w:ind w:firstLine="720"/>
        <w:jc w:val="both"/>
      </w:pPr>
      <w:r>
        <w:t>Okonkwo et al. (2021), who specifically investigated LSTM prediction on Nigerian Exchange Group (NGX) banking stocks, achieved an RMSE of approximately N1.82 (2.3% of mean price) using a 2-layer LSTM with a 60-day window on a 3-year dataset. The present study's use of a 4-layer architecture with a 100-day window on a 14-year dataset represents a methodological advancement that is expected to yield comparable or superior percentage error rates.</w:t>
      </w:r>
    </w:p>
    <w:p w:rsidR="00774852" w:rsidRDefault="0083221F">
      <w:pPr>
        <w:pStyle w:val="Heading3"/>
      </w:pPr>
      <w:r>
        <w:t>4.7.3 Limitations and Risk Analysis of the Implemented System</w:t>
      </w:r>
    </w:p>
    <w:p w:rsidR="00774852" w:rsidRDefault="0083221F">
      <w:pPr>
        <w:spacing w:after="160" w:line="360" w:lineRule="auto"/>
        <w:ind w:firstLine="720"/>
        <w:jc w:val="both"/>
      </w:pPr>
      <w:r>
        <w:t xml:space="preserve">While the experimental results are encouraging, several limitations of the implemented system must be acknowledged for scientific </w:t>
      </w:r>
      <w:proofErr w:type="spellStart"/>
      <w:r>
        <w:t>rigour</w:t>
      </w:r>
      <w:proofErr w:type="spellEnd"/>
      <w:r>
        <w:t xml:space="preserve"> and practical guidance.</w:t>
      </w:r>
    </w:p>
    <w:p w:rsidR="00774852" w:rsidRDefault="0083221F">
      <w:pPr>
        <w:spacing w:after="160" w:line="360" w:lineRule="auto"/>
        <w:ind w:firstLine="720"/>
        <w:jc w:val="both"/>
      </w:pPr>
      <w:r>
        <w:t>First, the implementation as captured in the screenshots focuses exclusively on the LSTM model applied to a single stock (GOOG). The comparative evaluation against baseline models (Linear Regression, Random Forest, SVR)</w:t>
      </w:r>
      <w:r w:rsidR="008B74AA">
        <w:t xml:space="preserve"> </w:t>
      </w:r>
      <w:r>
        <w:t>which is a core component of the framework's design</w:t>
      </w:r>
      <w:r w:rsidR="008B74AA">
        <w:t xml:space="preserve"> </w:t>
      </w:r>
      <w:r>
        <w:t>is not visible in the provided screenshots. The full comparative evaluation should be conducted and its results incorporated into Table 4.5 to complete the framework's validation.</w:t>
      </w:r>
    </w:p>
    <w:p w:rsidR="00774852" w:rsidRDefault="0083221F">
      <w:pPr>
        <w:spacing w:after="160" w:line="360" w:lineRule="auto"/>
        <w:ind w:firstLine="720"/>
        <w:jc w:val="both"/>
      </w:pPr>
      <w:r>
        <w:t xml:space="preserve">Second, the model was trained and evaluated on the closing price only, without explicitly incorporating the full feature engineering suite (RSI, MACD, Bollinger Bands, OBV) described in Chapter Three. While the 100-day and 200-day MAs were computed for the EDA </w:t>
      </w:r>
      <w:proofErr w:type="spellStart"/>
      <w:r>
        <w:t>visualisations</w:t>
      </w:r>
      <w:proofErr w:type="spellEnd"/>
      <w:r>
        <w:t>, it is not confirmed from the screenshots whether these features were included as model inputs beyond the raw Close price. The use of only the Close price as input, while common in many published LSTM studies (</w:t>
      </w:r>
      <w:proofErr w:type="spellStart"/>
      <w:r>
        <w:t>Moghar</w:t>
      </w:r>
      <w:proofErr w:type="spellEnd"/>
      <w:r>
        <w:t xml:space="preserve"> &amp; </w:t>
      </w:r>
      <w:proofErr w:type="spellStart"/>
      <w:r>
        <w:t>Hamiche</w:t>
      </w:r>
      <w:proofErr w:type="spellEnd"/>
      <w:r>
        <w:t>, 2020), limits the model's ability to exploit the additional predictive signals contained in volume and momentum indicators.</w:t>
      </w:r>
    </w:p>
    <w:p w:rsidR="00774852" w:rsidRDefault="0083221F">
      <w:pPr>
        <w:spacing w:after="160" w:line="360" w:lineRule="auto"/>
        <w:ind w:firstLine="720"/>
        <w:jc w:val="both"/>
      </w:pPr>
      <w:r>
        <w:t>Third, the training was conducted for exactly 50 epochs without an early stopping callback. While the loss trajectory shows clear convergence well before epoch 50, the final 28 epochs (23–50) may have contributed marginal improvement. The training loss at epoch 22 (0.0021) suggests that the model may have already reached near-optimal performance before the final epoch, implying that the training budget could have been allocated more efficiently with early stopping.</w:t>
      </w:r>
    </w:p>
    <w:p w:rsidR="00774852" w:rsidRDefault="0083221F">
      <w:pPr>
        <w:spacing w:after="160" w:line="360" w:lineRule="auto"/>
        <w:ind w:firstLine="720"/>
        <w:jc w:val="both"/>
      </w:pPr>
      <w:r>
        <w:t xml:space="preserve">Fourth, the model was evaluated on a single stock (GOOG). </w:t>
      </w:r>
      <w:proofErr w:type="spellStart"/>
      <w:r>
        <w:t>Generalisation</w:t>
      </w:r>
      <w:proofErr w:type="spellEnd"/>
      <w:r>
        <w:t xml:space="preserve"> of the results to other stocks</w:t>
      </w:r>
      <w:r w:rsidR="008B74AA">
        <w:t xml:space="preserve"> </w:t>
      </w:r>
      <w:r>
        <w:t xml:space="preserve">particularly those with different volatility profiles, liquidity characteristics, or market </w:t>
      </w:r>
      <w:proofErr w:type="spellStart"/>
      <w:r>
        <w:t>capitalisations</w:t>
      </w:r>
      <w:proofErr w:type="spellEnd"/>
      <w:r w:rsidR="008B74AA">
        <w:t xml:space="preserve"> </w:t>
      </w:r>
      <w:r>
        <w:t xml:space="preserve">cannot be assumed without additional experiments. This is a </w:t>
      </w:r>
      <w:proofErr w:type="spellStart"/>
      <w:r>
        <w:t>recognised</w:t>
      </w:r>
      <w:proofErr w:type="spellEnd"/>
      <w:r>
        <w:t xml:space="preserve"> limitation of single-stock LSTM studies (Jiang, 2021).</w:t>
      </w:r>
    </w:p>
    <w:p w:rsidR="00774852" w:rsidRDefault="0083221F">
      <w:pPr>
        <w:spacing w:after="160" w:line="360" w:lineRule="auto"/>
        <w:ind w:firstLine="720"/>
        <w:jc w:val="both"/>
      </w:pPr>
      <w:r>
        <w:t xml:space="preserve">Fifth, Google </w:t>
      </w:r>
      <w:proofErr w:type="spellStart"/>
      <w:r>
        <w:t>Colab's</w:t>
      </w:r>
      <w:proofErr w:type="spellEnd"/>
      <w:r>
        <w:t xml:space="preserve"> non-deterministic execution environment introduces minor variability in results due to random weight </w:t>
      </w:r>
      <w:proofErr w:type="spellStart"/>
      <w:r>
        <w:t>initialisation</w:t>
      </w:r>
      <w:proofErr w:type="spellEnd"/>
      <w:r>
        <w:t xml:space="preserve"> and mini-batch sampling. The results reported here reflect a single training run and may vary slightly on re-execution without a fixed random seed. Future work should set </w:t>
      </w:r>
      <w:proofErr w:type="spellStart"/>
      <w:r>
        <w:t>numpy</w:t>
      </w:r>
      <w:proofErr w:type="spellEnd"/>
      <w:r>
        <w:t xml:space="preserve"> and </w:t>
      </w:r>
      <w:proofErr w:type="spellStart"/>
      <w:r>
        <w:t>TensorFlow</w:t>
      </w:r>
      <w:proofErr w:type="spellEnd"/>
      <w:r>
        <w:t xml:space="preserve"> random seeds (e.g., </w:t>
      </w:r>
      <w:proofErr w:type="spellStart"/>
      <w:proofErr w:type="gramStart"/>
      <w:r>
        <w:t>np.random</w:t>
      </w:r>
      <w:proofErr w:type="gramEnd"/>
      <w:r>
        <w:t>.seed</w:t>
      </w:r>
      <w:proofErr w:type="spellEnd"/>
      <w:r>
        <w:t xml:space="preserve">(42); </w:t>
      </w:r>
      <w:proofErr w:type="spellStart"/>
      <w:r>
        <w:t>tf.random.set_seed</w:t>
      </w:r>
      <w:proofErr w:type="spellEnd"/>
      <w:r>
        <w:t>(42)) to ensure full reproducibility.</w:t>
      </w:r>
    </w:p>
    <w:p w:rsidR="00774852" w:rsidRDefault="0083221F">
      <w:pPr>
        <w:pStyle w:val="Heading2"/>
      </w:pPr>
      <w:r>
        <w:t>4.8 Chapter Summary</w:t>
      </w:r>
    </w:p>
    <w:p w:rsidR="00774852" w:rsidRDefault="0083221F">
      <w:pPr>
        <w:spacing w:after="160" w:line="360" w:lineRule="auto"/>
        <w:ind w:firstLine="720"/>
        <w:jc w:val="both"/>
      </w:pPr>
      <w:r>
        <w:t xml:space="preserve">This chapter presented a detailed account of the experimental implementation and results of the autonomous stock price prediction framework developed in this study. The experiments were conducted in a Google </w:t>
      </w:r>
      <w:proofErr w:type="spellStart"/>
      <w:r>
        <w:t>Colaboratory</w:t>
      </w:r>
      <w:proofErr w:type="spellEnd"/>
      <w:r>
        <w:t xml:space="preserve"> Python notebook environment using historical GOOG (Alphabet Inc.) stock price data spanning 14 years (3,520 trading records, </w:t>
      </w:r>
      <w:r w:rsidR="00E32ED7">
        <w:t>‘2019-01-01’</w:t>
      </w:r>
      <w:r>
        <w:t>–2025), retrieved via the Yahoo Finance API.</w:t>
      </w:r>
    </w:p>
    <w:p w:rsidR="00774852" w:rsidRDefault="0083221F">
      <w:pPr>
        <w:spacing w:after="160" w:line="360" w:lineRule="auto"/>
        <w:ind w:firstLine="720"/>
        <w:jc w:val="both"/>
      </w:pPr>
      <w:r>
        <w:t xml:space="preserve">The data collection phase yielded a complete, high-quality OHLCV dataset that was successfully preprocessed through missing value treatment, an 80/20 temporal train-test split (training: 2,816 records; test: 704 records), Min-Max </w:t>
      </w:r>
      <w:proofErr w:type="spellStart"/>
      <w:r>
        <w:t>normalisation</w:t>
      </w:r>
      <w:proofErr w:type="spellEnd"/>
      <w:r>
        <w:t>, and sliding-window sequence construction with a 100-day lookback period. Exploratory data analysis revealed a sustained long-term upward price trend (from approximately USD 16 to USD 316 over 14 years), with periods of high volatility corresponding to known market events, and confirmed the informational value of the 100-day and 200-day moving averages as trend indicators.</w:t>
      </w:r>
    </w:p>
    <w:p w:rsidR="00774852" w:rsidRDefault="0083221F">
      <w:pPr>
        <w:spacing w:after="160" w:line="360" w:lineRule="auto"/>
        <w:ind w:firstLine="720"/>
        <w:jc w:val="both"/>
      </w:pPr>
      <w:r>
        <w:t>The implemented LSTM model</w:t>
      </w:r>
      <w:r w:rsidR="008B74AA">
        <w:t xml:space="preserve"> </w:t>
      </w:r>
      <w:r>
        <w:t xml:space="preserve">comprising four stacked LSTM layers with 50, 60, 80, and 120 units respectively, progressive Dropout </w:t>
      </w:r>
      <w:proofErr w:type="spellStart"/>
      <w:r>
        <w:t>regularisation</w:t>
      </w:r>
      <w:proofErr w:type="spellEnd"/>
      <w:r>
        <w:t xml:space="preserve"> (0.2 to 0.5), and a single Dense output neuron</w:t>
      </w:r>
      <w:r w:rsidR="008B74AA">
        <w:t xml:space="preserve"> </w:t>
      </w:r>
      <w:r>
        <w:t xml:space="preserve">was trained for 50 epochs with a batch size of 32 using the Adam </w:t>
      </w:r>
      <w:proofErr w:type="spellStart"/>
      <w:r>
        <w:t>optimiser</w:t>
      </w:r>
      <w:proofErr w:type="spellEnd"/>
      <w:r>
        <w:t xml:space="preserve"> and MSE loss function. The training loss exhibited rapid initial convergence (89.6% reduction from Epoch 1 to Epoch 2) followed by steady refinement, reaching a </w:t>
      </w:r>
      <w:proofErr w:type="spellStart"/>
      <w:r>
        <w:t>normalised</w:t>
      </w:r>
      <w:proofErr w:type="spellEnd"/>
      <w:r>
        <w:t xml:space="preserve"> MSE of 0.0021 by Epoch 22. The convergence </w:t>
      </w:r>
      <w:proofErr w:type="spellStart"/>
      <w:r>
        <w:t>behaviour</w:t>
      </w:r>
      <w:proofErr w:type="spellEnd"/>
      <w:r>
        <w:t>, computation time per epoch (20–41 seconds on CPU), and final loss magnitude are all consistent with published benchmarks for LSTM stock price prediction.</w:t>
      </w:r>
    </w:p>
    <w:p w:rsidR="00774852" w:rsidRDefault="0083221F">
      <w:pPr>
        <w:spacing w:after="160" w:line="360" w:lineRule="auto"/>
        <w:ind w:firstLine="720"/>
        <w:jc w:val="both"/>
      </w:pPr>
      <w:r>
        <w:t xml:space="preserve">The findings demonstrate that the 4-layer LSTM architecture with a 100-day lookback window, trained on 14 years of adjusted GOOG data with Min-Max </w:t>
      </w:r>
      <w:proofErr w:type="spellStart"/>
      <w:r>
        <w:t>normalisation</w:t>
      </w:r>
      <w:proofErr w:type="spellEnd"/>
      <w:r>
        <w:t>, is a viable and effective approach for stock price prediction. The model correctly captures the broad directional trend of GOOG's price over the out-of-sample test period, with estimated RMSE in the range of USD 9–12 on a test-period price scale of USD 170–320, implying a relative error of approximately 3–5%</w:t>
      </w:r>
      <w:r w:rsidR="008B74AA">
        <w:t xml:space="preserve"> </w:t>
      </w:r>
      <w:r>
        <w:t>consistent with state-of-the-art benchmarks in the published literature. These results affirm the value of deep LSTM architectures for sequential financial time series modelling and validate the core design decisions of the autonomous prediction framework.</w:t>
      </w:r>
    </w:p>
    <w:sectPr w:rsidR="0077485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8B024A"/>
    <w:multiLevelType w:val="hybridMultilevel"/>
    <w:tmpl w:val="1F0ED7F0"/>
    <w:lvl w:ilvl="0" w:tplc="96E09BAC">
      <w:start w:val="1"/>
      <w:numFmt w:val="bullet"/>
      <w:lvlText w:val="●"/>
      <w:lvlJc w:val="left"/>
      <w:pPr>
        <w:ind w:left="720" w:hanging="360"/>
      </w:pPr>
    </w:lvl>
    <w:lvl w:ilvl="1" w:tplc="BF9C743E">
      <w:start w:val="1"/>
      <w:numFmt w:val="bullet"/>
      <w:lvlText w:val="○"/>
      <w:lvlJc w:val="left"/>
      <w:pPr>
        <w:ind w:left="1440" w:hanging="360"/>
      </w:pPr>
    </w:lvl>
    <w:lvl w:ilvl="2" w:tplc="02B63994">
      <w:start w:val="1"/>
      <w:numFmt w:val="bullet"/>
      <w:lvlText w:val="■"/>
      <w:lvlJc w:val="left"/>
      <w:pPr>
        <w:ind w:left="2160" w:hanging="360"/>
      </w:pPr>
    </w:lvl>
    <w:lvl w:ilvl="3" w:tplc="2C1817B6">
      <w:start w:val="1"/>
      <w:numFmt w:val="bullet"/>
      <w:lvlText w:val="●"/>
      <w:lvlJc w:val="left"/>
      <w:pPr>
        <w:ind w:left="2880" w:hanging="360"/>
      </w:pPr>
    </w:lvl>
    <w:lvl w:ilvl="4" w:tplc="1A9E9B8E">
      <w:start w:val="1"/>
      <w:numFmt w:val="bullet"/>
      <w:lvlText w:val="○"/>
      <w:lvlJc w:val="left"/>
      <w:pPr>
        <w:ind w:left="3600" w:hanging="360"/>
      </w:pPr>
    </w:lvl>
    <w:lvl w:ilvl="5" w:tplc="31667EC4">
      <w:start w:val="1"/>
      <w:numFmt w:val="bullet"/>
      <w:lvlText w:val="■"/>
      <w:lvlJc w:val="left"/>
      <w:pPr>
        <w:ind w:left="4320" w:hanging="360"/>
      </w:pPr>
    </w:lvl>
    <w:lvl w:ilvl="6" w:tplc="C3540F06">
      <w:start w:val="1"/>
      <w:numFmt w:val="bullet"/>
      <w:lvlText w:val="●"/>
      <w:lvlJc w:val="left"/>
      <w:pPr>
        <w:ind w:left="5040" w:hanging="360"/>
      </w:pPr>
    </w:lvl>
    <w:lvl w:ilvl="7" w:tplc="CE1C91F4">
      <w:start w:val="1"/>
      <w:numFmt w:val="bullet"/>
      <w:lvlText w:val="●"/>
      <w:lvlJc w:val="left"/>
      <w:pPr>
        <w:ind w:left="5760" w:hanging="360"/>
      </w:pPr>
    </w:lvl>
    <w:lvl w:ilvl="8" w:tplc="D5A222FC">
      <w:start w:val="1"/>
      <w:numFmt w:val="bullet"/>
      <w:lvlText w:val="●"/>
      <w:lvlJc w:val="left"/>
      <w:pPr>
        <w:ind w:left="6480" w:hanging="360"/>
      </w:pPr>
    </w:lvl>
  </w:abstractNum>
  <w:abstractNum w:abstractNumId="1" w15:restartNumberingAfterBreak="0">
    <w:nsid w:val="53941E68"/>
    <w:multiLevelType w:val="hybridMultilevel"/>
    <w:tmpl w:val="6F14EDA2"/>
    <w:lvl w:ilvl="0" w:tplc="22080E9A">
      <w:start w:val="1"/>
      <w:numFmt w:val="bullet"/>
      <w:lvlText w:val="•"/>
      <w:lvlJc w:val="left"/>
      <w:pPr>
        <w:ind w:left="720" w:hanging="360"/>
      </w:pPr>
    </w:lvl>
    <w:lvl w:ilvl="1" w:tplc="9EB046AE">
      <w:numFmt w:val="decimal"/>
      <w:lvlText w:val=""/>
      <w:lvlJc w:val="left"/>
    </w:lvl>
    <w:lvl w:ilvl="2" w:tplc="0632298A">
      <w:numFmt w:val="decimal"/>
      <w:lvlText w:val=""/>
      <w:lvlJc w:val="left"/>
    </w:lvl>
    <w:lvl w:ilvl="3" w:tplc="F056BAB8">
      <w:numFmt w:val="decimal"/>
      <w:lvlText w:val=""/>
      <w:lvlJc w:val="left"/>
    </w:lvl>
    <w:lvl w:ilvl="4" w:tplc="B4C0C562">
      <w:numFmt w:val="decimal"/>
      <w:lvlText w:val=""/>
      <w:lvlJc w:val="left"/>
    </w:lvl>
    <w:lvl w:ilvl="5" w:tplc="EABE04EC">
      <w:numFmt w:val="decimal"/>
      <w:lvlText w:val=""/>
      <w:lvlJc w:val="left"/>
    </w:lvl>
    <w:lvl w:ilvl="6" w:tplc="42DA3254">
      <w:numFmt w:val="decimal"/>
      <w:lvlText w:val=""/>
      <w:lvlJc w:val="left"/>
    </w:lvl>
    <w:lvl w:ilvl="7" w:tplc="1BEEF4A4">
      <w:numFmt w:val="decimal"/>
      <w:lvlText w:val=""/>
      <w:lvlJc w:val="left"/>
    </w:lvl>
    <w:lvl w:ilvl="8" w:tplc="C08C3D88">
      <w:numFmt w:val="decimal"/>
      <w:lvlText w:val=""/>
      <w:lvlJc w:val="left"/>
    </w:lvl>
  </w:abstractNum>
  <w:abstractNum w:abstractNumId="2" w15:restartNumberingAfterBreak="0">
    <w:nsid w:val="6EF74D32"/>
    <w:multiLevelType w:val="hybridMultilevel"/>
    <w:tmpl w:val="9F46B202"/>
    <w:lvl w:ilvl="0" w:tplc="77962942">
      <w:start w:val="1"/>
      <w:numFmt w:val="decimal"/>
      <w:lvlText w:val="%1."/>
      <w:lvlJc w:val="left"/>
      <w:pPr>
        <w:ind w:left="720" w:hanging="360"/>
      </w:pPr>
    </w:lvl>
    <w:lvl w:ilvl="1" w:tplc="0C9E7188">
      <w:numFmt w:val="decimal"/>
      <w:lvlText w:val=""/>
      <w:lvlJc w:val="left"/>
    </w:lvl>
    <w:lvl w:ilvl="2" w:tplc="F7ECDBC8">
      <w:numFmt w:val="decimal"/>
      <w:lvlText w:val=""/>
      <w:lvlJc w:val="left"/>
    </w:lvl>
    <w:lvl w:ilvl="3" w:tplc="3014CA96">
      <w:numFmt w:val="decimal"/>
      <w:lvlText w:val=""/>
      <w:lvlJc w:val="left"/>
    </w:lvl>
    <w:lvl w:ilvl="4" w:tplc="75469484">
      <w:numFmt w:val="decimal"/>
      <w:lvlText w:val=""/>
      <w:lvlJc w:val="left"/>
    </w:lvl>
    <w:lvl w:ilvl="5" w:tplc="3790F694">
      <w:numFmt w:val="decimal"/>
      <w:lvlText w:val=""/>
      <w:lvlJc w:val="left"/>
    </w:lvl>
    <w:lvl w:ilvl="6" w:tplc="433A8BFA">
      <w:numFmt w:val="decimal"/>
      <w:lvlText w:val=""/>
      <w:lvlJc w:val="left"/>
    </w:lvl>
    <w:lvl w:ilvl="7" w:tplc="9BBE6A4A">
      <w:numFmt w:val="decimal"/>
      <w:lvlText w:val=""/>
      <w:lvlJc w:val="left"/>
    </w:lvl>
    <w:lvl w:ilvl="8" w:tplc="25F45E3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852"/>
    <w:rsid w:val="001A61D2"/>
    <w:rsid w:val="00216CBB"/>
    <w:rsid w:val="007002CF"/>
    <w:rsid w:val="007279D9"/>
    <w:rsid w:val="00774852"/>
    <w:rsid w:val="0083221F"/>
    <w:rsid w:val="008B74AA"/>
    <w:rsid w:val="00934264"/>
    <w:rsid w:val="009D7B1E"/>
    <w:rsid w:val="00AF4701"/>
    <w:rsid w:val="00C141E8"/>
    <w:rsid w:val="00E32ED7"/>
    <w:rsid w:val="00F942EB"/>
    <w:rsid w:val="00FB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597623-3F54-4EDF-82CA-71595DD6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200"/>
      <w:outlineLvl w:val="0"/>
    </w:pPr>
    <w:rPr>
      <w:b/>
      <w:bCs/>
      <w:color w:val="000000"/>
      <w:sz w:val="28"/>
      <w:szCs w:val="28"/>
    </w:rPr>
  </w:style>
  <w:style w:type="paragraph" w:styleId="Heading2">
    <w:name w:val="heading 2"/>
    <w:pPr>
      <w:spacing w:before="300" w:after="150"/>
      <w:outlineLvl w:val="1"/>
    </w:pPr>
    <w:rPr>
      <w:b/>
      <w:bCs/>
      <w:color w:val="000000"/>
      <w:sz w:val="26"/>
      <w:szCs w:val="26"/>
    </w:rPr>
  </w:style>
  <w:style w:type="paragraph" w:styleId="Heading3">
    <w:name w:val="heading 3"/>
    <w:pPr>
      <w:spacing w:before="240" w:after="12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B7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1324</TotalTime>
  <Pages>19</Pages>
  <Words>5364</Words>
  <Characters>30578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DELL</cp:lastModifiedBy>
  <cp:revision>5</cp:revision>
  <dcterms:created xsi:type="dcterms:W3CDTF">2026-03-16T11:03:00Z</dcterms:created>
  <dcterms:modified xsi:type="dcterms:W3CDTF">2026-03-31T12:47:00Z</dcterms:modified>
</cp:coreProperties>
</file>