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</w:p>
    <w:p>
      <w:pPr>
        <w:pStyle w:val="Title"/>
      </w:pPr>
      <w:r>
        <w:rPr>
          <w:rFonts w:ascii="Arial" w:hAnsi="Arial" w:eastAsia="Noto Sans SC"/>
          <w:b/>
          <w:color w:val="181818"/>
          <w:sz w:val="62"/>
        </w:rPr>
        <w:t>Covenia</w:t>
      </w:r>
    </w:p>
    <w:p>
      <w:pPr>
        <w:spacing w:after="40"/>
      </w:pPr>
      <w:r>
        <w:rPr>
          <w:rFonts w:ascii="Arial" w:hAnsi="Arial" w:eastAsia="Noto Sans SC"/>
          <w:b/>
          <w:color w:val="181818"/>
          <w:sz w:val="36"/>
        </w:rPr>
        <w:t>消费者体验责任副驾</w:t>
      </w:r>
    </w:p>
    <w:p>
      <w:pPr>
        <w:spacing w:after="420"/>
      </w:pPr>
      <w:r>
        <w:rPr>
          <w:rFonts w:ascii="Arial" w:hAnsi="Arial" w:eastAsia="Noto Sans SC"/>
          <w:b w:val="0"/>
          <w:color w:val="565656"/>
          <w:sz w:val="19"/>
        </w:rPr>
        <w:t>L’Oréal 美妆科技黑客松 · 赛题一</w:t>
      </w:r>
    </w:p>
    <w:p>
      <w:pPr>
        <w:spacing w:before="100" w:after="160"/>
        <w:ind w:left="142" w:right="142"/>
        <w:jc w:val="center"/>
        <w:shd w:fill="F3F3F3"/>
      </w:pPr>
      <w:r>
        <w:rPr>
          <w:rFonts w:ascii="Arial" w:hAnsi="Arial" w:eastAsia="Noto Sans SC"/>
          <w:b/>
          <w:color w:val="181818"/>
          <w:sz w:val="24"/>
        </w:rPr>
        <w:t>已经知道的信息，不再问第二遍。</w:t>
        <w:br/>
        <w:t>品牌答应的事情，不让消费者催第二次。</w:t>
      </w:r>
    </w:p>
    <w:p>
      <w:pPr>
        <w:spacing w:after="200"/>
      </w:pPr>
      <w:r>
        <w:rPr>
          <w:rFonts w:ascii="Arial" w:hAnsi="Arial" w:eastAsia="Noto Sans SC"/>
          <w:b w:val="0"/>
          <w:color w:val="181818"/>
          <w:sz w:val="21"/>
        </w:rPr>
        <w:t>Covenia 嵌入千牛客服工作台右侧，记住消费者已经提交的证据，把客服在自然语言中作出的有效服务承诺转化为可追踪责任，在下一动作发生前阻止重复伤害，并在消费者离开后继续推动服务完成。</w:t>
      </w:r>
    </w:p>
    <w:p>
      <w:pPr>
        <w:spacing w:after="240"/>
        <w:jc w:val="center"/>
      </w:pPr>
      <w:r>
        <w:rPr>
          <w:rFonts w:ascii="Arial" w:hAnsi="Arial" w:eastAsia="Noto Sans SC"/>
          <w:b/>
          <w:color w:val="565656"/>
          <w:sz w:val="24"/>
        </w:rPr>
        <w:t>消费者不应该成为自己售后问题的项目经理。</w:t>
      </w:r>
    </w:p>
    <w:p>
      <w:pPr>
        <w:spacing w:after="60"/>
        <w:pBdr>
          <w:bottom w:val="single" w:sz="5" w:space="2" w:color="C9C9C9"/>
        </w:pBdr>
      </w:pPr>
      <w:r>
        <w:rPr>
          <w:rFonts w:ascii="Arial" w:hAnsi="Arial" w:eastAsia="Noto Sans SC"/>
          <w:b/>
          <w:color w:val="565656"/>
          <w:sz w:val="18"/>
        </w:rPr>
        <w:t>赛事数据适配 → 承诺编译 → 体验责任账本 → 动作前防线 → 解决执行 → 服务进度回执 → 跨时间补救</w:t>
      </w:r>
    </w:p>
    <w:p>
      <w:pPr>
        <w:spacing w:after="60"/>
      </w:pPr>
      <w:r>
        <w:rPr>
          <w:rFonts w:ascii="Arial" w:hAnsi="Arial" w:eastAsia="Noto Sans SC"/>
          <w:b w:val="0"/>
          <w:color w:val="949494"/>
          <w:sz w:val="16"/>
        </w:rPr>
        <w:t>体验责任账本（Experience Ledger） · 体验防线（Experience Firewall） · 责任闭环（Responsibility Loop） · 承诺编译与执行（Promise-to-Action）</w:t>
      </w:r>
    </w:p>
    <w:p>
      <w:pPr>
        <w:spacing w:after="0"/>
      </w:pPr>
      <w:r>
        <w:rPr>
          <w:rFonts w:ascii="Arial" w:hAnsi="Arial" w:eastAsia="Noto Sans SC"/>
          <w:b w:val="0"/>
          <w:color w:val="949494"/>
          <w:sz w:val="17"/>
        </w:rPr>
        <w:t>Competition MVP v0.7 · 千牛右侧插件 · S00001 纵向责任链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01</w:t>
      </w:r>
    </w:p>
    <w:p>
      <w:pPr>
        <w:pStyle w:val="Heading1"/>
        <w:spacing w:after="20"/>
      </w:pPr>
      <w:r>
        <w:t>真正的创新不是一张状态卡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客服的一句自然语言承诺，被编译成会持续运行的服务责任</w:t>
      </w:r>
    </w:p>
    <w:p>
      <w:pPr>
        <w:spacing w:before="100" w:after="160"/>
        <w:ind w:left="142" w:right="142"/>
        <w:jc w:val="center"/>
        <w:shd w:fill="F3F3F3"/>
      </w:pPr>
      <w:r>
        <w:rPr>
          <w:rFonts w:ascii="Arial" w:hAnsi="Arial" w:eastAsia="Noto Sans SC"/>
          <w:b/>
          <w:color w:val="181818"/>
          <w:sz w:val="24"/>
        </w:rPr>
        <w:t>服务进度回执是消费者看见的界面；承诺编译与执行才是产品机制。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361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环节</w:t>
            </w:r>
          </w:p>
        </w:tc>
        <w:tc>
          <w:tcPr>
            <w:tcW w:type="dxa" w:w="4082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Covenia 的作用</w:t>
            </w:r>
          </w:p>
        </w:tc>
        <w:tc>
          <w:tcPr>
            <w:tcW w:type="dxa" w:w="3628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可见证据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理解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恢复聊天、图片、订单和工单中的服务事实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事实来源与图片观察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编译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识别承诺类型、条件、权限和截止时间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原文、分类与生效状态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保护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在发送前阻止重复索证和责任倒流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发送暂停与规则事实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执行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生成查询、回复、催办和人工批准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解决路径与任务预填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守约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按事件更新责任并主动补救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回执、倒计时与状态变化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改进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聚合待调查流程风险</w:t>
            </w:r>
          </w:p>
        </w:tc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赛事统计与测试假设</w:t>
            </w:r>
          </w:p>
        </w:tc>
      </w:tr>
    </w:tbl>
    <w:p>
      <w:pPr>
        <w:spacing w:after="20"/>
      </w:pPr>
    </w:p>
    <w:p>
      <w:pPr>
        <w:pStyle w:val="Heading2"/>
      </w:pPr>
      <w:r>
        <w:t>与普通客服 Copilot 的边界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客户 360 和工单时间线记录发生过什么；Covenia 维护哪些动作已经不应再让消费者承担。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普通回复生成告诉客服怎么说；Covenia 先决定品牌接下来应该做什么，再生成回复。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服务进度回执不是法律凭证，不展示内部责任人、情绪标签或推理过程。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02</w:t>
      </w:r>
    </w:p>
    <w:p>
      <w:pPr>
        <w:pStyle w:val="Heading1"/>
        <w:spacing w:after="20"/>
      </w:pPr>
      <w:r>
        <w:t>赛事文件改变载体和证据，不改变产品灵魂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严格适配千牛右侧插件与官方 Mock 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赛事信息</w:t>
            </w:r>
          </w:p>
        </w:tc>
        <w:tc>
          <w:tcPr>
            <w:tcW w:type="dxa" w:w="3175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核验结果</w:t>
            </w:r>
          </w:p>
        </w:tc>
        <w:tc>
          <w:tcPr>
            <w:tcW w:type="dxa" w:w="4195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产品影响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工作台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右侧辅助区是插件目标区域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不建设新的客服主界面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聊天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138 个会话、998 条消息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恢复服务旅程与承诺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订单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113 笔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校验商品、赠品和物流事实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图片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29 条图片消息；只有路径引用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团队补充可运行图片并标记来源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工单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五类共 80 条，28 条非完结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统一责任状态与轻量管理区</w:t>
            </w:r>
          </w:p>
        </w:tc>
      </w:tr>
    </w:tbl>
    <w:p>
      <w:pPr>
        <w:spacing w:after="20"/>
      </w:pPr>
    </w:p>
    <w:p>
      <w:pPr>
        <w:pStyle w:val="Heading2"/>
      </w:pPr>
      <w:r>
        <w:t>数据边界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工作簿共有 8 个工作表，其中 1 个为数据说明、7 个为业务输入。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赛事文件明确声明全部内容为 AI 生成的 Mock 数据，不代表真实消费者或欧莱雅生产业务。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订单号、工单号、物流单号和消息 ID 必须按字符串导入，避免长数字精度丢失。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赛事数据证明系统可以运行；真实调研证明痛点；对照实验证明产品效果。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03</w:t>
      </w:r>
    </w:p>
    <w:p>
      <w:pPr>
        <w:pStyle w:val="Heading1"/>
        <w:spacing w:after="20"/>
      </w:pPr>
      <w:r>
        <w:t>唯一英雄场景：S00001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粉底液泵头损坏、换货工单与 48 小时服务承诺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来源</w:t>
            </w:r>
          </w:p>
        </w:tc>
        <w:tc>
          <w:tcPr>
            <w:tcW w:type="dxa" w:w="4592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已有事实</w:t>
            </w:r>
          </w:p>
        </w:tc>
        <w:tc>
          <w:tcPr>
            <w:tcW w:type="dxa" w:w="2494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是否原始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聊天记录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粉底液泵头损坏，消费者发送图片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赛事 Mock 原始记录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聊天记录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客服确认包装破损并登记换货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赛事 Mock 原始记录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聊天记录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换货单已创建，48 小时内发出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赛事 Mock 原始记录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补发换货工单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BH919209358357 进行中，已有补发物流单号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赛事 Mock 原始记录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压力测试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第二次进线、两张补充图片、评估时间和物流事件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团队扩充并显著标记</w:t>
            </w:r>
          </w:p>
        </w:tc>
      </w:tr>
    </w:tbl>
    <w:p>
      <w:pPr>
        <w:spacing w:after="20"/>
      </w:pPr>
    </w:p>
    <w:p>
      <w:pPr>
        <w:spacing w:before="100" w:after="160"/>
        <w:ind w:left="142" w:right="142"/>
        <w:jc w:val="center"/>
        <w:shd w:fill="F3F3F3"/>
      </w:pPr>
      <w:r>
        <w:rPr>
          <w:rFonts w:ascii="Arial" w:hAnsi="Arial" w:eastAsia="Noto Sans SC"/>
          <w:b/>
          <w:color w:val="181818"/>
          <w:sz w:val="24"/>
        </w:rPr>
        <w:t>原始 S00001 只有一条图片路径引用；三图演示不是赛事原始记录。</w:t>
      </w:r>
    </w:p>
    <w:p>
      <w:pPr>
        <w:pStyle w:val="Heading2"/>
      </w:pPr>
      <w:r>
        <w:t>美妆证据要求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区分粉底液正装与订单赠品，不把赠品包装图当作正装泵头证据。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识别泵头、瓶身、封口和外包装，判断是否影响产品完整性与卫生使用。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图片至少覆盖商品整体、泵头问题细节和包装环境；批次信息只有可见时才记录。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04</w:t>
      </w:r>
    </w:p>
    <w:p>
      <w:pPr>
        <w:pStyle w:val="Heading1"/>
        <w:spacing w:after="20"/>
      </w:pPr>
      <w:r>
        <w:t>AI 的工作不是总结，而是把旅程变成责任事实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多模态观察、因果式体验理解与承诺分类共同进入状态计算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能力</w:t>
            </w:r>
          </w:p>
        </w:tc>
        <w:tc>
          <w:tcPr>
            <w:tcW w:type="dxa" w:w="3969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模型输出</w:t>
            </w:r>
          </w:p>
        </w:tc>
        <w:tc>
          <w:tcPr>
            <w:tcW w:type="dxa" w:w="3345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如何影响系统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图片理解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SKU 匹配、正装/赠品、组件、可读性、证据覆盖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计算 VALID / MISMATCHED / HUMAN REVIEW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旅程恢复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问题说明、已提交动作、工单与来源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判断消费者输入是否完成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体验理解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表达、服务成因、潜在需求、行动影响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调整优先级和解决路径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承诺抽取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原文、时间、条件、类型和置信度</w:t>
            </w:r>
          </w:p>
        </w:tc>
        <w:tc>
          <w:tcPr>
            <w:tcW w:type="dxa" w:w="3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进入权限与工单事实校验</w:t>
            </w:r>
          </w:p>
        </w:tc>
      </w:tr>
    </w:tbl>
    <w:p>
      <w:pPr>
        <w:spacing w:after="20"/>
      </w:pPr>
    </w:p>
    <w:p>
      <w:pPr>
        <w:pStyle w:val="Heading2"/>
      </w:pPr>
      <w:r>
        <w:t>承诺分类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类型</w:t>
            </w:r>
          </w:p>
        </w:tc>
        <w:tc>
          <w:tcPr>
            <w:tcW w:type="dxa" w:w="6123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处理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标准且已批准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自动进入服务责任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需要审批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人工批准后生效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条件承诺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保留条件，不直接倒计时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疑似错误或越权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阻止并提示主管纠正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模糊安抚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不生成正式截止时间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 w:eastAsia="Noto Sans SC"/>
          <w:b/>
          <w:color w:val="565656"/>
          <w:sz w:val="18"/>
        </w:rPr>
        <w:t>高风险动作由规则和人工控制；AI 不直接决定补发、退款、赔偿、质量责任或不良反应处置。</w:t>
      </w:r>
    </w:p>
    <w:p>
      <w:pPr>
        <w:spacing w:after="80"/>
      </w:pPr>
      <w:r>
        <w:rPr>
          <w:rFonts w:ascii="Arial" w:hAnsi="Arial" w:eastAsia="Noto Sans SC"/>
          <w:b w:val="0"/>
          <w:color w:val="949494"/>
          <w:sz w:val="17"/>
        </w:rPr>
        <w:t>Competition MVP 模型基线：Qwen/Qwen2-VL-2B-Instruct。最终提交登记准确版本、运行设备和 Prompt。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05</w:t>
      </w:r>
    </w:p>
    <w:p>
      <w:pPr>
        <w:pStyle w:val="Heading1"/>
        <w:spacing w:after="20"/>
      </w:pPr>
      <w:r>
        <w:t>千牛右侧第一屏只回答三个问题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在约 360–420px 窄栏里，让客服五秒完成判断和动作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问题</w:t>
            </w:r>
          </w:p>
        </w:tc>
        <w:tc>
          <w:tcPr>
            <w:tcW w:type="dxa" w:w="6690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第一屏内容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已经知道什么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泵头图片已提交；包装破损已确认；换货工单和 48 小时承诺已存在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现在最不能做什么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发送已暂停：不要再次索取相同破损图片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下一步直接做什么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查询补发进度 / 生成解决回复 / 条件触发仓库催办</w:t>
            </w:r>
          </w:p>
        </w:tc>
      </w:tr>
    </w:tbl>
    <w:p>
      <w:pPr>
        <w:spacing w:after="20"/>
      </w:pPr>
    </w:p>
    <w:p>
      <w:pPr>
        <w:pStyle w:val="Heading2"/>
      </w:pPr>
      <w:r>
        <w:t>动作前冲击瞬间</w:t>
      </w:r>
    </w:p>
    <w:p>
      <w:pPr>
        <w:spacing w:before="100" w:after="160"/>
        <w:ind w:left="142" w:right="142"/>
        <w:jc w:val="center"/>
        <w:shd w:fill="F3F3F3"/>
      </w:pPr>
      <w:r>
        <w:rPr>
          <w:rFonts w:ascii="Arial" w:hAnsi="Arial" w:eastAsia="Noto Sans SC"/>
          <w:b/>
          <w:color w:val="181818"/>
          <w:sz w:val="24"/>
        </w:rPr>
        <w:t>发送已暂停：消费者此前已提交泵头损坏图片，客服已确认包装破损。再次索证会制造重复付出。</w:t>
      </w:r>
    </w:p>
    <w:p>
      <w:pPr>
        <w:pStyle w:val="Heading2"/>
      </w:pPr>
      <w:r>
        <w:t>服务进度回执</w:t>
      </w:r>
    </w:p>
    <w:p>
      <w:pPr>
        <w:spacing w:after="80"/>
      </w:pPr>
      <w:r>
        <w:rPr>
          <w:rFonts w:ascii="Arial" w:hAnsi="Arial" w:eastAsia="Noto Sans SC"/>
          <w:b w:val="0"/>
          <w:color w:val="181818"/>
          <w:sz w:val="20"/>
        </w:rPr>
        <w:t>人工确认后，插件和聊天窗口同时出现简明回执：已收到什么、正在做什么、最迟何时更新、未完成时如何主动处理、消费者是否还需要操作。完整旅程、模型观察和规则来源默认折叠。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不要求消费者下载新应用或理解内部产品术语。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不展示内部责任人姓名、风险分数或 Agent 推理过程。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06</w:t>
      </w:r>
    </w:p>
    <w:p>
      <w:pPr>
        <w:pStyle w:val="Heading1"/>
        <w:spacing w:after="20"/>
      </w:pPr>
      <w:r>
        <w:t>消费者还没催，责任已经再次运行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同一物流接口接收不同事件，产生不同动作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事件</w:t>
            </w:r>
          </w:p>
        </w:tc>
        <w:tc>
          <w:tcPr>
            <w:tcW w:type="dxa" w:w="1757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责任状态</w:t>
            </w:r>
          </w:p>
        </w:tc>
        <w:tc>
          <w:tcPr>
            <w:tcW w:type="dxa" w:w="3515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系统动作</w:t>
            </w:r>
          </w:p>
        </w:tc>
        <w:tc>
          <w:tcPr>
            <w:tcW w:type="dxa" w:w="1984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消费者体验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已揽收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ON_TRACK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更新物流与下次节点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收到真实进展，无需催促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未揽收、尚未到期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ON_TRACK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内部预警并安排复查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无需再次操作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未揽收、已经到期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AT_RISK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仓库催办、主管升级候选、主动通知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品牌先行动再解释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商品送达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COMPLETED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校验完成条件并关闭责任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确认真正解决</w:t>
            </w:r>
          </w:p>
        </w:tc>
      </w:tr>
    </w:tbl>
    <w:p>
      <w:pPr>
        <w:spacing w:after="20"/>
      </w:pPr>
    </w:p>
    <w:p>
      <w:pPr>
        <w:spacing w:before="100" w:after="160"/>
        <w:ind w:left="142" w:right="142"/>
        <w:jc w:val="center"/>
        <w:shd w:fill="F3F3F3"/>
      </w:pPr>
      <w:r>
        <w:rPr>
          <w:rFonts w:ascii="Arial" w:hAnsi="Arial" w:eastAsia="Noto Sans SC"/>
          <w:b/>
          <w:color w:val="181818"/>
          <w:sz w:val="24"/>
        </w:rPr>
        <w:t>工单创建 ≠ 已发出 ≠ 已揽收 ≠ 已送达 ≠ 真正解决。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演示按钮调用后端事件接口，不能直接修改前端状态。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未揽收事件代码为 SHIPMENT_NOT_PICKED_UP；已揽收事件走同一接口的另一分支。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人工修改期限、执行方或动作后，以人工事实为最高优先级并停止旧计划。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07</w:t>
      </w:r>
    </w:p>
    <w:p>
      <w:pPr>
        <w:pStyle w:val="Heading1"/>
        <w:spacing w:after="20"/>
      </w:pPr>
      <w:r>
        <w:t>三条证据链，互不冒充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赛事数据证明适配，真实调研证明痛点，对照实验验证效果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证据层</w:t>
            </w:r>
          </w:p>
        </w:tc>
        <w:tc>
          <w:tcPr>
            <w:tcW w:type="dxa" w:w="4422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最小交付</w:t>
            </w:r>
          </w:p>
        </w:tc>
        <w:tc>
          <w:tcPr>
            <w:tcW w:type="dxa" w:w="2948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只能证明什么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赛事 Mock 数据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7 个业务表导入、S00001 责任链和工单统计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系统适配给定数据结构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真实调研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80–150 份问卷、5–8 名消费者、3–5 名客服短访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额外付出和协作断层真实存在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人工标注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30 个案例，20 开发＋10 留出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状态、承诺和动作判断是否正确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对照实验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当前会话 LLM / 全历史 LLM / Covenia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责任控制层是否带来可解释差异</w:t>
            </w:r>
          </w:p>
        </w:tc>
      </w:tr>
    </w:tbl>
    <w:p>
      <w:pPr>
        <w:spacing w:after="20"/>
      </w:pPr>
    </w:p>
    <w:p>
      <w:pPr>
        <w:pStyle w:val="Heading2"/>
      </w:pPr>
      <w:r>
        <w:t>轻量风险区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可直接展示：80 条五类工单、28 条非完结工单及各类状态分布。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重复索证流程风险只能来自人工标注压力测试，并标记为测试假设。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不从 Mock 数据计算真实市场发生率、投诉下降或 ROI。</w:t>
      </w:r>
    </w:p>
    <w:p>
      <w:r>
        <w:br w:type="page"/>
      </w:r>
    </w:p>
    <w:p>
      <w:pPr>
        <w:spacing w:after="20"/>
      </w:pPr>
      <w:r>
        <w:rPr>
          <w:rFonts w:ascii="Arial" w:hAnsi="Arial" w:eastAsia="Noto Sans SC"/>
          <w:b/>
          <w:color w:val="565656"/>
          <w:sz w:val="16"/>
        </w:rPr>
        <w:t>08</w:t>
      </w:r>
    </w:p>
    <w:p>
      <w:pPr>
        <w:pStyle w:val="Heading1"/>
        <w:spacing w:after="20"/>
      </w:pPr>
      <w:r>
        <w:t>比赛实现：一条薄而完整的责任链</w:t>
      </w:r>
    </w:p>
    <w:p>
      <w:pPr>
        <w:spacing w:after="100"/>
        <w:pBdr>
          <w:bottom w:val="single" w:sz="5" w:space="2" w:color="C9C9C9"/>
        </w:pBdr>
      </w:pPr>
      <w:r>
        <w:rPr>
          <w:rFonts w:ascii="Arial" w:hAnsi="Arial" w:eastAsia="Noto Sans SC"/>
          <w:b w:val="0"/>
          <w:color w:val="565656"/>
          <w:sz w:val="18"/>
        </w:rPr>
        <w:t>保留产品蓝图，冻结范围，把得分转向真实运行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必须真实运行</w:t>
            </w:r>
          </w:p>
        </w:tc>
        <w:tc>
          <w:tcPr>
            <w:tcW w:type="dxa" w:w="4535"/>
            <w:shd w:fill="F3F3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/>
                <w:color w:val="181818"/>
                <w:sz w:val="18"/>
              </w:rPr>
              <w:t>允许模拟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Excel 导入与跨表关联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千牛真实账号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一个模型的图文抽取与承诺分类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欧莱雅内部系统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同一规则链的拦截、放行和人工复核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仓库与物流生产回调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回复、催办预填和人工确认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真实补发、退款和赔付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责任对象、回执和物流事件更新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Noto Sans SC"/>
                <w:b w:val="0"/>
                <w:color w:val="181818"/>
                <w:sz w:val="17"/>
              </w:rPr>
              <w:t>复杂管理驾驶舱</w:t>
            </w:r>
          </w:p>
        </w:tc>
      </w:tr>
    </w:tbl>
    <w:p>
      <w:pPr>
        <w:spacing w:after="20"/>
      </w:pPr>
    </w:p>
    <w:p>
      <w:pPr>
        <w:pStyle w:val="Heading2"/>
      </w:pPr>
      <w:r>
        <w:t>4 分钟顺序</w:t>
      </w:r>
    </w:p>
    <w:p>
      <w:pPr>
        <w:spacing w:after="80"/>
      </w:pPr>
      <w:r>
        <w:rPr>
          <w:rFonts w:ascii="Arial" w:hAnsi="Arial" w:eastAsia="Noto Sans SC"/>
          <w:b/>
          <w:color w:val="181818"/>
          <w:sz w:val="18"/>
        </w:rPr>
        <w:t>S00001 原始责任链 → 真实图文抽取 → 发送前拦截 → 承诺生效与回执 → 物流状态分支 → 主动补救 → 证据卡。范围变化与图片模糊放在 Challenge Mode。</w:t>
      </w:r>
    </w:p>
    <w:p>
      <w:pPr>
        <w:pStyle w:val="Heading2"/>
      </w:pPr>
      <w:r>
        <w:t>完成门禁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承诺必须从聊天原文抽取，不能在运行输入中预填。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图片观察必须真实改变证据状态和下一动作。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物流事件必须通过后端更新责任，不播放固定动画。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评委修改图片、承诺时间或物流状态后，系统能够合理变化。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Challenge Mode 使用同一链路稳定输出 INTERVENE、ALLOW 和 HUMAN_REVIEW。</w:t>
      </w:r>
    </w:p>
    <w:p>
      <w:pPr>
        <w:pStyle w:val="ListBullet"/>
        <w:spacing w:after="50"/>
        <w:ind w:left="295" w:hanging="142"/>
      </w:pPr>
      <w:r>
        <w:rPr>
          <w:rFonts w:ascii="Arial" w:hAnsi="Arial" w:eastAsia="Noto Sans SC"/>
          <w:b w:val="0"/>
          <w:color w:val="181818"/>
          <w:sz w:val="20"/>
        </w:rPr>
        <w:t>Mock、团队扩充、真实调研和评测结果分别标识来源。</w:t>
      </w:r>
    </w:p>
    <w:p>
      <w:pPr>
        <w:spacing w:after="60"/>
        <w:pBdr>
          <w:bottom w:val="single" w:sz="5" w:space="2" w:color="C9C9C9"/>
        </w:pBdr>
      </w:pPr>
      <w:r>
        <w:rPr>
          <w:rFonts w:ascii="Arial" w:hAnsi="Arial" w:eastAsia="Noto Sans SC"/>
          <w:b/>
          <w:color w:val="565656"/>
          <w:sz w:val="18"/>
        </w:rPr>
        <w:t>最终定义</w:t>
      </w:r>
    </w:p>
    <w:p>
      <w:pPr>
        <w:spacing w:after="120"/>
      </w:pPr>
      <w:r>
        <w:rPr>
          <w:rFonts w:ascii="Arial" w:hAnsi="Arial" w:eastAsia="Noto Sans SC"/>
          <w:b/>
          <w:color w:val="181818"/>
          <w:sz w:val="22"/>
        </w:rPr>
        <w:t>Covenia 记住消费者已经付出过什么，把品牌的有效服务承诺变成会倒计时、会检查、会升级、会主动通知的责任。</w:t>
      </w:r>
    </w:p>
    <w:p>
      <w:pPr>
        <w:spacing w:after="80"/>
      </w:pPr>
      <w:r>
        <w:rPr>
          <w:rFonts w:ascii="Arial" w:hAnsi="Arial" w:eastAsia="Noto Sans SC"/>
          <w:b w:val="0"/>
          <w:color w:val="949494"/>
          <w:sz w:val="17"/>
        </w:rPr>
        <w:t>产品设计冻结：后续不再增加模块和场景；得分增长只来自界面、模型链路、调研与独立评测。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20" w:bottom="822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SC"/>
        <w:b w:val="0"/>
        <w:color w:val="949494"/>
        <w:sz w:val="15"/>
      </w:rPr>
      <w:t>Covenia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SC"/>
        <w:b w:val="0"/>
        <w:color w:val="949494"/>
        <w:sz w:val="15"/>
      </w:rPr>
      <w:t>COVENIA  /  COMPETITION MVP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Noto Sans SC"/>
      <w:color w:val="1818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color w:val="1818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color w:val="18181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color w:val="1818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Noto Sans SC"/>
      <w:b/>
      <w:color w:val="18181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Covenia 消费者体验责任副驾</dc:title>
  <dc:subject>L’Oréal 美妆科技黑客松 Competition MVP</dc:subject>
  <dc:creator>Covenia Team</dc:creator>
  <cp:keywords>Covenia, Promise-to-Action, Experience Ledger, QianNiu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