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60" w:lineRule="auto"/>
        <w:jc w:val="center"/>
      </w:pPr>
      <w:r>
        <w:rPr>
          <w:rFonts w:ascii="Times New Roman" w:hAnsi="Times New Roman"/>
          <w:b/>
          <w:i w:val="0"/>
          <w:sz w:val="26"/>
        </w:rPr>
        <w:t>KUESIONER KEPRAKTISAN ANTARMUKA GURU MATEMATIKA MITRA</w:t>
      </w:r>
    </w:p>
    <w:p>
      <w:pPr>
        <w:spacing w:before="0" w:after="280" w:line="360" w:lineRule="auto"/>
        <w:jc w:val="center"/>
      </w:pPr>
      <w:r>
        <w:rPr>
          <w:rFonts w:ascii="Times New Roman" w:hAnsi="Times New Roman"/>
          <w:b/>
          <w:i w:val="0"/>
          <w:sz w:val="22"/>
        </w:rPr>
        <w:t>System Usability Scale (SUS) Adaptif — Evaluasi Dasbor Statistika Interaktif</w:t>
      </w:r>
    </w:p>
    <w:p>
      <w:pPr>
        <w:spacing w:after="240"/>
        <w:jc w:val="center"/>
      </w:pPr>
      <w:r>
        <w:rPr>
          <w:rFonts w:ascii="Times New Roman" w:hAnsi="Times New Roman"/>
          <w:b w:val="0"/>
          <w:i w:val="0"/>
          <w:color w:val="64748B"/>
          <w:sz w:val="18"/>
        </w:rPr>
        <w:t>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>Nama Guru Mitra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: ....................................................................................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>Mata Pelajaran / Kelas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: Matematika / Kelas VII &amp; VIII MTs / SMP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>Satuan Pendidikan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: ....................................................................................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>Lama Pengalaman Mengajar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: .............. Tahun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>Tanggal Pengisian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: ....................................................................................</w:t>
            </w:r>
          </w:p>
        </w:tc>
      </w:tr>
    </w:tbl>
    <w:p>
      <w:pPr>
        <w:spacing w:after="120"/>
      </w:pPr>
    </w:p>
    <w:p>
      <w:pPr>
        <w:spacing w:before="160" w:after="80" w:line="360" w:lineRule="auto"/>
        <w:jc w:val="left"/>
      </w:pPr>
      <w:r>
        <w:rPr>
          <w:rFonts w:ascii="Times New Roman" w:hAnsi="Times New Roman"/>
          <w:b/>
          <w:i w:val="0"/>
          <w:sz w:val="22"/>
        </w:rPr>
        <w:t>PETUNJUK PENGISIAN LEMBAR PENILAIAN:</w:t>
      </w:r>
    </w:p>
    <w:p>
      <w:pPr>
        <w:spacing w:before="0" w:after="60" w:line="276" w:lineRule="auto"/>
        <w:ind w:left="360"/>
      </w:pPr>
      <w:r>
        <w:rPr>
          <w:rFonts w:ascii="Times New Roman" w:hAnsi="Times New Roman"/>
          <w:b/>
          <w:i w:val="0"/>
          <w:sz w:val="21"/>
        </w:rPr>
        <w:t xml:space="preserve">1. </w:t>
      </w:r>
      <w:r>
        <w:rPr>
          <w:rFonts w:ascii="Times New Roman" w:hAnsi="Times New Roman"/>
          <w:b w:val="0"/>
          <w:i w:val="0"/>
          <w:sz w:val="21"/>
        </w:rPr>
        <w:t>Kuesioner System Usability Scale (SUS) adaptif ini bertujuan untuk mengevaluasi tingkat kepraktisan dan kemudahan antarmuka media pembelajaran.</w:t>
      </w:r>
    </w:p>
    <w:p>
      <w:pPr>
        <w:spacing w:before="0" w:after="60" w:line="276" w:lineRule="auto"/>
        <w:ind w:left="360"/>
      </w:pPr>
      <w:r>
        <w:rPr>
          <w:rFonts w:ascii="Times New Roman" w:hAnsi="Times New Roman"/>
          <w:b/>
          <w:i w:val="0"/>
          <w:sz w:val="21"/>
        </w:rPr>
        <w:t xml:space="preserve">2. </w:t>
      </w:r>
      <w:r>
        <w:rPr>
          <w:rFonts w:ascii="Times New Roman" w:hAnsi="Times New Roman"/>
          <w:b w:val="0"/>
          <w:i w:val="0"/>
          <w:sz w:val="21"/>
        </w:rPr>
        <w:t>Bapak/Ibu guru dimohon mencoba dan mengoperasikan Prototipe-1 dasbor interaktif terlebih dahulu sebelum mengisi kuesioner ini.</w:t>
      </w:r>
    </w:p>
    <w:p>
      <w:pPr>
        <w:spacing w:before="0" w:after="60" w:line="276" w:lineRule="auto"/>
        <w:ind w:left="360"/>
      </w:pPr>
      <w:r>
        <w:rPr>
          <w:rFonts w:ascii="Times New Roman" w:hAnsi="Times New Roman"/>
          <w:b/>
          <w:i w:val="0"/>
          <w:sz w:val="21"/>
        </w:rPr>
        <w:t xml:space="preserve">3. </w:t>
      </w:r>
      <w:r>
        <w:rPr>
          <w:rFonts w:ascii="Times New Roman" w:hAnsi="Times New Roman"/>
          <w:b w:val="0"/>
          <w:i w:val="0"/>
          <w:sz w:val="21"/>
        </w:rPr>
        <w:t>Berikan tanda centang (✓) pada pilihan respon: STS = Sangat Tidak Setuju (1), TS = Tidak Setuju (2), N = Netral/Ragu-ragu (3), S = Setuju (4), SS = Sangat Setuju (5).</w:t>
      </w:r>
    </w:p>
    <w:p>
      <w:pPr>
        <w:spacing w:before="0" w:after="60" w:line="276" w:lineRule="auto"/>
        <w:ind w:left="360"/>
      </w:pPr>
      <w:r>
        <w:rPr>
          <w:rFonts w:ascii="Times New Roman" w:hAnsi="Times New Roman"/>
          <w:b/>
          <w:i w:val="0"/>
          <w:sz w:val="21"/>
        </w:rPr>
        <w:t xml:space="preserve">4. </w:t>
      </w:r>
      <w:r>
        <w:rPr>
          <w:rFonts w:ascii="Times New Roman" w:hAnsi="Times New Roman"/>
          <w:b w:val="0"/>
          <w:i w:val="0"/>
          <w:sz w:val="21"/>
        </w:rPr>
        <w:t>Penilaian ini tidak memengaruhi evaluasi profesional Bapak/Ibu dan semata-mata digunakan untuk kepentingan ilmiah penyempurnaan media.</w:t>
      </w:r>
    </w:p>
    <w:p>
      <w:pPr>
        <w:spacing w:before="200" w:after="80" w:line="360" w:lineRule="auto"/>
        <w:jc w:val="left"/>
      </w:pPr>
      <w:r>
        <w:rPr>
          <w:rFonts w:ascii="Times New Roman" w:hAnsi="Times New Roman"/>
          <w:b/>
          <w:i w:val="0"/>
          <w:sz w:val="22"/>
        </w:rPr>
        <w:t>TABEL BUTIR PERNYATAAN SYSTEM USABILITY SCALE (SUS ADAPTIF):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none"/>
          <w:bottom w:val="single" w:sz="8" w:space="0" w:color="000000"/>
          <w:right w:val="none"/>
          <w:insideH w:val="single" w:sz="4" w:space="0" w:color="D3D3D3"/>
          <w:insideV w:val="none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648"/>
            <w:tcMar>
              <w:top w:w="100" w:type="dxa"/>
              <w:bottom w:w="100" w:type="dxa"/>
              <w:left w:w="60" w:type="dxa"/>
              <w:right w:w="60" w:type="dxa"/>
            </w:tcMar>
            <w:shd w:fill="E2E8F0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No</w:t>
            </w:r>
          </w:p>
        </w:tc>
        <w:tc>
          <w:tcPr>
            <w:tcW w:type="dxa" w:w="5688"/>
            <w:tcMar>
              <w:top w:w="100" w:type="dxa"/>
              <w:bottom w:w="100" w:type="dxa"/>
              <w:left w:w="60" w:type="dxa"/>
              <w:right w:w="60" w:type="dxa"/>
            </w:tcMar>
            <w:shd w:fill="E2E8F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Pernyataan Kuesioner Kepraktisan (SUS Adaptif)</w:t>
            </w:r>
          </w:p>
        </w:tc>
        <w:tc>
          <w:tcPr>
            <w:tcW w:type="dxa" w:w="648"/>
            <w:tcMar>
              <w:top w:w="100" w:type="dxa"/>
              <w:bottom w:w="100" w:type="dxa"/>
              <w:left w:w="60" w:type="dxa"/>
              <w:right w:w="60" w:type="dxa"/>
            </w:tcMar>
            <w:shd w:fill="E2E8F0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STS</w:t>
            </w:r>
          </w:p>
        </w:tc>
        <w:tc>
          <w:tcPr>
            <w:tcW w:type="dxa" w:w="648"/>
            <w:tcMar>
              <w:top w:w="100" w:type="dxa"/>
              <w:bottom w:w="100" w:type="dxa"/>
              <w:left w:w="60" w:type="dxa"/>
              <w:right w:w="60" w:type="dxa"/>
            </w:tcMar>
            <w:shd w:fill="E2E8F0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TS</w:t>
            </w:r>
          </w:p>
        </w:tc>
        <w:tc>
          <w:tcPr>
            <w:tcW w:type="dxa" w:w="648"/>
            <w:tcMar>
              <w:top w:w="100" w:type="dxa"/>
              <w:bottom w:w="100" w:type="dxa"/>
              <w:left w:w="60" w:type="dxa"/>
              <w:right w:w="60" w:type="dxa"/>
            </w:tcMar>
            <w:shd w:fill="E2E8F0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N</w:t>
            </w:r>
          </w:p>
        </w:tc>
        <w:tc>
          <w:tcPr>
            <w:tcW w:type="dxa" w:w="648"/>
            <w:tcMar>
              <w:top w:w="100" w:type="dxa"/>
              <w:bottom w:w="100" w:type="dxa"/>
              <w:left w:w="60" w:type="dxa"/>
              <w:right w:w="60" w:type="dxa"/>
            </w:tcMar>
            <w:shd w:fill="E2E8F0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</w:t>
            </w:r>
          </w:p>
        </w:tc>
        <w:tc>
          <w:tcPr>
            <w:tcW w:type="dxa" w:w="648"/>
            <w:tcMar>
              <w:top w:w="100" w:type="dxa"/>
              <w:bottom w:w="100" w:type="dxa"/>
              <w:left w:w="60" w:type="dxa"/>
              <w:right w:w="60" w:type="dxa"/>
            </w:tcMar>
            <w:shd w:fill="E2E8F0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SS</w:t>
            </w:r>
          </w:p>
        </w:tc>
      </w:tr>
      <w:tr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568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Saya berpikir akan sering menggunakan Dasbor Statistika Interaktif ini kembali dalam pembelajaran statistika.</w:t>
            </w:r>
          </w:p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2</w:t>
            </w:r>
          </w:p>
        </w:tc>
        <w:tc>
          <w:tcPr>
            <w:tcW w:type="dxa" w:w="568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Saya merasa antarmuka sistem dasbor statistika ini terlalu rumit dan membingungkan untuk digunakan.</w:t>
            </w:r>
          </w:p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3</w:t>
            </w:r>
          </w:p>
        </w:tc>
        <w:tc>
          <w:tcPr>
            <w:tcW w:type="dxa" w:w="568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Saya merasa dasbor statistika interaktif ini sangat mudah untuk dioperasikan dalam eksplorasi data.</w:t>
            </w:r>
          </w:p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4</w:t>
            </w:r>
          </w:p>
        </w:tc>
        <w:tc>
          <w:tcPr>
            <w:tcW w:type="dxa" w:w="568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Saya merasa membutuhkan bantuan orang lain atau instruktur teknis untuk dapat mengoperasikan dasbor ini.</w:t>
            </w:r>
          </w:p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5</w:t>
            </w:r>
          </w:p>
        </w:tc>
        <w:tc>
          <w:tcPr>
            <w:tcW w:type="dxa" w:w="568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Saya menemukan bahwa berbagai fitur interaktif (grafik, filter, slider) dalam dasbor ini terintegrasi dengan sangat rapi.</w:t>
            </w:r>
          </w:p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6</w:t>
            </w:r>
          </w:p>
        </w:tc>
        <w:tc>
          <w:tcPr>
            <w:tcW w:type="dxa" w:w="568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Saya merasa terdapat banyak hal yang tidak konsisten pada tombol, warna, atau susunan menu dasbor ini.</w:t>
            </w:r>
          </w:p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7</w:t>
            </w:r>
          </w:p>
        </w:tc>
        <w:tc>
          <w:tcPr>
            <w:tcW w:type="dxa" w:w="568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Saya merasa teman-teman sekelas akan mempelajari cara menggunakan dasbor ini dengan sangat cepat.</w:t>
            </w:r>
          </w:p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8</w:t>
            </w:r>
          </w:p>
        </w:tc>
        <w:tc>
          <w:tcPr>
            <w:tcW w:type="dxa" w:w="568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Saya merasa alur kerja dan navigasi dasbor ini sangat janggal atau membingungkan saat pertama kali dicoba.</w:t>
            </w:r>
          </w:p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9</w:t>
            </w:r>
          </w:p>
        </w:tc>
        <w:tc>
          <w:tcPr>
            <w:tcW w:type="dxa" w:w="568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Saya merasa sangat percaya diri saat menyelesaikan tugas-tugas literasi data menggunakan dasbor ini.</w:t>
            </w:r>
          </w:p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568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Saya harus mempelajari banyak hal teknis yang rumit terlebih dahulu sebelum bisa mahir menggunakan dasbor ini.</w:t>
            </w:r>
          </w:p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11</w:t>
            </w:r>
          </w:p>
        </w:tc>
        <w:tc>
          <w:tcPr>
            <w:tcW w:type="dxa" w:w="568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Tampilan antarmuka dasbor ini sangat responsif, rapi, dan nyaman dibuka baik di layar laptop maupun ponsel pintar.</w:t>
            </w:r>
          </w:p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12</w:t>
            </w:r>
          </w:p>
        </w:tc>
        <w:tc>
          <w:tcPr>
            <w:tcW w:type="dxa" w:w="568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Penyajian dataset bernuansa Islami pada dasbor ini mempermudah saya memahami penerapan etika Tabayyun dan Amanah data.</w:t>
            </w:r>
          </w:p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13</w:t>
            </w:r>
          </w:p>
        </w:tc>
        <w:tc>
          <w:tcPr>
            <w:tcW w:type="dxa" w:w="568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Saya mengalami kesulitan dalam memahami respon visual grafik dan kalkulator interaktif saat mengubah parameter angka.</w:t>
            </w:r>
          </w:p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14</w:t>
            </w:r>
          </w:p>
        </w:tc>
        <w:tc>
          <w:tcPr>
            <w:tcW w:type="dxa" w:w="568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Dasbor ini menanamkan kesadaran pada saya untuk menyajikan dan membaca data statistika secara jujur tanpa manipulasi.</w:t>
            </w:r>
          </w:p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15</w:t>
            </w:r>
          </w:p>
        </w:tc>
        <w:tc>
          <w:tcPr>
            <w:tcW w:type="dxa" w:w="5688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Petunjuk instruksional dan rubrik penskoran pada setiap penugasan tersemat sangat jelas dan mudah dipahami langkah-langkahnya.</w:t>
            </w:r>
          </w:p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  <w:tc>
          <w:tcPr>
            <w:tcW w:type="dxa" w:w="648"/>
            <w:tcMar>
              <w:top w:w="70" w:type="dxa"/>
              <w:bottom w:w="70" w:type="dxa"/>
              <w:left w:w="60" w:type="dxa"/>
              <w:right w:w="60" w:type="dxa"/>
            </w:tcMar>
          </w:tcPr>
          <w:p/>
        </w:tc>
      </w:tr>
    </w:tbl>
    <w:p>
      <w:pPr>
        <w:spacing w:after="160"/>
      </w:pPr>
    </w:p>
    <w:p>
      <w:pPr>
        <w:spacing w:before="160" w:after="80" w:line="360" w:lineRule="auto"/>
        <w:jc w:val="left"/>
      </w:pPr>
      <w:r>
        <w:rPr>
          <w:rFonts w:ascii="Times New Roman" w:hAnsi="Times New Roman"/>
          <w:b/>
          <w:i w:val="0"/>
          <w:sz w:val="22"/>
        </w:rPr>
        <w:t>Catatan / Masukan Praktis Guru untuk Penerapan di Kelas: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none"/>
          <w:bottom w:val="single" w:sz="8" w:space="0" w:color="000000"/>
          <w:right w:val="none"/>
          <w:insideH w:val="single" w:sz="4" w:space="0" w:color="D3D3D3"/>
          <w:insideV w:val="none"/>
        </w:tblBorders>
      </w:tblPr>
      <w:tblGrid>
        <w:gridCol w:w="8640"/>
      </w:tblGrid>
      <w:tr>
        <w:tc>
          <w:tcPr>
            <w:tcW w:type="dxa" w:w="9360"/>
            <w:tcMar>
              <w:top w:w="150" w:type="dxa"/>
              <w:bottom w:w="400" w:type="dxa"/>
              <w:left w:w="150" w:type="dxa"/>
              <w:right w:w="150" w:type="dxa"/>
            </w:tcMar>
          </w:tcPr>
          <w:p/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80" w:line="276" w:lineRule="auto"/>
            </w:pPr>
            <w:r>
              <w:rPr>
                <w:rFonts w:ascii="Times New Roman" w:hAnsi="Times New Roman"/>
                <w:b w:val="0"/>
                <w:i/>
                <w:sz w:val="20"/>
              </w:rPr>
              <w:t>Rekomendasi Umum Validator:</w:t>
              <w:br/>
              <w:t>[   ] Layak Digunakan Tanpa Revisi</w:t>
              <w:br/>
              <w:t>[   ] Layak Digunakan dengan Revisi Kecil</w:t>
              <w:br/>
              <w:t>[   ] Tidak Layak Digunakan</w:t>
            </w:r>
          </w:p>
        </w:tc>
        <w:tc>
          <w:tcPr>
            <w:tcW w:type="dxa" w:w="47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Cirebon, .................................... 2026</w:t>
              <w:br/>
              <w:t>Guru Matematika Mitra,</w:t>
              <w:br/>
              <w:br/>
              <w:br/>
              <w:br/>
              <w:br/>
              <w:t>( .................................................................... )</w:t>
              <w:br/>
              <w:t>NIP/NIDN. .................................................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