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26"/>
        </w:rPr>
        <w:t>PANDUAN PENSKORAN TUGAS PENALARAN LITERASI DATA</w:t>
      </w:r>
    </w:p>
    <w:p>
      <w:pPr>
        <w:spacing w:before="0" w:after="280" w:line="360" w:lineRule="auto"/>
        <w:jc w:val="center"/>
      </w:pPr>
      <w:r>
        <w:rPr>
          <w:rFonts w:ascii="Times New Roman" w:hAnsi="Times New Roman"/>
          <w:b/>
          <w:i w:val="0"/>
          <w:sz w:val="22"/>
        </w:rPr>
        <w:t>Rubrik Penskoran Politomi Berbasis Partial Credit Model (PCM) — 8 Embedded Tasks</w:t>
      </w:r>
    </w:p>
    <w:p>
      <w:pPr>
        <w:spacing w:after="240"/>
        <w:jc w:val="center"/>
      </w:pPr>
      <w:r>
        <w:rPr>
          <w:rFonts w:ascii="Times New Roman" w:hAnsi="Times New Roman"/>
          <w:b w:val="0"/>
          <w:i w:val="0"/>
          <w:color w:val="64748B"/>
          <w:sz w:val="18"/>
        </w:rPr>
        <w:t>_________________________________________________________________________________</w:t>
      </w:r>
    </w:p>
    <w:p>
      <w:pPr>
        <w:spacing w:before="80" w:after="240" w:line="360" w:lineRule="auto"/>
        <w:jc w:val="left"/>
      </w:pPr>
      <w:r>
        <w:rPr>
          <w:rFonts w:ascii="Times New Roman" w:hAnsi="Times New Roman"/>
          <w:b w:val="0"/>
          <w:i w:val="0"/>
          <w:sz w:val="24"/>
        </w:rPr>
        <w:t>Dokumen ini merupakan pedoman baku penilaian respon siswa pada delapan tugas penalaran data tersemat (T1–T8) berjenjang Watson &amp; Callingham (2003) dengan penskoran politomi bertingkat (Skor 0, 1, dan 2) sesuai prinsip Tesis Aini (Ulfah, 2020).</w:t>
      </w:r>
    </w:p>
    <w:p>
      <w:pPr>
        <w:spacing w:before="200" w:after="80" w:line="360" w:lineRule="auto"/>
        <w:jc w:val="left"/>
      </w:pPr>
      <w:r>
        <w:rPr>
          <w:rFonts w:ascii="Times New Roman" w:hAnsi="Times New Roman"/>
          <w:b/>
          <w:i w:val="0"/>
          <w:color w:val="0F766E"/>
          <w:sz w:val="22"/>
        </w:rPr>
        <w:t>Butir Tugas T1: Zakat Fitrah (Level 3/4 (Informal / Quantitative))</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Data Penerimaan Zakat Fitrah di 5 Kecamatan (Kec. A, Kec. B, Kec. C, Kec. D, Kec. E) yang disajikan dalam diagram batang interaktif.</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Perhatikan diagram batang interaktif penerimaan zakat fitrah. Gunakan fitur hover/kalkulator selisih. Identifikasi kecamatan dengan penerimaan zakat tertinggi dan terendah, lalu hitung selisihnya dalam kg!</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(Kejujuran Pencatatan &amp; Takaran) — Pencatatan dan penghitungan hak mustahik secara akurat tanpa pengurangan takaran (QS. Al-Muthaffifin: 1-3).</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Kecamatan tertinggi = Kec. D (1.450 kg), terendah = Kec. C (650 kg). Selisih mutlak = 1.450 kg - 650 kg = 800 kg.</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dalam mengidentifikasi kecamatan tertinggi dan terendah, atau tidak memberikan respon jawaban sama sekali.</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mengidentifikasi kecamatan tertinggi dan terendah dengan tepat, namun keliru dalam melakukan kalkulasi selisih matematis atau tidak menyertakan satuan kg.</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mengidentifikasi kecamatan dengan perolehan zakat tertinggi (Kec. D = 1.450 kg) dan terendah (Kec. C = 650 kg) secara tepat, serta menghitung selisih 800 kg secara akurat lengkap beserta satuan pengukurannya.</w:t>
            </w:r>
          </w:p>
        </w:tc>
      </w:tr>
    </w:tbl>
    <w:p>
      <w:pPr>
        <w:spacing w:after="200"/>
      </w:pPr>
    </w:p>
    <w:p>
      <w:pPr>
        <w:spacing w:before="200" w:after="80" w:line="360" w:lineRule="auto"/>
        <w:jc w:val="left"/>
      </w:pPr>
      <w:r>
        <w:rPr>
          <w:rFonts w:ascii="Times New Roman" w:hAnsi="Times New Roman"/>
          <w:b/>
          <w:i w:val="0"/>
          <w:color w:val="0F766E"/>
          <w:sz w:val="22"/>
        </w:rPr>
        <w:t>Butir Tugas T2: Wakaf Produktif (Level 4 (Quantitative / Structural))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Distribusi Luas Tanah Wakaf Produktif (Pertanian &amp; Ruko Usaha) vs Non-Produktif (Pemakaman &amp; Tempat Ibadah) pada suatu wilayah.</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Gunakan filter kategori untuk memisahkan peruntukan wakaf produktif (pertanian &amp; usaha) dengan non-produktif (pemakaman &amp; ibadah). Bandingkan proporsinya dan simpulkan kecenderungannya!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&amp; Maslahah (Pengelolaan Wakaf Berkelanjutan) — Optimalisasi aset wakaf untuk kemaslahatan umat berkelanjutan secara adil dan transparan.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Wakaf Produktif = Pertanian (35%) + Ruko (25%) = 60%. Wakaf Non-Produktif = Tempat Ibadah (20%) + Makam (20%) = 40%. Rasio perbandingan 3 : 2 dengan dominasi sektor produktif.</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dalam mengklasifikasikan kategori data dan gagal menghitung rasio proporsi.</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menghitung persentase proporsi masing-masing kelompok data dengan benar, namun kesimpulan analisis atau interpretasi manajerial wakaf belum tepat.</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berhasil mengelompokkan dan membandingkan persentase kedua sektor wakaf (60% produktif vs 40% non-produktif) secara akurat serta menyimpulkan signifikansi kemaslahatan ekonomi wakaf.</w:t>
            </w:r>
          </w:p>
        </w:tc>
      </w:tr>
    </w:tbl>
    <w:p>
      <w:pPr>
        <w:spacing w:after="200"/>
      </w:pPr>
    </w:p>
    <w:p>
      <w:pPr>
        <w:spacing w:before="200" w:after="80" w:line="360" w:lineRule="auto"/>
        <w:jc w:val="left"/>
      </w:pPr>
      <w:r>
        <w:rPr>
          <w:rFonts w:ascii="Times New Roman" w:hAnsi="Times New Roman"/>
          <w:b/>
          <w:i w:val="0"/>
          <w:color w:val="0F766E"/>
          <w:sz w:val="22"/>
        </w:rPr>
        <w:t>Butir Tugas T3: Perpustakaan Madrasah (Level 4/5 (Relational / Inconsistent Critical))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Tren peminjaman buku perpustakaan madrasah selama 6 bulan dengan lonjakan ekstrem di bulan Ramadan (April: 180 peminjaman).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Aktifkan dan nonaktifkan data bulan Ramadan (April: 180 peminjaman). Analisis ukuran pemusatan manakah (Mean atau Median) yang mengalami pergeseran paling drastis dan jelaskan alasan teoretisnya!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Istiqamah &amp; Tabayyun (Ketelitian &amp; Verifikasi Anomali) — Verifikasi ketahanan data statistik terhadap anomali musiman (kegiatan Ramadan) secara objektif tanpa prasangka.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Mean melonjak tajam dari 46,4 menjadi 68,6 (+47,8%), sedangkan Median relatif konstan dari 46,0 menjadi 47,5 (+3,3%). Mean dipengaruhi besaran numerik ekstrem, sedangkan median hanya bergantung pada posisi urutan nilai tengah.</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menentukan ukuran pemusatan yang sensitif terhadap pencilan atau tidak memahami konsep outlier.</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dapat mengidentifikasi pergeseran nilai statistik dengan benar, tetapi penjelasan teoretis mengenai penyebab resistensi median belum lengkap.</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secara tepat menunjukkan perubahan Mean (dari 46,4 ke 68,6) dan Median (dari 46,0 ke 47,5), menyimpulkan bahwa Mean sangat sensitif terhadap pencilan sedangkan Median stabil, serta menjelaskan landasan matematisnya (penjumlahan nilai vs posisi urutan tengah).</w:t>
            </w:r>
          </w:p>
        </w:tc>
      </w:tr>
    </w:tbl>
    <w:p>
      <w:pPr>
        <w:spacing w:after="200"/>
      </w:pPr>
    </w:p>
    <w:p>
      <w:pPr>
        <w:spacing w:before="200" w:after="80" w:line="360" w:lineRule="auto"/>
        <w:jc w:val="left"/>
      </w:pPr>
      <w:r>
        <w:rPr>
          <w:rFonts w:ascii="Times New Roman" w:hAnsi="Times New Roman"/>
          <w:b/>
          <w:i w:val="0"/>
          <w:color w:val="0F766E"/>
          <w:sz w:val="22"/>
        </w:rPr>
        <w:t>Butir Tugas T4: Muraja'ah vs Hafalan (Level 5 (Critical / Inconsistent))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Hubungan Durasi Muraja'ah (Jam/Minggu) dengan Skor Uji Hafalan Al-Qur'an pada 10 Santri Madrasah.</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Aktifkan garis tren (trendline) pada scatter plot interaktif. Bagaimanakah bentuk asosiasi antar-variabel? Gunakan model untuk memprediksikan skor hafalan jika santri bermuraja'ah selama 10 jam/minggu!</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Mujahadah &amp; Tawakkal (Hukum Kausalitas Ikhtiar) — Hukum kausalitas ikhtiar: hubungan linier positif antara kesungguhan waktu muraja'ah dengan ketahanan hafalan Al-Qur'an.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Hubungan bersifat korelasi linier positif kuat. Berdasarkan garis tren regresi linier, santri dengan waktu muraja'ah 10 jam/minggu diestimasikan meraih skor hafalan pada rentang 93 - 97 poin.</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mengartikan pola hubungan antar-variabel dan gagal memprediksi nilai.</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menyebutkan jenis hubungan korelasi positif namun nilai prediksi skor hafalan kurang presisi atau tanpa dasar model tren.</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mengidentifikasi arah korelasi positif kuat (semakin tinggi durasi muraja'ah, semakin tinggi skor hafalan) dan memprediksikan skor hafalan santri (~95) secara logis berbasis garis tren regresi linier.</w:t>
            </w:r>
          </w:p>
        </w:tc>
      </w:tr>
    </w:tbl>
    <w:p>
      <w:pPr>
        <w:spacing w:after="200"/>
      </w:pPr>
    </w:p>
    <w:p>
      <w:pPr>
        <w:spacing w:before="200" w:after="80" w:line="360" w:lineRule="auto"/>
        <w:jc w:val="left"/>
      </w:pPr>
      <w:r>
        <w:rPr>
          <w:rFonts w:ascii="Times New Roman" w:hAnsi="Times New Roman"/>
          <w:b/>
          <w:i w:val="0"/>
          <w:color w:val="0F766E"/>
          <w:sz w:val="22"/>
        </w:rPr>
        <w:t>Butir Tugas T5: Grafik Infak Bias (Level 5/6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Laporan Visual Pengumpulan Infak Masjid selama 4 Pekan dengan 2 Pilihan Format Tampilan Sumbu Y (Grafik A: Potong di 5 Juta vs Grafik B: Mulai dari Nol).</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Bandingkan Grafik A (skala sumbu Y terpotong mulai Rp 5.000.000) dan Grafik B (skala sumbu Y dimulai dari nol). Mengapa Grafik A memberikan ilusi peningkatan yang sangat drastis? Evaluasi dari sudut pandang integritas Amanah data!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&amp; Kejujuran (Anti-Manipulasi Visual &amp; Larangan Tadlis) — Penyajian laporan keuangan publik tanpa manipulasi optik skala grafik (Larangan tadlis / penipuan persepsi visual).</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Grafik A memotong sumbu Y di titik 5 juta rupiah sehingga kenaikan moderat Rp 300.000 terlihat secara visual seperti lonjakan 5 kali lipat. Grafik B menyajikan proporsi riil dari dasar nol (zero-baseline) sesuai standar integritas data Amanah.</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menganggap kedua grafik memberikan pesan yang sama atau gagal mengidentifikasi manipulasi baseline sumbu Y.</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menemukan perbedaan skala Y namun argumentasi mengenai distorsi optik atau prinsip etika Amanah pelaporan data belum komprehensif.</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membongkar distorsi visual pada Grafik A akibat pemotongan sumbu Y (truncated baseline), menjelaskan bahwa kenaikan riil hanya ~5,8% bukan 500%, serta meninjau implikasi etika Amanah dalam komunikasi data publik.</w:t>
            </w:r>
          </w:p>
        </w:tc>
      </w:tr>
    </w:tbl>
    <w:p>
      <w:pPr>
        <w:spacing w:after="200"/>
      </w:pPr>
    </w:p>
    <w:p>
      <w:pPr>
        <w:spacing w:before="200" w:after="80" w:line="360" w:lineRule="auto"/>
        <w:jc w:val="left"/>
      </w:pPr>
      <w:r>
        <w:rPr>
          <w:rFonts w:ascii="Times New Roman" w:hAnsi="Times New Roman"/>
          <w:b/>
          <w:i w:val="0"/>
          <w:color w:val="0F766E"/>
          <w:sz w:val="22"/>
        </w:rPr>
        <w:t>Butir Tugas T6: KKM Bahasa Arab (Level 5/6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Data nilai ujian Bahasa Arab satu kelas (10 siswa) dengan keberadaan 2 siswa pindahan/inklusif bernilai rendah (25 dan 30).</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Guru madrasah ingin menetapkan KKM berbasis representasi kelas yang adil. Aktifkan/nonaktifkan data pencilan siswa inklusif. Ukuran pemusatan manakah (Mean atau Median) yang paling adil dan representatif dijadikan dasar acuan? Jelaskan dengan landasan Tabayyun!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Tabayyun &amp; Keadilan ('Adl) — Keadilan proporsional dalam menetapkan standar evaluasi belajar yang tidak merugikan mayoritas siswa karena anomali kasus inklusif.</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Nilai Median (85,5) atau Mean terkoreksi (86,9) adalah ukuran paling adil untuk menetapkan standar capaian kelas, sementara 2 siswa inklusif difasilitasi program bimbingan matrikulasi khusus berdasarkan prinsip Tabayyun dan keadilan proporsional.</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memilih Mean dengan outlier (75,0) tanpa menyadari dampaknya yang merugikan evaluasi pencapaian mayoritas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memilih ukuran statistik yang tepat namun belum mengaitkan alasan dengan konsep keadilan representasi dan program penanganan khusus inklusif.</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memilih Median (85,5) atau Mean tanpa outlier (86,9) sebagai dasar pengambilan keputusan yang adil, menjelaskan bahwa Mean keseluruhan (75,0) terdistorsi berat oleh nilai ekstrem dua siswa inklusif, dan menguraikan rekomendasi penanganan afirmasi berbasis Tabayyun.</w:t>
            </w:r>
          </w:p>
        </w:tc>
      </w:tr>
    </w:tbl>
    <w:p>
      <w:pPr>
        <w:spacing w:after="200"/>
      </w:pPr>
    </w:p>
    <w:p>
      <w:pPr>
        <w:spacing w:before="200" w:after="80" w:line="360" w:lineRule="auto"/>
        <w:jc w:val="left"/>
      </w:pPr>
      <w:r>
        <w:rPr>
          <w:rFonts w:ascii="Times New Roman" w:hAnsi="Times New Roman"/>
          <w:b/>
          <w:i w:val="0"/>
          <w:color w:val="0F766E"/>
          <w:sz w:val="22"/>
        </w:rPr>
        <w:t>Butir Tugas T7: Bias Sampling (Level 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Klaim promosi sebuah platform bimbingan belajar: "90% Efektif Meningkatkan Nilai Matematika Siswa Madrasah" yang didasarkan pada survei 10 responden.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Klik tombol "Inspeksi Demografi Sampel" untuk memeriksa latar belakang responden. Evaluasilah apakah klaim 90% tersebut dapat digeneralisasi untuk seluruh populasi siswa madrasah? Berikan telaah kritis Anda berdasarkan prinsip Tabayyun!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Tabayyun (Verifikasi Metodologis &amp; Anti-Hoaks) — Kewajiban meneliti kebenaran metodologis suatu klaim sebelum mempercayai dan menyebarkannya (QS. Al-Hujurat: 6).</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Klaim tidak valid digeneralisasikan karena sampel mengalami bias seleksi (100% siswa kelas olimpiade) dan ukuran sampel (N=10) tidak mencerminkan variansi populasi madrasah. Sesuai prinsip Tabayyun, diperlukan stratified random sampling.</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menerima klaim promosi secara mentah tanpa melakukan verifikasi keabsahan latar belakang sampel.</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menyatakan klaim kurang meyakinkan karena jumlah sampel sedikit, namun belum mampu mendeteksi bias seleksi demografi responden secara spesifik.</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secara tegas menolak klaim generalisasi karena menemukan bahwa seluruh responden (N=10) berasal dari kelas unggulan olimpiade (purposive sampling bias) dengan ukuran sampel terlalu kecil, serta menjustifikasi telaah menggunakan prinsip Tabayyun informasi ilmiah.</w:t>
            </w:r>
          </w:p>
        </w:tc>
      </w:tr>
    </w:tbl>
    <w:p>
      <w:pPr>
        <w:spacing w:after="200"/>
      </w:pPr>
    </w:p>
    <w:p>
      <w:pPr>
        <w:spacing w:before="200" w:after="80" w:line="360" w:lineRule="auto"/>
        <w:jc w:val="left"/>
      </w:pPr>
      <w:r>
        <w:rPr>
          <w:rFonts w:ascii="Times New Roman" w:hAnsi="Times New Roman"/>
          <w:b/>
          <w:i w:val="0"/>
          <w:color w:val="0F766E"/>
          <w:sz w:val="22"/>
        </w:rPr>
        <w:t>Butir Tugas T8: Alokasi Anggaran (Level 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Data historis pertumbuhan peminat dan kebutuhan operasional 4 kegiatan ekstrakurikuler madrasah (Tahfidz, Pramuka Islam, Kaligrafi, PMR).</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Gunakan simulator slider untuk mengalokasikan total plafon anggaran madrasah sebesar Rp 20.000.000. Sesuaikan pembagian anggaran secara proporsional dengan tren pertumbuhan minat santri dan berikan justifikasi efisiensinya!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&amp; Syura (Efisiensi, Musyawarah &amp; Keadilan Alokatif) — Pengelolaan kas organisasi madrasah secara adil, produktif, dan berbasis kebutuhan riil peserta didik melalui musyawarah.</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Alokasi proporsional ideal: Tahfidz Al-Qur'an Rp 7.000.000 (tren +40%), Pramuka Islam Rp 6.000.000 (tren +25%), Kaligrafi Rp 4.000.000 (tren +15%), PMR Rp 3.000.000 (tren +5%). Total Rp 20.000.000 efisien dan seimbang.</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gagal memenuhi plafon total Rp 20.000.000 atau membagi anggaran secara sembarangan tanpa dasar data.</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menyusun total anggaran tepat Rp 20.000.000, namun proporsi pembagian tiap pos kegiatan belum sepenuhnya mencerminkan tren pertumbuhan data riil.</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berhasil menyusun alokasi anggaran tepat total Rp 20.000.000 yang proporsional dengan tren lonjakan peminat (Tahfidz +40% dan Pramuka +25%), serta memberikan argumentasi manajerial berbasis efisiensi Amanah dan Syura.</w:t>
            </w:r>
          </w:p>
        </w:tc>
      </w:tr>
    </w:tbl>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