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line="360" w:lineRule="auto"/>
        <w:jc w:val="center"/>
      </w:pPr>
      <w:r>
        <w:rPr>
          <w:rFonts w:ascii="Times New Roman" w:hAnsi="Times New Roman"/>
          <w:b/>
          <w:i w:val="0"/>
          <w:color w:val="0F766E"/>
          <w:sz w:val="28"/>
        </w:rPr>
        <w:t>LAMPIRAN PROPOSAL SKRIPSI</w:t>
      </w:r>
    </w:p>
    <w:p>
      <w:pPr>
        <w:spacing w:before="0" w:after="480" w:line="360" w:lineRule="auto"/>
        <w:jc w:val="center"/>
      </w:pPr>
      <w:r>
        <w:rPr>
          <w:rFonts w:ascii="Times New Roman" w:hAnsi="Times New Roman"/>
          <w:b/>
          <w:i w:val="0"/>
          <w:sz w:val="24"/>
        </w:rPr>
        <w:t>PAKET INSTRUMEN PENELITIAN DAN EVALUASI KELAYAKAN TEORETIS</w:t>
        <w:br/>
        <w:t>PENGEMBANGAN MEDIA PEMBELAJARAN DASBOR STATISTIKA INTERAKTIF</w:t>
        <w:br/>
        <w:t>TERINTEGRASI NILAI KEISLAMAN</w:t>
      </w:r>
    </w:p>
    <w:p>
      <w:pPr>
        <w:spacing w:before="600" w:after="600" w:line="360" w:lineRule="auto"/>
        <w:jc w:val="center"/>
      </w:pPr>
      <w:r>
        <w:rPr>
          <w:rFonts w:ascii="Times New Roman" w:hAnsi="Times New Roman"/>
          <w:b w:val="0"/>
          <w:i w:val="0"/>
          <w:sz w:val="24"/>
        </w:rPr>
        <w:t>Disusun Oleh:</w:t>
        <w:br/>
        <w:t>MUHAMMAD KHOIRUZZADITTAQWA</w:t>
        <w:br/>
        <w:t>NIM. 2220020002</w:t>
      </w:r>
    </w:p>
    <w:p>
      <w:pPr>
        <w:spacing w:before="2000" w:after="0" w:line="360" w:lineRule="auto"/>
        <w:jc w:val="center"/>
      </w:pPr>
      <w:r>
        <w:rPr>
          <w:rFonts w:ascii="Times New Roman" w:hAnsi="Times New Roman"/>
          <w:b/>
          <w:i w:val="0"/>
          <w:sz w:val="24"/>
        </w:rPr>
        <w:t>PROGRAM STUDI TADRIS MATEMATIKA</w:t>
        <w:br/>
        <w:t>INSTITUT AL-BAHJAH CIREBON</w:t>
        <w:br/>
        <w:t>2026</w:t>
      </w:r>
    </w:p>
    <w:p>
      <w:r>
        <w:br w:type="page"/>
      </w:r>
    </w:p>
    <w:p>
      <w:pPr>
        <w:spacing w:before="240" w:after="160" w:line="360" w:lineRule="auto"/>
        <w:jc w:val="left"/>
      </w:pPr>
      <w:r>
        <w:rPr>
          <w:rFonts w:ascii="Times New Roman" w:hAnsi="Times New Roman"/>
          <w:b/>
          <w:i w:val="0"/>
          <w:sz w:val="26"/>
        </w:rPr>
        <w:t>LAMPIRAN 1: LEMBAR VALIDASI AHLI MATERI MATEMATIKA</w:t>
      </w:r>
    </w:p>
    <w:tbl>
      <w:tblPr>
        <w:tblW w:type="auto" w:w="0"/>
        <w:jc w:val="center"/>
        <w:tblLayout w:type="fixed"/>
        <w:tblLook w:firstColumn="1" w:firstRow="1" w:lastColumn="0" w:lastRow="0" w:noHBand="0" w:noVBand="1" w:val="04A0"/>
      </w:tblPr>
      <w:tblGrid>
        <w:gridCol w:w="4320"/>
        <w:gridCol w:w="4320"/>
      </w:tblGrid>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Nama Validator</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NIP / NIDN</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Instansi / Prodi</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Tanggal Penilaian</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bl>
    <w:p>
      <w:pPr>
        <w:spacing w:after="120"/>
      </w:pPr>
    </w:p>
    <w:p>
      <w:pPr>
        <w:spacing w:before="160" w:after="80" w:line="360" w:lineRule="auto"/>
        <w:jc w:val="left"/>
      </w:pPr>
      <w:r>
        <w:rPr>
          <w:rFonts w:ascii="Times New Roman" w:hAnsi="Times New Roman"/>
          <w:b/>
          <w:i w:val="0"/>
          <w:sz w:val="22"/>
        </w:rPr>
        <w:t>PETUNJUK PENGISIAN LEMBAR PENILAIAN:</w:t>
      </w:r>
    </w:p>
    <w:p>
      <w:pPr>
        <w:spacing w:before="0" w:after="60" w:line="276" w:lineRule="auto"/>
        <w:ind w:left="360"/>
      </w:pPr>
      <w:r>
        <w:rPr>
          <w:rFonts w:ascii="Times New Roman" w:hAnsi="Times New Roman"/>
          <w:b/>
          <w:i w:val="0"/>
          <w:sz w:val="21"/>
        </w:rPr>
        <w:t xml:space="preserve">1. </w:t>
      </w:r>
      <w:r>
        <w:rPr>
          <w:rFonts w:ascii="Times New Roman" w:hAnsi="Times New Roman"/>
          <w:b w:val="0"/>
          <w:i w:val="0"/>
          <w:sz w:val="21"/>
        </w:rPr>
        <w:t>Lembar penilaian ini bertujuan untuk menghimpun data validitas kelayakan teoretis terhadap Prototipe-1 media pembelajaran dasbor statistika interaktif.</w:t>
      </w:r>
    </w:p>
    <w:p>
      <w:pPr>
        <w:spacing w:before="0" w:after="60" w:line="276" w:lineRule="auto"/>
        <w:ind w:left="360"/>
      </w:pPr>
      <w:r>
        <w:rPr>
          <w:rFonts w:ascii="Times New Roman" w:hAnsi="Times New Roman"/>
          <w:b/>
          <w:i w:val="0"/>
          <w:sz w:val="21"/>
        </w:rPr>
        <w:t xml:space="preserve">2. </w:t>
      </w:r>
      <w:r>
        <w:rPr>
          <w:rFonts w:ascii="Times New Roman" w:hAnsi="Times New Roman"/>
          <w:b w:val="0"/>
          <w:i w:val="0"/>
          <w:sz w:val="21"/>
        </w:rPr>
        <w:t>Bapak/Ibu dimohon memberikan tanda centang (✓) pada kolom skala skor 1 sampai 5 yang paling mencerminkan penilaian objektif.</w:t>
      </w:r>
    </w:p>
    <w:p>
      <w:pPr>
        <w:spacing w:before="0" w:after="60" w:line="276" w:lineRule="auto"/>
        <w:ind w:left="360"/>
      </w:pPr>
      <w:r>
        <w:rPr>
          <w:rFonts w:ascii="Times New Roman" w:hAnsi="Times New Roman"/>
          <w:b/>
          <w:i w:val="0"/>
          <w:sz w:val="21"/>
        </w:rPr>
        <w:t xml:space="preserve">3. </w:t>
      </w:r>
      <w:r>
        <w:rPr>
          <w:rFonts w:ascii="Times New Roman" w:hAnsi="Times New Roman"/>
          <w:b w:val="0"/>
          <w:i w:val="0"/>
          <w:sz w:val="21"/>
        </w:rPr>
        <w:t>Keterangan Skala Skor: 1 = Sangat Tidak Sesuai / Sangat Buruk; 2 = Tidak Sesuai / Buruk; 3 = Cukup Sesuai / Cukup; 4 = Sesuai / Baik; 5 = Sangat Sesuai / Sangat Baik.</w:t>
      </w:r>
    </w:p>
    <w:p>
      <w:pPr>
        <w:spacing w:before="0" w:after="60" w:line="276" w:lineRule="auto"/>
        <w:ind w:left="360"/>
      </w:pPr>
      <w:r>
        <w:rPr>
          <w:rFonts w:ascii="Times New Roman" w:hAnsi="Times New Roman"/>
          <w:b/>
          <w:i w:val="0"/>
          <w:sz w:val="21"/>
        </w:rPr>
        <w:t xml:space="preserve">4. </w:t>
      </w:r>
      <w:r>
        <w:rPr>
          <w:rFonts w:ascii="Times New Roman" w:hAnsi="Times New Roman"/>
          <w:b w:val="0"/>
          <w:i w:val="0"/>
          <w:sz w:val="21"/>
        </w:rPr>
        <w:t>Mohon menuliskan saran koreksi atau kritik kualitatif pada kolom Catatan atau lembar masukan di bagian akhir guna penyempurnaan produk.</w:t>
      </w:r>
    </w:p>
    <w:p>
      <w:pPr>
        <w:spacing w:before="200" w:after="80" w:line="360" w:lineRule="auto"/>
        <w:jc w:val="left"/>
      </w:pPr>
      <w:r>
        <w:rPr>
          <w:rFonts w:ascii="Times New Roman" w:hAnsi="Times New Roman"/>
          <w:b/>
          <w:i w:val="0"/>
          <w:sz w:val="22"/>
        </w:rPr>
        <w:t>TABEL BUTIR EVALUASI VALIDITAS MATERI (MTR-01 s.d. MTR-10):</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1080"/>
        <w:gridCol w:w="1080"/>
        <w:gridCol w:w="1080"/>
        <w:gridCol w:w="1080"/>
        <w:gridCol w:w="1080"/>
        <w:gridCol w:w="1080"/>
        <w:gridCol w:w="1080"/>
        <w:gridCol w:w="1080"/>
      </w:tblGrid>
      <w:tr>
        <w:tc>
          <w:tcPr>
            <w:tcW w:type="dxa" w:w="648"/>
            <w:tcMar>
              <w:top w:w="100" w:type="dxa"/>
              <w:bottom w:w="100" w:type="dxa"/>
              <w:left w:w="60" w:type="dxa"/>
              <w:right w:w="60" w:type="dxa"/>
            </w:tcMar>
            <w:shd w:fill="E2E8F0"/>
          </w:tcPr>
          <w:p>
            <w:pPr>
              <w:spacing w:after="40"/>
              <w:jc w:val="center"/>
            </w:pPr>
            <w:r>
              <w:rPr>
                <w:rFonts w:ascii="Times New Roman" w:hAnsi="Times New Roman"/>
                <w:b/>
                <w:i w:val="0"/>
                <w:sz w:val="20"/>
              </w:rPr>
              <w:t>No</w:t>
            </w:r>
          </w:p>
        </w:tc>
        <w:tc>
          <w:tcPr>
            <w:tcW w:type="dxa" w:w="4608"/>
            <w:tcMar>
              <w:top w:w="100" w:type="dxa"/>
              <w:bottom w:w="100" w:type="dxa"/>
              <w:left w:w="60" w:type="dxa"/>
              <w:right w:w="60" w:type="dxa"/>
            </w:tcMar>
            <w:shd w:fill="E2E8F0"/>
          </w:tcPr>
          <w:p>
            <w:pPr>
              <w:spacing w:after="40"/>
              <w:jc w:val="left"/>
            </w:pPr>
            <w:r>
              <w:rPr>
                <w:rFonts w:ascii="Times New Roman" w:hAnsi="Times New Roman"/>
                <w:b/>
                <w:i w:val="0"/>
                <w:sz w:val="20"/>
              </w:rPr>
              <w:t>Indikator &amp; Butir Pernyataan</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1</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2</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3</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4</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5</w:t>
            </w:r>
          </w:p>
        </w:tc>
        <w:tc>
          <w:tcPr>
            <w:tcW w:type="dxa" w:w="1800"/>
            <w:tcMar>
              <w:top w:w="100" w:type="dxa"/>
              <w:bottom w:w="100" w:type="dxa"/>
              <w:left w:w="60" w:type="dxa"/>
              <w:right w:w="60" w:type="dxa"/>
            </w:tcMar>
            <w:shd w:fill="E2E8F0"/>
          </w:tcPr>
          <w:p>
            <w:pPr>
              <w:spacing w:after="40"/>
              <w:jc w:val="center"/>
            </w:pPr>
            <w:r>
              <w:rPr>
                <w:rFonts w:ascii="Times New Roman" w:hAnsi="Times New Roman"/>
                <w:b/>
                <w:i w:val="0"/>
                <w:sz w:val="20"/>
              </w:rPr>
              <w:t>Catatan / Saran</w:t>
            </w:r>
          </w:p>
        </w:tc>
      </w:tr>
      <w:tr>
        <w:tc>
          <w:tcPr>
            <w:tcW w:type="dxa" w:w="648"/>
            <w:tcMar>
              <w:top w:w="80" w:type="dxa"/>
              <w:bottom w:w="80" w:type="dxa"/>
              <w:left w:w="60" w:type="dxa"/>
              <w:right w:w="60" w:type="dxa"/>
            </w:tcMar>
          </w:tcPr>
          <w:p>
            <w:pPr>
              <w:jc w:val="center"/>
            </w:pPr>
            <w:r>
              <w:rPr>
                <w:rFonts w:ascii="Times New Roman" w:hAnsi="Times New Roman"/>
                <w:b/>
                <w:i w:val="0"/>
                <w:sz w:val="20"/>
              </w:rPr>
              <w:t>1</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Kesesuaian Kurikulum &amp; Capaian Pembelajaran</w:t>
              <w:br/>
            </w:r>
            <w:r>
              <w:rPr>
                <w:rFonts w:ascii="Times New Roman" w:hAnsi="Times New Roman"/>
                <w:b w:val="0"/>
                <w:i w:val="0"/>
                <w:sz w:val="20"/>
              </w:rPr>
              <w:t>Kesesuaian dan keselarasan konten dasbor dengan Capaian Pembelajaran (CP) dan Tujuan Pembelajaran Kurikulum Merdeka Matematika Fase D.</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2</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Validitas Konstruk Literasi Data (Curcio / Watson)</w:t>
              <w:br/>
            </w:r>
            <w:r>
              <w:rPr>
                <w:rFonts w:ascii="Times New Roman" w:hAnsi="Times New Roman"/>
                <w:b w:val="0"/>
                <w:i w:val="0"/>
                <w:sz w:val="20"/>
              </w:rPr>
              <w:t>Kesesuaian struktur tugas tersemat dalam merefleksikan tingkatan literasi data (reading data, reading between data, dan reading beyond data).</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3</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Akurasi Konsep Statistika Deskriptif</w:t>
              <w:br/>
            </w:r>
            <w:r>
              <w:rPr>
                <w:rFonts w:ascii="Times New Roman" w:hAnsi="Times New Roman"/>
                <w:b w:val="0"/>
                <w:i w:val="0"/>
                <w:sz w:val="20"/>
              </w:rPr>
              <w:t>Keakuratan formulasi dan definisi matematis untuk ukuran pemusatan (Mean, Median, Modus) dan ukuran penyebaran data.</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4</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Presisi Representasi Visual Grafik</w:t>
              <w:br/>
            </w:r>
            <w:r>
              <w:rPr>
                <w:rFonts w:ascii="Times New Roman" w:hAnsi="Times New Roman"/>
                <w:b w:val="0"/>
                <w:i w:val="0"/>
                <w:sz w:val="20"/>
              </w:rPr>
              <w:t>Ketepatan penyajian visualisasi grafik statistik (pelabelan sumbu, interval skala, kejelasan legenda, dan zero-baseline).</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5</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Integritas &amp; Kebebasan dari Miskonsepsi</w:t>
              <w:br/>
            </w:r>
            <w:r>
              <w:rPr>
                <w:rFonts w:ascii="Times New Roman" w:hAnsi="Times New Roman"/>
                <w:b w:val="0"/>
                <w:i w:val="0"/>
                <w:sz w:val="20"/>
              </w:rPr>
              <w:t>Ketiadaan miskonsepsi matematis dalam narasi penugasan, stimulus visual interaktif, maupun umpan balik otomatis sistem.</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6</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Penjenjangan Hierarki Kognitif Penalaran</w:t>
              <w:br/>
            </w:r>
            <w:r>
              <w:rPr>
                <w:rFonts w:ascii="Times New Roman" w:hAnsi="Times New Roman"/>
                <w:b w:val="0"/>
                <w:i w:val="0"/>
                <w:sz w:val="20"/>
              </w:rPr>
              <w:t>Penjenjangan tingkat kesulitan 8 tugas kognitif selaras dengan tahapan Hierarki Watson-Callingham (Level 3 hingga Level 6).</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7</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Autentisitas &amp; Kontekstualitas Dataset</w:t>
              <w:br/>
            </w:r>
            <w:r>
              <w:rPr>
                <w:rFonts w:ascii="Times New Roman" w:hAnsi="Times New Roman"/>
                <w:b w:val="0"/>
                <w:i w:val="0"/>
                <w:sz w:val="20"/>
              </w:rPr>
              <w:t>Ketepatan pemilihan konteks dataset bernuansa sosiostatistika dalam menggambarkan fenomena riil kehidupan siswa.</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8</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Gradasi &amp; Diskriminasi Rubrik Politomi</w:t>
              <w:br/>
            </w:r>
            <w:r>
              <w:rPr>
                <w:rFonts w:ascii="Times New Roman" w:hAnsi="Times New Roman"/>
                <w:b w:val="0"/>
                <w:i w:val="0"/>
                <w:sz w:val="20"/>
              </w:rPr>
              <w:t>Kejelasan operasionalisasi rubrik penskoran politomi (skor 0, 1, 2) dalam mendiskriminasikan level pemahaman siswa secara objektif.</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9</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Kejelasan Kunci Jawaban &amp; Panduan Solusi</w:t>
              <w:br/>
            </w:r>
            <w:r>
              <w:rPr>
                <w:rFonts w:ascii="Times New Roman" w:hAnsi="Times New Roman"/>
                <w:b w:val="0"/>
                <w:i w:val="0"/>
                <w:sz w:val="20"/>
              </w:rPr>
              <w:t>Kejelasan kunci jawaban, pembahasan, dan kriteria pemenuhan indikator kognitif pada tiap butir tugas tersemat.</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10</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Rubrik Diagnostik Error Analysis (Usulan Validator)</w:t>
              <w:br/>
            </w:r>
            <w:r>
              <w:rPr>
                <w:rFonts w:ascii="Times New Roman" w:hAnsi="Times New Roman"/>
                <w:b w:val="0"/>
                <w:i w:val="0"/>
                <w:sz w:val="20"/>
              </w:rPr>
              <w:t>Kesesuaian rubrik diagnostik dalam memetakan letak kesalahan konsep (error analysis) pada jawaban parsial (skor 1) siswa.</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bl>
    <w:p>
      <w:pPr>
        <w:spacing w:after="160"/>
      </w:pPr>
    </w:p>
    <w:p>
      <w:pPr>
        <w:spacing w:after="240"/>
      </w:pPr>
    </w:p>
    <w:tbl>
      <w:tblPr>
        <w:tblW w:type="auto" w:w="0"/>
        <w:jc w:val="center"/>
        <w:tblLayout w:type="fixed"/>
        <w:tblLook w:firstColumn="1" w:firstRow="1" w:lastColumn="0" w:lastRow="0" w:noHBand="0" w:noVBand="1" w:val="04A0"/>
      </w:tblPr>
      <w:tblGrid>
        <w:gridCol w:w="4320"/>
        <w:gridCol w:w="4320"/>
      </w:tblGrid>
      <w:tr>
        <w:tc>
          <w:tcPr>
            <w:tcW w:type="dxa" w:w="4608"/>
            <w:tcMar>
              <w:top w:w="100" w:type="dxa"/>
              <w:bottom w:w="100" w:type="dxa"/>
              <w:left w:w="100" w:type="dxa"/>
              <w:right w:w="100" w:type="dxa"/>
            </w:tcMar>
          </w:tcPr>
          <w:p>
            <w:pPr>
              <w:spacing w:after="80" w:line="276" w:lineRule="auto"/>
            </w:pPr>
            <w:r>
              <w:rPr>
                <w:rFonts w:ascii="Times New Roman" w:hAnsi="Times New Roman"/>
                <w:b w:val="0"/>
                <w:i/>
                <w:sz w:val="20"/>
              </w:rPr>
              <w:t>Rekomendasi Umum Validator:</w:t>
              <w:br/>
              <w:t>[   ] Layak Digunakan Tanpa Revisi</w:t>
              <w:br/>
              <w:t>[   ] Layak Digunakan dengan Revisi Kecil</w:t>
              <w:br/>
              <w:t>[   ] Tidak Layak Digunakan</w:t>
            </w:r>
          </w:p>
        </w:tc>
        <w:tc>
          <w:tcPr>
            <w:tcW w:type="dxa" w:w="4752"/>
            <w:tcMar>
              <w:top w:w="100" w:type="dxa"/>
              <w:bottom w:w="100" w:type="dxa"/>
              <w:left w:w="100" w:type="dxa"/>
              <w:right w:w="100" w:type="dxa"/>
            </w:tcMar>
          </w:tcPr>
          <w:p>
            <w:pPr>
              <w:spacing w:after="40" w:line="276" w:lineRule="auto"/>
              <w:jc w:val="center"/>
            </w:pPr>
            <w:r>
              <w:rPr>
                <w:rFonts w:ascii="Times New Roman" w:hAnsi="Times New Roman"/>
                <w:b w:val="0"/>
                <w:i w:val="0"/>
                <w:sz w:val="21"/>
              </w:rPr>
              <w:t>Cirebon, .................................... 2026</w:t>
              <w:br/>
              <w:t>Validator Ahli Materi Matematika,</w:t>
              <w:br/>
              <w:br/>
              <w:br/>
              <w:br/>
              <w:br/>
              <w:t>( .................................................................... )</w:t>
              <w:br/>
              <w:t>NIP/NIDN. .................................................</w:t>
            </w:r>
          </w:p>
        </w:tc>
      </w:tr>
    </w:tbl>
    <w:p>
      <w:r>
        <w:br w:type="page"/>
      </w:r>
    </w:p>
    <w:p>
      <w:pPr>
        <w:spacing w:before="240" w:after="160" w:line="360" w:lineRule="auto"/>
        <w:jc w:val="left"/>
      </w:pPr>
      <w:r>
        <w:rPr>
          <w:rFonts w:ascii="Times New Roman" w:hAnsi="Times New Roman"/>
          <w:b/>
          <w:i w:val="0"/>
          <w:sz w:val="26"/>
        </w:rPr>
        <w:t>LAMPIRAN 2: LEMBAR VALIDASI AHLI MEDIA PEMBELAJARAN</w:t>
      </w:r>
    </w:p>
    <w:tbl>
      <w:tblPr>
        <w:tblW w:type="auto" w:w="0"/>
        <w:jc w:val="center"/>
        <w:tblLayout w:type="fixed"/>
        <w:tblLook w:firstColumn="1" w:firstRow="1" w:lastColumn="0" w:lastRow="0" w:noHBand="0" w:noVBand="1" w:val="04A0"/>
      </w:tblPr>
      <w:tblGrid>
        <w:gridCol w:w="4320"/>
        <w:gridCol w:w="4320"/>
      </w:tblGrid>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Nama Validator</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NIP / NIDN</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Instansi / Prodi</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Tanggal Penilaian</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bl>
    <w:p>
      <w:pPr>
        <w:spacing w:after="120"/>
      </w:pPr>
    </w:p>
    <w:p>
      <w:pPr>
        <w:spacing w:before="160" w:after="80" w:line="360" w:lineRule="auto"/>
        <w:jc w:val="left"/>
      </w:pPr>
      <w:r>
        <w:rPr>
          <w:rFonts w:ascii="Times New Roman" w:hAnsi="Times New Roman"/>
          <w:b/>
          <w:i w:val="0"/>
          <w:sz w:val="22"/>
        </w:rPr>
        <w:t>PETUNJUK PENGISIAN LEMBAR PENILAIAN:</w:t>
      </w:r>
    </w:p>
    <w:p>
      <w:pPr>
        <w:spacing w:before="0" w:after="60" w:line="276" w:lineRule="auto"/>
        <w:ind w:left="360"/>
      </w:pPr>
      <w:r>
        <w:rPr>
          <w:rFonts w:ascii="Times New Roman" w:hAnsi="Times New Roman"/>
          <w:b/>
          <w:i w:val="0"/>
          <w:sz w:val="21"/>
        </w:rPr>
        <w:t xml:space="preserve">1. </w:t>
      </w:r>
      <w:r>
        <w:rPr>
          <w:rFonts w:ascii="Times New Roman" w:hAnsi="Times New Roman"/>
          <w:b w:val="0"/>
          <w:i w:val="0"/>
          <w:sz w:val="21"/>
        </w:rPr>
        <w:t>Lembar penilaian ini bertujuan untuk menghimpun data validitas kelayakan teoretis terhadap Prototipe-1 media pembelajaran dasbor statistika interaktif.</w:t>
      </w:r>
    </w:p>
    <w:p>
      <w:pPr>
        <w:spacing w:before="0" w:after="60" w:line="276" w:lineRule="auto"/>
        <w:ind w:left="360"/>
      </w:pPr>
      <w:r>
        <w:rPr>
          <w:rFonts w:ascii="Times New Roman" w:hAnsi="Times New Roman"/>
          <w:b/>
          <w:i w:val="0"/>
          <w:sz w:val="21"/>
        </w:rPr>
        <w:t xml:space="preserve">2. </w:t>
      </w:r>
      <w:r>
        <w:rPr>
          <w:rFonts w:ascii="Times New Roman" w:hAnsi="Times New Roman"/>
          <w:b w:val="0"/>
          <w:i w:val="0"/>
          <w:sz w:val="21"/>
        </w:rPr>
        <w:t>Bapak/Ibu dimohon memberikan tanda centang (✓) pada kolom skala skor 1 sampai 5 yang paling mencerminkan penilaian objektif.</w:t>
      </w:r>
    </w:p>
    <w:p>
      <w:pPr>
        <w:spacing w:before="0" w:after="60" w:line="276" w:lineRule="auto"/>
        <w:ind w:left="360"/>
      </w:pPr>
      <w:r>
        <w:rPr>
          <w:rFonts w:ascii="Times New Roman" w:hAnsi="Times New Roman"/>
          <w:b/>
          <w:i w:val="0"/>
          <w:sz w:val="21"/>
        </w:rPr>
        <w:t xml:space="preserve">3. </w:t>
      </w:r>
      <w:r>
        <w:rPr>
          <w:rFonts w:ascii="Times New Roman" w:hAnsi="Times New Roman"/>
          <w:b w:val="0"/>
          <w:i w:val="0"/>
          <w:sz w:val="21"/>
        </w:rPr>
        <w:t>Keterangan Skala Skor: 1 = Sangat Tidak Sesuai / Sangat Buruk; 2 = Tidak Sesuai / Buruk; 3 = Cukup Sesuai / Cukup; 4 = Sesuai / Baik; 5 = Sangat Sesuai / Sangat Baik.</w:t>
      </w:r>
    </w:p>
    <w:p>
      <w:pPr>
        <w:spacing w:before="0" w:after="60" w:line="276" w:lineRule="auto"/>
        <w:ind w:left="360"/>
      </w:pPr>
      <w:r>
        <w:rPr>
          <w:rFonts w:ascii="Times New Roman" w:hAnsi="Times New Roman"/>
          <w:b/>
          <w:i w:val="0"/>
          <w:sz w:val="21"/>
        </w:rPr>
        <w:t xml:space="preserve">4. </w:t>
      </w:r>
      <w:r>
        <w:rPr>
          <w:rFonts w:ascii="Times New Roman" w:hAnsi="Times New Roman"/>
          <w:b w:val="0"/>
          <w:i w:val="0"/>
          <w:sz w:val="21"/>
        </w:rPr>
        <w:t>Mohon menuliskan saran koreksi atau kritik kualitatif pada kolom Catatan atau lembar masukan di bagian akhir guna penyempurnaan produk.</w:t>
      </w:r>
    </w:p>
    <w:p>
      <w:pPr>
        <w:spacing w:before="200" w:after="80" w:line="360" w:lineRule="auto"/>
        <w:jc w:val="left"/>
      </w:pPr>
      <w:r>
        <w:rPr>
          <w:rFonts w:ascii="Times New Roman" w:hAnsi="Times New Roman"/>
          <w:b/>
          <w:i w:val="0"/>
          <w:sz w:val="22"/>
        </w:rPr>
        <w:t>TABEL BUTIR EVALUASI VALIDITAS MEDIA (MED-01 s.d. MED-11):</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1080"/>
        <w:gridCol w:w="1080"/>
        <w:gridCol w:w="1080"/>
        <w:gridCol w:w="1080"/>
        <w:gridCol w:w="1080"/>
        <w:gridCol w:w="1080"/>
        <w:gridCol w:w="1080"/>
        <w:gridCol w:w="1080"/>
      </w:tblGrid>
      <w:tr>
        <w:tc>
          <w:tcPr>
            <w:tcW w:type="dxa" w:w="648"/>
            <w:tcMar>
              <w:top w:w="100" w:type="dxa"/>
              <w:bottom w:w="100" w:type="dxa"/>
              <w:left w:w="60" w:type="dxa"/>
              <w:right w:w="60" w:type="dxa"/>
            </w:tcMar>
            <w:shd w:fill="E2E8F0"/>
          </w:tcPr>
          <w:p>
            <w:pPr>
              <w:spacing w:after="40"/>
              <w:jc w:val="center"/>
            </w:pPr>
            <w:r>
              <w:rPr>
                <w:rFonts w:ascii="Times New Roman" w:hAnsi="Times New Roman"/>
                <w:b/>
                <w:i w:val="0"/>
                <w:sz w:val="20"/>
              </w:rPr>
              <w:t>No</w:t>
            </w:r>
          </w:p>
        </w:tc>
        <w:tc>
          <w:tcPr>
            <w:tcW w:type="dxa" w:w="4608"/>
            <w:tcMar>
              <w:top w:w="100" w:type="dxa"/>
              <w:bottom w:w="100" w:type="dxa"/>
              <w:left w:w="60" w:type="dxa"/>
              <w:right w:w="60" w:type="dxa"/>
            </w:tcMar>
            <w:shd w:fill="E2E8F0"/>
          </w:tcPr>
          <w:p>
            <w:pPr>
              <w:spacing w:after="40"/>
              <w:jc w:val="left"/>
            </w:pPr>
            <w:r>
              <w:rPr>
                <w:rFonts w:ascii="Times New Roman" w:hAnsi="Times New Roman"/>
                <w:b/>
                <w:i w:val="0"/>
                <w:sz w:val="20"/>
              </w:rPr>
              <w:t>Indikator &amp; Butir Pernyataan</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1</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2</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3</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4</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5</w:t>
            </w:r>
          </w:p>
        </w:tc>
        <w:tc>
          <w:tcPr>
            <w:tcW w:type="dxa" w:w="1800"/>
            <w:tcMar>
              <w:top w:w="100" w:type="dxa"/>
              <w:bottom w:w="100" w:type="dxa"/>
              <w:left w:w="60" w:type="dxa"/>
              <w:right w:w="60" w:type="dxa"/>
            </w:tcMar>
            <w:shd w:fill="E2E8F0"/>
          </w:tcPr>
          <w:p>
            <w:pPr>
              <w:spacing w:after="40"/>
              <w:jc w:val="center"/>
            </w:pPr>
            <w:r>
              <w:rPr>
                <w:rFonts w:ascii="Times New Roman" w:hAnsi="Times New Roman"/>
                <w:b/>
                <w:i w:val="0"/>
                <w:sz w:val="20"/>
              </w:rPr>
              <w:t>Catatan / Saran</w:t>
            </w:r>
          </w:p>
        </w:tc>
      </w:tr>
      <w:tr>
        <w:tc>
          <w:tcPr>
            <w:tcW w:type="dxa" w:w="648"/>
            <w:tcMar>
              <w:top w:w="80" w:type="dxa"/>
              <w:bottom w:w="80" w:type="dxa"/>
              <w:left w:w="60" w:type="dxa"/>
              <w:right w:w="60" w:type="dxa"/>
            </w:tcMar>
          </w:tcPr>
          <w:p>
            <w:pPr>
              <w:jc w:val="center"/>
            </w:pPr>
            <w:r>
              <w:rPr>
                <w:rFonts w:ascii="Times New Roman" w:hAnsi="Times New Roman"/>
                <w:b/>
                <w:i w:val="0"/>
                <w:sz w:val="20"/>
              </w:rPr>
              <w:t>1</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Tata Letak &amp; Estetika Antarmuka (UI)</w:t>
              <w:br/>
            </w:r>
            <w:r>
              <w:rPr>
                <w:rFonts w:ascii="Times New Roman" w:hAnsi="Times New Roman"/>
                <w:b w:val="0"/>
                <w:i w:val="0"/>
                <w:sz w:val="20"/>
              </w:rPr>
              <w:t>Antarmuka dasbor memiliki tata letak minimalis dan terstruktur (clean interface) yang tidak menimbulkan kelelahan visual.</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2</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Tipografi, Kontras &amp; Aksesibilitas Visual</w:t>
              <w:br/>
            </w:r>
            <w:r>
              <w:rPr>
                <w:rFonts w:ascii="Times New Roman" w:hAnsi="Times New Roman"/>
                <w:b w:val="0"/>
                <w:i w:val="0"/>
                <w:sz w:val="20"/>
              </w:rPr>
              <w:t>Kombinasi warna, kontras teks, dan keterbacaan tipografi memfasilitasi kenyamanan pengguna pada mode terang maupun gelap.</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3</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Konsistensi Struktur Navigasi &amp; Alur Menu</w:t>
              <w:br/>
            </w:r>
            <w:r>
              <w:rPr>
                <w:rFonts w:ascii="Times New Roman" w:hAnsi="Times New Roman"/>
                <w:b w:val="0"/>
                <w:i w:val="0"/>
                <w:sz w:val="20"/>
              </w:rPr>
              <w:t>Konsistensi dan kejelasan fungsi tombol navigasi, menu samping, remah roti (breadcrumb), dan kontrol interaktif.</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4</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Kelancaran Interaktivitas Pengguna</w:t>
              <w:br/>
            </w:r>
            <w:r>
              <w:rPr>
                <w:rFonts w:ascii="Times New Roman" w:hAnsi="Times New Roman"/>
                <w:b w:val="0"/>
                <w:i w:val="0"/>
                <w:sz w:val="20"/>
              </w:rPr>
              <w:t>Kelancaran dan responsivitas interaktivitas komponen dinamis (slider parameter, filter dropdown, switch toggle outlier).</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5</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Kecepatan Umpan Balik Real-Time</w:t>
              <w:br/>
            </w:r>
            <w:r>
              <w:rPr>
                <w:rFonts w:ascii="Times New Roman" w:hAnsi="Times New Roman"/>
                <w:b w:val="0"/>
                <w:i w:val="0"/>
                <w:sz w:val="20"/>
              </w:rPr>
              <w:t>Kecepatan dan ketepatan sistem dalam memberikan umpan balik visual grafis secara real-time saat pengguna mengubah parameter.</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6</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Reduksi Beban Kognitif Luar (CLT)</w:t>
              <w:br/>
            </w:r>
            <w:r>
              <w:rPr>
                <w:rFonts w:ascii="Times New Roman" w:hAnsi="Times New Roman"/>
                <w:b w:val="0"/>
                <w:i w:val="0"/>
                <w:sz w:val="20"/>
              </w:rPr>
              <w:t>Penyajian elemen antarmuka terbukti meminimalkan beban kognitif luar (extraneous cognitive load) sesuai prinsip CLT Sweller.</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7</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Adaptabilitas Responsif Multiplatform</w:t>
              <w:br/>
            </w:r>
            <w:r>
              <w:rPr>
                <w:rFonts w:ascii="Times New Roman" w:hAnsi="Times New Roman"/>
                <w:b w:val="0"/>
                <w:i w:val="0"/>
                <w:sz w:val="20"/>
              </w:rPr>
              <w:t>Kehandalan responsivitas tampilan antarmuka saat dibuka pada berbagai resolusi layar peranti (laptop desktop, tablet, smartphone).</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8</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Kestabilan Kode &amp; Keandalan Fungsional</w:t>
              <w:br/>
            </w:r>
            <w:r>
              <w:rPr>
                <w:rFonts w:ascii="Times New Roman" w:hAnsi="Times New Roman"/>
                <w:b w:val="0"/>
                <w:i w:val="0"/>
                <w:sz w:val="20"/>
              </w:rPr>
              <w:t>Sistem aplikasi web terbebas dari galat pemrograman (error/bug) saat melakukan komputasi statistik dan render grafik.</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9</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Aksesibilitas &amp; Efisiensi Distribusi Digital</w:t>
              <w:br/>
            </w:r>
            <w:r>
              <w:rPr>
                <w:rFonts w:ascii="Times New Roman" w:hAnsi="Times New Roman"/>
                <w:b w:val="0"/>
                <w:i w:val="0"/>
                <w:sz w:val="20"/>
              </w:rPr>
              <w:t>Kemudahan akses aplikasi web berbasis browser modern (client-side rendering) tanpa membutuhkan instalasi yang membebani siswa.</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10</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Penerapan Kaidah Ergonomi &amp; HCI</w:t>
              <w:br/>
            </w:r>
            <w:r>
              <w:rPr>
                <w:rFonts w:ascii="Times New Roman" w:hAnsi="Times New Roman"/>
                <w:b w:val="0"/>
                <w:i w:val="0"/>
                <w:sz w:val="20"/>
              </w:rPr>
              <w:t>Keselarasan alur operasional media dengan prinsip-prinsip baku interaksi manusia dan komputer (Human-Computer Interaction).</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11</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Kepatuhan Standar Aksesibilitas WCAG 2.1</w:t>
              <w:br/>
            </w:r>
            <w:r>
              <w:rPr>
                <w:rFonts w:ascii="Times New Roman" w:hAnsi="Times New Roman"/>
                <w:b w:val="0"/>
                <w:i w:val="0"/>
                <w:sz w:val="20"/>
              </w:rPr>
              <w:t>Kepatuhan antarmuka terhadap standar aksesibilitas kontras warna WCAG 2.1 Level AA untuk kenyamanan mata siswa.</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bl>
    <w:p>
      <w:pPr>
        <w:spacing w:after="160"/>
      </w:pPr>
    </w:p>
    <w:p>
      <w:pPr>
        <w:spacing w:after="240"/>
      </w:pPr>
    </w:p>
    <w:tbl>
      <w:tblPr>
        <w:tblW w:type="auto" w:w="0"/>
        <w:jc w:val="center"/>
        <w:tblLayout w:type="fixed"/>
        <w:tblLook w:firstColumn="1" w:firstRow="1" w:lastColumn="0" w:lastRow="0" w:noHBand="0" w:noVBand="1" w:val="04A0"/>
      </w:tblPr>
      <w:tblGrid>
        <w:gridCol w:w="4320"/>
        <w:gridCol w:w="4320"/>
      </w:tblGrid>
      <w:tr>
        <w:tc>
          <w:tcPr>
            <w:tcW w:type="dxa" w:w="4608"/>
            <w:tcMar>
              <w:top w:w="100" w:type="dxa"/>
              <w:bottom w:w="100" w:type="dxa"/>
              <w:left w:w="100" w:type="dxa"/>
              <w:right w:w="100" w:type="dxa"/>
            </w:tcMar>
          </w:tcPr>
          <w:p>
            <w:pPr>
              <w:spacing w:after="80" w:line="276" w:lineRule="auto"/>
            </w:pPr>
            <w:r>
              <w:rPr>
                <w:rFonts w:ascii="Times New Roman" w:hAnsi="Times New Roman"/>
                <w:b w:val="0"/>
                <w:i/>
                <w:sz w:val="20"/>
              </w:rPr>
              <w:t>Rekomendasi Umum Validator:</w:t>
              <w:br/>
              <w:t>[   ] Layak Digunakan Tanpa Revisi</w:t>
              <w:br/>
              <w:t>[   ] Layak Digunakan dengan Revisi Kecil</w:t>
              <w:br/>
              <w:t>[   ] Tidak Layak Digunakan</w:t>
            </w:r>
          </w:p>
        </w:tc>
        <w:tc>
          <w:tcPr>
            <w:tcW w:type="dxa" w:w="4752"/>
            <w:tcMar>
              <w:top w:w="100" w:type="dxa"/>
              <w:bottom w:w="100" w:type="dxa"/>
              <w:left w:w="100" w:type="dxa"/>
              <w:right w:w="100" w:type="dxa"/>
            </w:tcMar>
          </w:tcPr>
          <w:p>
            <w:pPr>
              <w:spacing w:after="40" w:line="276" w:lineRule="auto"/>
              <w:jc w:val="center"/>
            </w:pPr>
            <w:r>
              <w:rPr>
                <w:rFonts w:ascii="Times New Roman" w:hAnsi="Times New Roman"/>
                <w:b w:val="0"/>
                <w:i w:val="0"/>
                <w:sz w:val="21"/>
              </w:rPr>
              <w:t>Cirebon, .................................... 2026</w:t>
              <w:br/>
              <w:t>Validator Ahli Media Pembelajaran,</w:t>
              <w:br/>
              <w:br/>
              <w:br/>
              <w:br/>
              <w:br/>
              <w:t>( .................................................................... )</w:t>
              <w:br/>
              <w:t>NIP/NIDN. .................................................</w:t>
            </w:r>
          </w:p>
        </w:tc>
      </w:tr>
    </w:tbl>
    <w:p>
      <w:r>
        <w:br w:type="page"/>
      </w:r>
    </w:p>
    <w:p>
      <w:pPr>
        <w:spacing w:before="240" w:after="160" w:line="360" w:lineRule="auto"/>
        <w:jc w:val="left"/>
      </w:pPr>
      <w:r>
        <w:rPr>
          <w:rFonts w:ascii="Times New Roman" w:hAnsi="Times New Roman"/>
          <w:b/>
          <w:i w:val="0"/>
          <w:sz w:val="26"/>
        </w:rPr>
        <w:t>LAMPIRAN 3: LEMBAR VALIDASI AHLI INTEGRASI NILAI KEISLAMAN</w:t>
      </w:r>
    </w:p>
    <w:tbl>
      <w:tblPr>
        <w:tblW w:type="auto" w:w="0"/>
        <w:jc w:val="center"/>
        <w:tblLayout w:type="fixed"/>
        <w:tblLook w:firstColumn="1" w:firstRow="1" w:lastColumn="0" w:lastRow="0" w:noHBand="0" w:noVBand="1" w:val="04A0"/>
      </w:tblPr>
      <w:tblGrid>
        <w:gridCol w:w="4320"/>
        <w:gridCol w:w="4320"/>
      </w:tblGrid>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Nama Validator</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NIP / NIDN</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Instansi / Prodi</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Tanggal Penilaian</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bl>
    <w:p>
      <w:pPr>
        <w:spacing w:after="120"/>
      </w:pPr>
    </w:p>
    <w:p>
      <w:pPr>
        <w:spacing w:before="160" w:after="80" w:line="360" w:lineRule="auto"/>
        <w:jc w:val="left"/>
      </w:pPr>
      <w:r>
        <w:rPr>
          <w:rFonts w:ascii="Times New Roman" w:hAnsi="Times New Roman"/>
          <w:b/>
          <w:i w:val="0"/>
          <w:sz w:val="22"/>
        </w:rPr>
        <w:t>PETUNJUK PENGISIAN LEMBAR PENILAIAN:</w:t>
      </w:r>
    </w:p>
    <w:p>
      <w:pPr>
        <w:spacing w:before="0" w:after="60" w:line="276" w:lineRule="auto"/>
        <w:ind w:left="360"/>
      </w:pPr>
      <w:r>
        <w:rPr>
          <w:rFonts w:ascii="Times New Roman" w:hAnsi="Times New Roman"/>
          <w:b/>
          <w:i w:val="0"/>
          <w:sz w:val="21"/>
        </w:rPr>
        <w:t xml:space="preserve">1. </w:t>
      </w:r>
      <w:r>
        <w:rPr>
          <w:rFonts w:ascii="Times New Roman" w:hAnsi="Times New Roman"/>
          <w:b w:val="0"/>
          <w:i w:val="0"/>
          <w:sz w:val="21"/>
        </w:rPr>
        <w:t>Lembar penilaian ini bertujuan untuk menghimpun data validitas kelayakan teoretis terhadap Prototipe-1 media pembelajaran dasbor statistika interaktif.</w:t>
      </w:r>
    </w:p>
    <w:p>
      <w:pPr>
        <w:spacing w:before="0" w:after="60" w:line="276" w:lineRule="auto"/>
        <w:ind w:left="360"/>
      </w:pPr>
      <w:r>
        <w:rPr>
          <w:rFonts w:ascii="Times New Roman" w:hAnsi="Times New Roman"/>
          <w:b/>
          <w:i w:val="0"/>
          <w:sz w:val="21"/>
        </w:rPr>
        <w:t xml:space="preserve">2. </w:t>
      </w:r>
      <w:r>
        <w:rPr>
          <w:rFonts w:ascii="Times New Roman" w:hAnsi="Times New Roman"/>
          <w:b w:val="0"/>
          <w:i w:val="0"/>
          <w:sz w:val="21"/>
        </w:rPr>
        <w:t>Bapak/Ibu dimohon memberikan tanda centang (✓) pada kolom skala skor 1 sampai 5 yang paling mencerminkan penilaian objektif.</w:t>
      </w:r>
    </w:p>
    <w:p>
      <w:pPr>
        <w:spacing w:before="0" w:after="60" w:line="276" w:lineRule="auto"/>
        <w:ind w:left="360"/>
      </w:pPr>
      <w:r>
        <w:rPr>
          <w:rFonts w:ascii="Times New Roman" w:hAnsi="Times New Roman"/>
          <w:b/>
          <w:i w:val="0"/>
          <w:sz w:val="21"/>
        </w:rPr>
        <w:t xml:space="preserve">3. </w:t>
      </w:r>
      <w:r>
        <w:rPr>
          <w:rFonts w:ascii="Times New Roman" w:hAnsi="Times New Roman"/>
          <w:b w:val="0"/>
          <w:i w:val="0"/>
          <w:sz w:val="21"/>
        </w:rPr>
        <w:t>Keterangan Skala Skor: 1 = Sangat Tidak Sesuai / Sangat Buruk; 2 = Tidak Sesuai / Buruk; 3 = Cukup Sesuai / Cukup; 4 = Sesuai / Baik; 5 = Sangat Sesuai / Sangat Baik.</w:t>
      </w:r>
    </w:p>
    <w:p>
      <w:pPr>
        <w:spacing w:before="0" w:after="60" w:line="276" w:lineRule="auto"/>
        <w:ind w:left="360"/>
      </w:pPr>
      <w:r>
        <w:rPr>
          <w:rFonts w:ascii="Times New Roman" w:hAnsi="Times New Roman"/>
          <w:b/>
          <w:i w:val="0"/>
          <w:sz w:val="21"/>
        </w:rPr>
        <w:t xml:space="preserve">4. </w:t>
      </w:r>
      <w:r>
        <w:rPr>
          <w:rFonts w:ascii="Times New Roman" w:hAnsi="Times New Roman"/>
          <w:b w:val="0"/>
          <w:i w:val="0"/>
          <w:sz w:val="21"/>
        </w:rPr>
        <w:t>Mohon menuliskan saran koreksi atau kritik kualitatif pada kolom Catatan atau lembar masukan di bagian akhir guna penyempurnaan produk.</w:t>
      </w:r>
    </w:p>
    <w:p>
      <w:pPr>
        <w:spacing w:before="200" w:after="80" w:line="360" w:lineRule="auto"/>
        <w:jc w:val="left"/>
      </w:pPr>
      <w:r>
        <w:rPr>
          <w:rFonts w:ascii="Times New Roman" w:hAnsi="Times New Roman"/>
          <w:b/>
          <w:i w:val="0"/>
          <w:sz w:val="22"/>
        </w:rPr>
        <w:t>TABEL BUTIR EVALUASI VALIDITAS INTEGRASI ISLAM (ISL-01 s.d. ISL-09):</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1080"/>
        <w:gridCol w:w="1080"/>
        <w:gridCol w:w="1080"/>
        <w:gridCol w:w="1080"/>
        <w:gridCol w:w="1080"/>
        <w:gridCol w:w="1080"/>
        <w:gridCol w:w="1080"/>
        <w:gridCol w:w="1080"/>
      </w:tblGrid>
      <w:tr>
        <w:tc>
          <w:tcPr>
            <w:tcW w:type="dxa" w:w="648"/>
            <w:tcMar>
              <w:top w:w="100" w:type="dxa"/>
              <w:bottom w:w="100" w:type="dxa"/>
              <w:left w:w="60" w:type="dxa"/>
              <w:right w:w="60" w:type="dxa"/>
            </w:tcMar>
            <w:shd w:fill="E2E8F0"/>
          </w:tcPr>
          <w:p>
            <w:pPr>
              <w:spacing w:after="40"/>
              <w:jc w:val="center"/>
            </w:pPr>
            <w:r>
              <w:rPr>
                <w:rFonts w:ascii="Times New Roman" w:hAnsi="Times New Roman"/>
                <w:b/>
                <w:i w:val="0"/>
                <w:sz w:val="20"/>
              </w:rPr>
              <w:t>No</w:t>
            </w:r>
          </w:p>
        </w:tc>
        <w:tc>
          <w:tcPr>
            <w:tcW w:type="dxa" w:w="4608"/>
            <w:tcMar>
              <w:top w:w="100" w:type="dxa"/>
              <w:bottom w:w="100" w:type="dxa"/>
              <w:left w:w="60" w:type="dxa"/>
              <w:right w:w="60" w:type="dxa"/>
            </w:tcMar>
            <w:shd w:fill="E2E8F0"/>
          </w:tcPr>
          <w:p>
            <w:pPr>
              <w:spacing w:after="40"/>
              <w:jc w:val="left"/>
            </w:pPr>
            <w:r>
              <w:rPr>
                <w:rFonts w:ascii="Times New Roman" w:hAnsi="Times New Roman"/>
                <w:b/>
                <w:i w:val="0"/>
                <w:sz w:val="20"/>
              </w:rPr>
              <w:t>Indikator &amp; Butir Pernyataan</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1</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2</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3</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4</w:t>
            </w:r>
          </w:p>
        </w:tc>
        <w:tc>
          <w:tcPr>
            <w:tcW w:type="dxa" w:w="576"/>
            <w:tcMar>
              <w:top w:w="100" w:type="dxa"/>
              <w:bottom w:w="100" w:type="dxa"/>
              <w:left w:w="60" w:type="dxa"/>
              <w:right w:w="60" w:type="dxa"/>
            </w:tcMar>
            <w:shd w:fill="E2E8F0"/>
          </w:tcPr>
          <w:p>
            <w:pPr>
              <w:spacing w:after="40"/>
              <w:jc w:val="center"/>
            </w:pPr>
            <w:r>
              <w:rPr>
                <w:rFonts w:ascii="Times New Roman" w:hAnsi="Times New Roman"/>
                <w:b/>
                <w:i w:val="0"/>
                <w:sz w:val="20"/>
              </w:rPr>
              <w:t>5</w:t>
            </w:r>
          </w:p>
        </w:tc>
        <w:tc>
          <w:tcPr>
            <w:tcW w:type="dxa" w:w="1800"/>
            <w:tcMar>
              <w:top w:w="100" w:type="dxa"/>
              <w:bottom w:w="100" w:type="dxa"/>
              <w:left w:w="60" w:type="dxa"/>
              <w:right w:w="60" w:type="dxa"/>
            </w:tcMar>
            <w:shd w:fill="E2E8F0"/>
          </w:tcPr>
          <w:p>
            <w:pPr>
              <w:spacing w:after="40"/>
              <w:jc w:val="center"/>
            </w:pPr>
            <w:r>
              <w:rPr>
                <w:rFonts w:ascii="Times New Roman" w:hAnsi="Times New Roman"/>
                <w:b/>
                <w:i w:val="0"/>
                <w:sz w:val="20"/>
              </w:rPr>
              <w:t>Catatan / Saran</w:t>
            </w:r>
          </w:p>
        </w:tc>
      </w:tr>
      <w:tr>
        <w:tc>
          <w:tcPr>
            <w:tcW w:type="dxa" w:w="648"/>
            <w:tcMar>
              <w:top w:w="80" w:type="dxa"/>
              <w:bottom w:w="80" w:type="dxa"/>
              <w:left w:w="60" w:type="dxa"/>
              <w:right w:w="60" w:type="dxa"/>
            </w:tcMar>
          </w:tcPr>
          <w:p>
            <w:pPr>
              <w:jc w:val="center"/>
            </w:pPr>
            <w:r>
              <w:rPr>
                <w:rFonts w:ascii="Times New Roman" w:hAnsi="Times New Roman"/>
                <w:b/>
                <w:i w:val="0"/>
                <w:sz w:val="20"/>
              </w:rPr>
              <w:t>1</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Internalisasi Pilar Tabayyun (QS. Al-Hujurat: 6)</w:t>
              <w:br/>
            </w:r>
            <w:r>
              <w:rPr>
                <w:rFonts w:ascii="Times New Roman" w:hAnsi="Times New Roman"/>
                <w:b w:val="0"/>
                <w:i w:val="0"/>
                <w:sz w:val="20"/>
              </w:rPr>
              <w:t>Kesesuaian penanaman nilai pilar Tabayyun (verifikasi kritis dan ketelitian informasi) dalam aktivitas analisis dan evaluasi data.</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2</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Internalisasi Pilar Amanah (QS. Al-Ahzab: 72 &amp; Al-Muthaffifin: 1-3)</w:t>
              <w:br/>
            </w:r>
            <w:r>
              <w:rPr>
                <w:rFonts w:ascii="Times New Roman" w:hAnsi="Times New Roman"/>
                <w:b w:val="0"/>
                <w:i w:val="0"/>
                <w:sz w:val="20"/>
              </w:rPr>
              <w:t>Kesesuaian internalisasi nilai pilar Amanah (kejujuran dan transparansi) dalam penyajian data tanpa rekayasa manipulasi grafis.</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3</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Autentisitas &amp; Keabsahan Dalil Syar'i</w:t>
              <w:br/>
            </w:r>
            <w:r>
              <w:rPr>
                <w:rFonts w:ascii="Times New Roman" w:hAnsi="Times New Roman"/>
                <w:b w:val="0"/>
                <w:i w:val="0"/>
                <w:sz w:val="20"/>
              </w:rPr>
              <w:t>Keabsahan dan keautentikan rujukan ayat Al-Qur'an, hadits, serta kaidah ushul fikih yang disematkan pada setiap tugas studi.</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4</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Keterpaduan Epistemologis &amp; Organis</w:t>
              <w:br/>
            </w:r>
            <w:r>
              <w:rPr>
                <w:rFonts w:ascii="Times New Roman" w:hAnsi="Times New Roman"/>
                <w:b w:val="0"/>
                <w:i w:val="0"/>
                <w:sz w:val="20"/>
              </w:rPr>
              <w:t>Keterpaduan nilai keislaman menyatu secara organis dan epistemologis dengan materi matematika tanpa menimbulkan kesan tempelan.</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5</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Relevansi Kontekstual Dataset Keislaman</w:t>
              <w:br/>
            </w:r>
            <w:r>
              <w:rPr>
                <w:rFonts w:ascii="Times New Roman" w:hAnsi="Times New Roman"/>
                <w:b w:val="0"/>
                <w:i w:val="0"/>
                <w:sz w:val="20"/>
              </w:rPr>
              <w:t>Ketepatan pemilihan stimulus dataset bernuansa filantropi dan edukasi Islam (Zakat Fitrah, Wakaf Produktif, Muraja'ah Qur'an, Kas Madrasah).</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6</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Dampak Pembentukan Karakter Siswa Berakhlak</w:t>
              <w:br/>
            </w:r>
            <w:r>
              <w:rPr>
                <w:rFonts w:ascii="Times New Roman" w:hAnsi="Times New Roman"/>
                <w:b w:val="0"/>
                <w:i w:val="0"/>
                <w:sz w:val="20"/>
              </w:rPr>
              <w:t>Potensi media dalam membina karakter peserta didik agar bersikap kritis terhadap disinformasi, adil dalam evaluasi, dan bertanggung jawab.</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7</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Ketepatan Bahasa &amp; Transliterasi Istilah</w:t>
              <w:br/>
            </w:r>
            <w:r>
              <w:rPr>
                <w:rFonts w:ascii="Times New Roman" w:hAnsi="Times New Roman"/>
                <w:b w:val="0"/>
                <w:i w:val="0"/>
                <w:sz w:val="20"/>
              </w:rPr>
              <w:t>Ketepatan penggunaan istilah keagamaan dan transliterasi Arab-Latin yang santun, sahih, dan sesuai tahap kognitif siswa madrasah.</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8</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Eliminasi Dikotomi Sains &amp; Agama</w:t>
              <w:br/>
            </w:r>
            <w:r>
              <w:rPr>
                <w:rFonts w:ascii="Times New Roman" w:hAnsi="Times New Roman"/>
                <w:b w:val="0"/>
                <w:i w:val="0"/>
                <w:sz w:val="20"/>
              </w:rPr>
              <w:t>Kemampuan media dalam mengikis dikotomi pemisah antara sains matematika umum dengan nilai-nilai wahyu ilahiah.</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r>
        <w:tc>
          <w:tcPr>
            <w:tcW w:type="dxa" w:w="648"/>
            <w:tcMar>
              <w:top w:w="80" w:type="dxa"/>
              <w:bottom w:w="80" w:type="dxa"/>
              <w:left w:w="60" w:type="dxa"/>
              <w:right w:w="60" w:type="dxa"/>
            </w:tcMar>
          </w:tcPr>
          <w:p>
            <w:pPr>
              <w:jc w:val="center"/>
            </w:pPr>
            <w:r>
              <w:rPr>
                <w:rFonts w:ascii="Times New Roman" w:hAnsi="Times New Roman"/>
                <w:b/>
                <w:i w:val="0"/>
                <w:sz w:val="20"/>
              </w:rPr>
              <w:t>9</w:t>
            </w:r>
          </w:p>
        </w:tc>
        <w:tc>
          <w:tcPr>
            <w:tcW w:type="dxa" w:w="4608"/>
            <w:tcMar>
              <w:top w:w="80" w:type="dxa"/>
              <w:bottom w:w="80" w:type="dxa"/>
              <w:left w:w="60" w:type="dxa"/>
              <w:right w:w="60" w:type="dxa"/>
            </w:tcMar>
          </w:tcPr>
          <w:p>
            <w:pPr>
              <w:spacing w:after="40" w:line="276" w:lineRule="auto"/>
              <w:jc w:val="left"/>
            </w:pPr>
            <w:r>
              <w:rPr>
                <w:rFonts w:ascii="Times New Roman" w:hAnsi="Times New Roman"/>
                <w:b/>
                <w:i w:val="0"/>
                <w:color w:val="0F766E"/>
                <w:sz w:val="19"/>
              </w:rPr>
              <w:t>Penguatan Nilai As-Syura &amp; Al-Ihtiyath</w:t>
              <w:br/>
            </w:r>
            <w:r>
              <w:rPr>
                <w:rFonts w:ascii="Times New Roman" w:hAnsi="Times New Roman"/>
                <w:b w:val="0"/>
                <w:i w:val="0"/>
                <w:sz w:val="20"/>
              </w:rPr>
              <w:t>Internalisasi nilai prinsip Syura (musyawarah perumusan keputusan) dan Ihtiyath (kehati-hatian) dalam pemodelan data strategi.</w:t>
            </w: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576"/>
            <w:tcMar>
              <w:top w:w="80" w:type="dxa"/>
              <w:bottom w:w="80" w:type="dxa"/>
              <w:left w:w="60" w:type="dxa"/>
              <w:right w:w="60" w:type="dxa"/>
            </w:tcMar>
          </w:tcPr>
          <w:p>
            <w:pPr>
              <w:jc w:val="center"/>
            </w:pPr>
          </w:p>
        </w:tc>
        <w:tc>
          <w:tcPr>
            <w:tcW w:type="dxa" w:w="1800"/>
            <w:tcMar>
              <w:top w:w="80" w:type="dxa"/>
              <w:bottom w:w="80" w:type="dxa"/>
              <w:left w:w="60" w:type="dxa"/>
              <w:right w:w="60" w:type="dxa"/>
            </w:tcMar>
          </w:tcPr>
          <w:p>
            <w:pPr>
              <w:spacing w:after="0"/>
            </w:pPr>
          </w:p>
        </w:tc>
      </w:tr>
    </w:tbl>
    <w:p>
      <w:pPr>
        <w:spacing w:after="160"/>
      </w:pPr>
    </w:p>
    <w:p>
      <w:pPr>
        <w:spacing w:after="240"/>
      </w:pPr>
    </w:p>
    <w:tbl>
      <w:tblPr>
        <w:tblW w:type="auto" w:w="0"/>
        <w:jc w:val="center"/>
        <w:tblLayout w:type="fixed"/>
        <w:tblLook w:firstColumn="1" w:firstRow="1" w:lastColumn="0" w:lastRow="0" w:noHBand="0" w:noVBand="1" w:val="04A0"/>
      </w:tblPr>
      <w:tblGrid>
        <w:gridCol w:w="4320"/>
        <w:gridCol w:w="4320"/>
      </w:tblGrid>
      <w:tr>
        <w:tc>
          <w:tcPr>
            <w:tcW w:type="dxa" w:w="4608"/>
            <w:tcMar>
              <w:top w:w="100" w:type="dxa"/>
              <w:bottom w:w="100" w:type="dxa"/>
              <w:left w:w="100" w:type="dxa"/>
              <w:right w:w="100" w:type="dxa"/>
            </w:tcMar>
          </w:tcPr>
          <w:p>
            <w:pPr>
              <w:spacing w:after="80" w:line="276" w:lineRule="auto"/>
            </w:pPr>
            <w:r>
              <w:rPr>
                <w:rFonts w:ascii="Times New Roman" w:hAnsi="Times New Roman"/>
                <w:b w:val="0"/>
                <w:i/>
                <w:sz w:val="20"/>
              </w:rPr>
              <w:t>Rekomendasi Umum Validator:</w:t>
              <w:br/>
              <w:t>[   ] Layak Digunakan Tanpa Revisi</w:t>
              <w:br/>
              <w:t>[   ] Layak Digunakan dengan Revisi Kecil</w:t>
              <w:br/>
              <w:t>[   ] Tidak Layak Digunakan</w:t>
            </w:r>
          </w:p>
        </w:tc>
        <w:tc>
          <w:tcPr>
            <w:tcW w:type="dxa" w:w="4752"/>
            <w:tcMar>
              <w:top w:w="100" w:type="dxa"/>
              <w:bottom w:w="100" w:type="dxa"/>
              <w:left w:w="100" w:type="dxa"/>
              <w:right w:w="100" w:type="dxa"/>
            </w:tcMar>
          </w:tcPr>
          <w:p>
            <w:pPr>
              <w:spacing w:after="40" w:line="276" w:lineRule="auto"/>
              <w:jc w:val="center"/>
            </w:pPr>
            <w:r>
              <w:rPr>
                <w:rFonts w:ascii="Times New Roman" w:hAnsi="Times New Roman"/>
                <w:b w:val="0"/>
                <w:i w:val="0"/>
                <w:sz w:val="21"/>
              </w:rPr>
              <w:t>Cirebon, .................................... 2026</w:t>
              <w:br/>
              <w:t>Validator Ahli Integrasi Nilai Keislaman,</w:t>
              <w:br/>
              <w:br/>
              <w:br/>
              <w:br/>
              <w:br/>
              <w:t>( .................................................................... )</w:t>
              <w:br/>
              <w:t>NIP/NIDN. .................................................</w:t>
            </w:r>
          </w:p>
        </w:tc>
      </w:tr>
    </w:tbl>
    <w:p>
      <w:r>
        <w:br w:type="page"/>
      </w:r>
    </w:p>
    <w:p>
      <w:pPr>
        <w:spacing w:before="240" w:after="160" w:line="360" w:lineRule="auto"/>
        <w:jc w:val="left"/>
      </w:pPr>
      <w:r>
        <w:rPr>
          <w:rFonts w:ascii="Times New Roman" w:hAnsi="Times New Roman"/>
          <w:b/>
          <w:i w:val="0"/>
          <w:sz w:val="26"/>
        </w:rPr>
        <w:t>LAMPIRAN 4: KUESIONER KEPRAKTISAN GURU MATEMATIKA MITRA (SUS ADAPTIF)</w:t>
      </w:r>
    </w:p>
    <w:tbl>
      <w:tblPr>
        <w:tblW w:type="auto" w:w="0"/>
        <w:jc w:val="center"/>
        <w:tblLayout w:type="fixed"/>
        <w:tblLook w:firstColumn="1" w:firstRow="1" w:lastColumn="0" w:lastRow="0" w:noHBand="0" w:noVBand="1" w:val="04A0"/>
      </w:tblPr>
      <w:tblGrid>
        <w:gridCol w:w="4320"/>
        <w:gridCol w:w="4320"/>
      </w:tblGrid>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Nama Guru Mitra</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Mata Pelajaran / Satuan Pendidikan</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Matematika / MTs / SMP Pesantren Cirebon</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Lama Pengalaman Mengajar</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 Tahun</w:t>
            </w:r>
          </w:p>
        </w:tc>
      </w:tr>
      <w:tr>
        <w:tc>
          <w:tcPr>
            <w:tcW w:type="dxa" w:w="3168"/>
            <w:tcMar>
              <w:top w:w="60" w:type="dxa"/>
              <w:bottom w:w="60" w:type="dxa"/>
              <w:left w:w="60" w:type="dxa"/>
              <w:right w:w="60" w:type="dxa"/>
            </w:tcMar>
          </w:tcPr>
          <w:p>
            <w:pPr>
              <w:spacing w:after="40" w:line="276" w:lineRule="auto"/>
            </w:pPr>
            <w:r>
              <w:rPr>
                <w:rFonts w:ascii="Times New Roman" w:hAnsi="Times New Roman"/>
                <w:b/>
                <w:i w:val="0"/>
                <w:sz w:val="22"/>
              </w:rPr>
              <w:t>Tanggal Pengisian</w:t>
            </w:r>
          </w:p>
        </w:tc>
        <w:tc>
          <w:tcPr>
            <w:tcW w:type="dxa" w:w="6192"/>
            <w:tcMar>
              <w:top w:w="60" w:type="dxa"/>
              <w:bottom w:w="60" w:type="dxa"/>
              <w:left w:w="60" w:type="dxa"/>
              <w:right w:w="60" w:type="dxa"/>
            </w:tcMar>
          </w:tcPr>
          <w:p>
            <w:pPr>
              <w:spacing w:after="40" w:line="276" w:lineRule="auto"/>
            </w:pPr>
            <w:r>
              <w:rPr>
                <w:rFonts w:ascii="Times New Roman" w:hAnsi="Times New Roman"/>
                <w:b w:val="0"/>
                <w:i w:val="0"/>
                <w:sz w:val="22"/>
              </w:rPr>
              <w:t>: ....................................................................................</w:t>
            </w:r>
          </w:p>
        </w:tc>
      </w:tr>
    </w:tbl>
    <w:p>
      <w:pPr>
        <w:spacing w:after="120"/>
      </w:pPr>
    </w:p>
    <w:p>
      <w:pPr>
        <w:spacing w:before="160" w:after="80" w:line="360" w:lineRule="auto"/>
        <w:jc w:val="left"/>
      </w:pPr>
      <w:r>
        <w:rPr>
          <w:rFonts w:ascii="Times New Roman" w:hAnsi="Times New Roman"/>
          <w:b/>
          <w:i w:val="0"/>
          <w:sz w:val="22"/>
        </w:rPr>
        <w:t>PETUNJUK PENGISIAN LEMBAR PENILAIAN:</w:t>
      </w:r>
    </w:p>
    <w:p>
      <w:pPr>
        <w:spacing w:before="0" w:after="60" w:line="276" w:lineRule="auto"/>
        <w:ind w:left="360"/>
      </w:pPr>
      <w:r>
        <w:rPr>
          <w:rFonts w:ascii="Times New Roman" w:hAnsi="Times New Roman"/>
          <w:b/>
          <w:i w:val="0"/>
          <w:sz w:val="21"/>
        </w:rPr>
        <w:t xml:space="preserve">1. </w:t>
      </w:r>
      <w:r>
        <w:rPr>
          <w:rFonts w:ascii="Times New Roman" w:hAnsi="Times New Roman"/>
          <w:b w:val="0"/>
          <w:i w:val="0"/>
          <w:sz w:val="21"/>
        </w:rPr>
        <w:t>Kuesioner System Usability Scale (SUS) adaptif ini bertujuan untuk mengevaluasi tingkat kepraktisan dan kemudahan antarmuka media pembelajaran.</w:t>
      </w:r>
    </w:p>
    <w:p>
      <w:pPr>
        <w:spacing w:before="0" w:after="60" w:line="276" w:lineRule="auto"/>
        <w:ind w:left="360"/>
      </w:pPr>
      <w:r>
        <w:rPr>
          <w:rFonts w:ascii="Times New Roman" w:hAnsi="Times New Roman"/>
          <w:b/>
          <w:i w:val="0"/>
          <w:sz w:val="21"/>
        </w:rPr>
        <w:t xml:space="preserve">2. </w:t>
      </w:r>
      <w:r>
        <w:rPr>
          <w:rFonts w:ascii="Times New Roman" w:hAnsi="Times New Roman"/>
          <w:b w:val="0"/>
          <w:i w:val="0"/>
          <w:sz w:val="21"/>
        </w:rPr>
        <w:t>Bapak/Ibu guru dimohon mencoba dan mengoperasikan Prototipe-1 dasbor interaktif terlebih dahulu sebelum mengisi kuesioner ini.</w:t>
      </w:r>
    </w:p>
    <w:p>
      <w:pPr>
        <w:spacing w:before="0" w:after="60" w:line="276" w:lineRule="auto"/>
        <w:ind w:left="360"/>
      </w:pPr>
      <w:r>
        <w:rPr>
          <w:rFonts w:ascii="Times New Roman" w:hAnsi="Times New Roman"/>
          <w:b/>
          <w:i w:val="0"/>
          <w:sz w:val="21"/>
        </w:rPr>
        <w:t xml:space="preserve">3. </w:t>
      </w:r>
      <w:r>
        <w:rPr>
          <w:rFonts w:ascii="Times New Roman" w:hAnsi="Times New Roman"/>
          <w:b w:val="0"/>
          <w:i w:val="0"/>
          <w:sz w:val="21"/>
        </w:rPr>
        <w:t>Berikan tanda centang (✓) pada pilihan respon: STS = Sangat Tidak Setuju (1), TS = Tidak Setuju (2), N = Netral/Ragu-ragu (3), S = Setuju (4), SS = Sangat Setuju (5).</w:t>
      </w:r>
    </w:p>
    <w:p>
      <w:pPr>
        <w:spacing w:before="0" w:after="60" w:line="276" w:lineRule="auto"/>
        <w:ind w:left="360"/>
      </w:pPr>
      <w:r>
        <w:rPr>
          <w:rFonts w:ascii="Times New Roman" w:hAnsi="Times New Roman"/>
          <w:b/>
          <w:i w:val="0"/>
          <w:sz w:val="21"/>
        </w:rPr>
        <w:t xml:space="preserve">4. </w:t>
      </w:r>
      <w:r>
        <w:rPr>
          <w:rFonts w:ascii="Times New Roman" w:hAnsi="Times New Roman"/>
          <w:b w:val="0"/>
          <w:i w:val="0"/>
          <w:sz w:val="21"/>
        </w:rPr>
        <w:t>Penilaian ini tidak memengaruhi evaluasi profesional Bapak/Ibu dan semata-mata digunakan untuk kepentingan ilmiah penyempurnaan media.</w:t>
      </w:r>
    </w:p>
    <w:p>
      <w:pPr>
        <w:spacing w:before="200" w:after="80" w:line="360" w:lineRule="auto"/>
        <w:jc w:val="left"/>
      </w:pPr>
      <w:r>
        <w:rPr>
          <w:rFonts w:ascii="Times New Roman" w:hAnsi="Times New Roman"/>
          <w:b/>
          <w:i w:val="0"/>
          <w:sz w:val="22"/>
        </w:rPr>
        <w:t>TABEL BUTIR PERNYATAAN SYSTEM USABILITY SCALE (SUS ADAPTIF):</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1234"/>
        <w:gridCol w:w="1234"/>
        <w:gridCol w:w="1234"/>
        <w:gridCol w:w="1234"/>
        <w:gridCol w:w="1234"/>
        <w:gridCol w:w="1234"/>
        <w:gridCol w:w="1234"/>
      </w:tblGrid>
      <w:tr>
        <w:tc>
          <w:tcPr>
            <w:tcW w:type="dxa" w:w="648"/>
            <w:tcMar>
              <w:top w:w="100" w:type="dxa"/>
              <w:bottom w:w="100" w:type="dxa"/>
              <w:left w:w="60" w:type="dxa"/>
              <w:right w:w="60" w:type="dxa"/>
            </w:tcMar>
            <w:shd w:fill="E2E8F0"/>
          </w:tcPr>
          <w:p>
            <w:pPr>
              <w:spacing w:after="40"/>
              <w:jc w:val="center"/>
            </w:pPr>
            <w:r>
              <w:rPr>
                <w:rFonts w:ascii="Times New Roman" w:hAnsi="Times New Roman"/>
                <w:b/>
                <w:i w:val="0"/>
                <w:sz w:val="20"/>
              </w:rPr>
              <w:t>No</w:t>
            </w:r>
          </w:p>
        </w:tc>
        <w:tc>
          <w:tcPr>
            <w:tcW w:type="dxa" w:w="5688"/>
            <w:tcMar>
              <w:top w:w="100" w:type="dxa"/>
              <w:bottom w:w="100" w:type="dxa"/>
              <w:left w:w="60" w:type="dxa"/>
              <w:right w:w="60" w:type="dxa"/>
            </w:tcMar>
            <w:shd w:fill="E2E8F0"/>
          </w:tcPr>
          <w:p>
            <w:pPr>
              <w:spacing w:after="40"/>
              <w:jc w:val="left"/>
            </w:pPr>
            <w:r>
              <w:rPr>
                <w:rFonts w:ascii="Times New Roman" w:hAnsi="Times New Roman"/>
                <w:b/>
                <w:i w:val="0"/>
                <w:sz w:val="20"/>
              </w:rPr>
              <w:t>Pernyataan Kuesioner Kepraktisan (SUS Adaptif)</w:t>
            </w:r>
          </w:p>
        </w:tc>
        <w:tc>
          <w:tcPr>
            <w:tcW w:type="dxa" w:w="648"/>
            <w:tcMar>
              <w:top w:w="100" w:type="dxa"/>
              <w:bottom w:w="100" w:type="dxa"/>
              <w:left w:w="60" w:type="dxa"/>
              <w:right w:w="60" w:type="dxa"/>
            </w:tcMar>
            <w:shd w:fill="E2E8F0"/>
          </w:tcPr>
          <w:p>
            <w:pPr>
              <w:spacing w:after="40"/>
              <w:jc w:val="center"/>
            </w:pPr>
            <w:r>
              <w:rPr>
                <w:rFonts w:ascii="Times New Roman" w:hAnsi="Times New Roman"/>
                <w:b/>
                <w:i w:val="0"/>
                <w:sz w:val="20"/>
              </w:rPr>
              <w:t>STS</w:t>
            </w:r>
          </w:p>
        </w:tc>
        <w:tc>
          <w:tcPr>
            <w:tcW w:type="dxa" w:w="648"/>
            <w:tcMar>
              <w:top w:w="100" w:type="dxa"/>
              <w:bottom w:w="100" w:type="dxa"/>
              <w:left w:w="60" w:type="dxa"/>
              <w:right w:w="60" w:type="dxa"/>
            </w:tcMar>
            <w:shd w:fill="E2E8F0"/>
          </w:tcPr>
          <w:p>
            <w:pPr>
              <w:spacing w:after="40"/>
              <w:jc w:val="center"/>
            </w:pPr>
            <w:r>
              <w:rPr>
                <w:rFonts w:ascii="Times New Roman" w:hAnsi="Times New Roman"/>
                <w:b/>
                <w:i w:val="0"/>
                <w:sz w:val="20"/>
              </w:rPr>
              <w:t>TS</w:t>
            </w:r>
          </w:p>
        </w:tc>
        <w:tc>
          <w:tcPr>
            <w:tcW w:type="dxa" w:w="648"/>
            <w:tcMar>
              <w:top w:w="100" w:type="dxa"/>
              <w:bottom w:w="100" w:type="dxa"/>
              <w:left w:w="60" w:type="dxa"/>
              <w:right w:w="60" w:type="dxa"/>
            </w:tcMar>
            <w:shd w:fill="E2E8F0"/>
          </w:tcPr>
          <w:p>
            <w:pPr>
              <w:spacing w:after="40"/>
              <w:jc w:val="center"/>
            </w:pPr>
            <w:r>
              <w:rPr>
                <w:rFonts w:ascii="Times New Roman" w:hAnsi="Times New Roman"/>
                <w:b/>
                <w:i w:val="0"/>
                <w:sz w:val="20"/>
              </w:rPr>
              <w:t>N</w:t>
            </w:r>
          </w:p>
        </w:tc>
        <w:tc>
          <w:tcPr>
            <w:tcW w:type="dxa" w:w="648"/>
            <w:tcMar>
              <w:top w:w="100" w:type="dxa"/>
              <w:bottom w:w="100" w:type="dxa"/>
              <w:left w:w="60" w:type="dxa"/>
              <w:right w:w="60" w:type="dxa"/>
            </w:tcMar>
            <w:shd w:fill="E2E8F0"/>
          </w:tcPr>
          <w:p>
            <w:pPr>
              <w:spacing w:after="40"/>
              <w:jc w:val="center"/>
            </w:pPr>
            <w:r>
              <w:rPr>
                <w:rFonts w:ascii="Times New Roman" w:hAnsi="Times New Roman"/>
                <w:b/>
                <w:i w:val="0"/>
                <w:sz w:val="20"/>
              </w:rPr>
              <w:t>S</w:t>
            </w:r>
          </w:p>
        </w:tc>
        <w:tc>
          <w:tcPr>
            <w:tcW w:type="dxa" w:w="648"/>
            <w:tcMar>
              <w:top w:w="100" w:type="dxa"/>
              <w:bottom w:w="100" w:type="dxa"/>
              <w:left w:w="60" w:type="dxa"/>
              <w:right w:w="60" w:type="dxa"/>
            </w:tcMar>
            <w:shd w:fill="E2E8F0"/>
          </w:tcPr>
          <w:p>
            <w:pPr>
              <w:spacing w:after="40"/>
              <w:jc w:val="center"/>
            </w:pPr>
            <w:r>
              <w:rPr>
                <w:rFonts w:ascii="Times New Roman" w:hAnsi="Times New Roman"/>
                <w:b/>
                <w:i w:val="0"/>
                <w:sz w:val="20"/>
              </w:rPr>
              <w:t>SS</w:t>
            </w:r>
          </w:p>
        </w:tc>
      </w:tr>
      <w:tr>
        <w:tc>
          <w:tcPr>
            <w:tcW w:type="dxa" w:w="648"/>
            <w:tcMar>
              <w:top w:w="70" w:type="dxa"/>
              <w:bottom w:w="70" w:type="dxa"/>
              <w:left w:w="60" w:type="dxa"/>
              <w:right w:w="60" w:type="dxa"/>
            </w:tcMar>
          </w:tcPr>
          <w:p>
            <w:pPr>
              <w:jc w:val="center"/>
            </w:pPr>
            <w:r>
              <w:rPr>
                <w:rFonts w:ascii="Times New Roman" w:hAnsi="Times New Roman"/>
                <w:b/>
                <w:i w:val="0"/>
                <w:sz w:val="20"/>
              </w:rPr>
              <w:t>1</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berpikir akan sering menggunakan Dasbor Statistika Interaktif ini kembali dalam pembelajaran statistika.</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2</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merasa antarmuka sistem dasbor statistika ini terlalu rumit dan membingungkan untuk digunakan.</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3</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merasa dasbor statistika interaktif ini sangat mudah untuk dioperasikan dalam eksplorasi data.</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4</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merasa membutuhkan bantuan orang lain atau instruktur teknis untuk dapat mengoperasikan dasbor ini.</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5</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menemukan bahwa berbagai fitur interaktif (grafik, filter, slider) dalam dasbor ini terintegrasi dengan sangat rapi.</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6</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merasa terdapat banyak hal yang tidak konsisten pada tombol, warna, atau susunan menu dasbor ini.</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7</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merasa teman-teman sekelas akan mempelajari cara menggunakan dasbor ini dengan sangat cepat.</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8</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merasa alur kerja dan navigasi dasbor ini sangat janggal atau membingungkan saat pertama kali dicoba.</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9</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merasa sangat percaya diri saat menyelesaikan tugas-tugas literasi data menggunakan dasbor ini.</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10</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harus mempelajari banyak hal teknis yang rumit terlebih dahulu sebelum bisa mahir menggunakan dasbor ini.</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11</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Tampilan antarmuka dasbor ini sangat responsif, rapi, dan nyaman dibuka baik di layar laptop maupun ponsel pintar.</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12</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Penyajian dataset bernuansa Islami pada dasbor ini mempermudah saya memahami penerapan etika Tabayyun dan Amanah data.</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13</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Saya mengalami kesulitan dalam memahami respon visual grafik dan kalkulator interaktif saat mengubah parameter angka.</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14</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Dasbor ini menanamkan kesadaran pada saya untuk menyajikan dan membaca data statistika secara jujur tanpa manipulasi.</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r>
        <w:tc>
          <w:tcPr>
            <w:tcW w:type="dxa" w:w="648"/>
            <w:tcMar>
              <w:top w:w="70" w:type="dxa"/>
              <w:bottom w:w="70" w:type="dxa"/>
              <w:left w:w="60" w:type="dxa"/>
              <w:right w:w="60" w:type="dxa"/>
            </w:tcMar>
          </w:tcPr>
          <w:p>
            <w:pPr>
              <w:jc w:val="center"/>
            </w:pPr>
            <w:r>
              <w:rPr>
                <w:rFonts w:ascii="Times New Roman" w:hAnsi="Times New Roman"/>
                <w:b/>
                <w:i w:val="0"/>
                <w:sz w:val="20"/>
              </w:rPr>
              <w:t>15</w:t>
            </w:r>
          </w:p>
        </w:tc>
        <w:tc>
          <w:tcPr>
            <w:tcW w:type="dxa" w:w="5688"/>
            <w:tcMar>
              <w:top w:w="70" w:type="dxa"/>
              <w:bottom w:w="70" w:type="dxa"/>
              <w:left w:w="60" w:type="dxa"/>
              <w:right w:w="60" w:type="dxa"/>
            </w:tcMar>
          </w:tcPr>
          <w:p>
            <w:pPr>
              <w:spacing w:after="40" w:line="276" w:lineRule="auto"/>
              <w:jc w:val="left"/>
            </w:pPr>
            <w:r>
              <w:rPr>
                <w:rFonts w:ascii="Times New Roman" w:hAnsi="Times New Roman"/>
                <w:b w:val="0"/>
                <w:i w:val="0"/>
                <w:sz w:val="20"/>
              </w:rPr>
              <w:t>Petunjuk instruksional dan rubrik penskoran pada setiap penugasan tersemat sangat jelas dan mudah dipahami langkah-langkahnya.</w:t>
            </w: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c>
          <w:tcPr>
            <w:tcW w:type="dxa" w:w="648"/>
            <w:tcMar>
              <w:top w:w="70" w:type="dxa"/>
              <w:bottom w:w="70" w:type="dxa"/>
              <w:left w:w="60" w:type="dxa"/>
              <w:right w:w="60" w:type="dxa"/>
            </w:tcMar>
          </w:tcPr>
          <w:p/>
        </w:tc>
      </w:tr>
    </w:tbl>
    <w:p>
      <w:pPr>
        <w:spacing w:after="160"/>
      </w:pPr>
    </w:p>
    <w:p>
      <w:pPr>
        <w:spacing w:after="240"/>
      </w:pPr>
    </w:p>
    <w:tbl>
      <w:tblPr>
        <w:tblW w:type="auto" w:w="0"/>
        <w:jc w:val="center"/>
        <w:tblLayout w:type="fixed"/>
        <w:tblLook w:firstColumn="1" w:firstRow="1" w:lastColumn="0" w:lastRow="0" w:noHBand="0" w:noVBand="1" w:val="04A0"/>
      </w:tblPr>
      <w:tblGrid>
        <w:gridCol w:w="4320"/>
        <w:gridCol w:w="4320"/>
      </w:tblGrid>
      <w:tr>
        <w:tc>
          <w:tcPr>
            <w:tcW w:type="dxa" w:w="4608"/>
            <w:tcMar>
              <w:top w:w="100" w:type="dxa"/>
              <w:bottom w:w="100" w:type="dxa"/>
              <w:left w:w="100" w:type="dxa"/>
              <w:right w:w="100" w:type="dxa"/>
            </w:tcMar>
          </w:tcPr>
          <w:p>
            <w:pPr>
              <w:spacing w:after="80" w:line="276" w:lineRule="auto"/>
            </w:pPr>
            <w:r>
              <w:rPr>
                <w:rFonts w:ascii="Times New Roman" w:hAnsi="Times New Roman"/>
                <w:b w:val="0"/>
                <w:i/>
                <w:sz w:val="20"/>
              </w:rPr>
              <w:t>Rekomendasi Umum Validator:</w:t>
              <w:br/>
              <w:t>[   ] Layak Digunakan Tanpa Revisi</w:t>
              <w:br/>
              <w:t>[   ] Layak Digunakan dengan Revisi Kecil</w:t>
              <w:br/>
              <w:t>[   ] Tidak Layak Digunakan</w:t>
            </w:r>
          </w:p>
        </w:tc>
        <w:tc>
          <w:tcPr>
            <w:tcW w:type="dxa" w:w="4752"/>
            <w:tcMar>
              <w:top w:w="100" w:type="dxa"/>
              <w:bottom w:w="100" w:type="dxa"/>
              <w:left w:w="100" w:type="dxa"/>
              <w:right w:w="100" w:type="dxa"/>
            </w:tcMar>
          </w:tcPr>
          <w:p>
            <w:pPr>
              <w:spacing w:after="40" w:line="276" w:lineRule="auto"/>
              <w:jc w:val="center"/>
            </w:pPr>
            <w:r>
              <w:rPr>
                <w:rFonts w:ascii="Times New Roman" w:hAnsi="Times New Roman"/>
                <w:b w:val="0"/>
                <w:i w:val="0"/>
                <w:sz w:val="21"/>
              </w:rPr>
              <w:t>Cirebon, .................................... 2026</w:t>
              <w:br/>
              <w:t>Guru Matematika Mitra MTs,</w:t>
              <w:br/>
              <w:br/>
              <w:br/>
              <w:br/>
              <w:br/>
              <w:t>( .................................................................... )</w:t>
              <w:br/>
              <w:t>NIP/NIDN. .................................................</w:t>
            </w:r>
          </w:p>
        </w:tc>
      </w:tr>
    </w:tbl>
    <w:p>
      <w:r>
        <w:br w:type="page"/>
      </w:r>
    </w:p>
    <w:p>
      <w:pPr>
        <w:spacing w:before="240" w:after="160" w:line="360" w:lineRule="auto"/>
        <w:jc w:val="left"/>
      </w:pPr>
      <w:r>
        <w:rPr>
          <w:rFonts w:ascii="Times New Roman" w:hAnsi="Times New Roman"/>
          <w:b/>
          <w:i w:val="0"/>
          <w:sz w:val="26"/>
        </w:rPr>
        <w:t>LAMPIRAN 5: PANDUAN PENSKORAN 8 EMBEDDED TASKS (PARTIAL CREDIT MODEL)</w:t>
      </w:r>
    </w:p>
    <w:p>
      <w:pPr>
        <w:spacing w:before="80" w:after="240" w:line="360" w:lineRule="auto"/>
        <w:jc w:val="left"/>
      </w:pPr>
      <w:r>
        <w:rPr>
          <w:rFonts w:ascii="Times New Roman" w:hAnsi="Times New Roman"/>
          <w:b w:val="0"/>
          <w:i w:val="0"/>
          <w:sz w:val="24"/>
        </w:rPr>
        <w:t>Berikut adalah rubrik penskoran politomi bertingkat (0, 1, 2) untuk 8 tugas penalaran data tersemat (T1–T8) berjenjang Watson &amp; Callingham (2003) sesuai adopsi Tesis Aini (Ulfah, 2020):</w:t>
      </w:r>
    </w:p>
    <w:p>
      <w:pPr>
        <w:spacing w:before="200" w:after="80" w:line="360" w:lineRule="auto"/>
        <w:jc w:val="left"/>
      </w:pPr>
      <w:r>
        <w:rPr>
          <w:rFonts w:ascii="Times New Roman" w:hAnsi="Times New Roman"/>
          <w:b/>
          <w:i w:val="0"/>
          <w:color w:val="0F766E"/>
          <w:sz w:val="22"/>
        </w:rPr>
        <w:t>Butir Tugas T1: Zakat Fitrah (Level 3/4 (Informal / Quantitative))</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Data Penerimaan Zakat Fitrah di 5 Kecamatan (Kec. A, Kec. B, Kec. C, Kec. D, Kec. E) yang disajikan dalam diagram batang interaktif.</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Perhatikan diagram batang interaktif penerimaan zakat fitrah. Gunakan fitur hover/kalkulator selisih. Identifikasi kecamatan dengan penerimaan zakat tertinggi dan terendah, lalu hitung selisihnya dalam kg!</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Amanah (Kejujuran Pencatatan &amp; Takaran) — Pencatatan dan penghitungan hak mustahik secara akurat tanpa pengurangan takaran (QS. Al-Muthaffifin: 1-3).</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Kecamatan tertinggi = Kec. D (1.450 kg), terendah = Kec. C (650 kg). Selisih mutlak = 1.450 kg - 650 kg = 800 kg.</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salah dalam mengidentifikasi kecamatan tertinggi dan terendah, atau tidak memberikan respon jawaban sama sekali.</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mengidentifikasi kecamatan tertinggi dan terendah dengan tepat, namun keliru dalam melakukan kalkulasi selisih matematis atau tidak menyertakan satuan kg.</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mengidentifikasi kecamatan dengan perolehan zakat tertinggi (Kec. D = 1.450 kg) dan terendah (Kec. C = 650 kg) secara tepat, serta menghitung selisih 800 kg secara akurat lengkap beserta satuan pengukurannya.</w:t>
            </w:r>
          </w:p>
        </w:tc>
      </w:tr>
    </w:tbl>
    <w:p>
      <w:pPr>
        <w:spacing w:after="200"/>
      </w:pPr>
    </w:p>
    <w:p>
      <w:pPr>
        <w:spacing w:before="200" w:after="80" w:line="360" w:lineRule="auto"/>
        <w:jc w:val="left"/>
      </w:pPr>
      <w:r>
        <w:rPr>
          <w:rFonts w:ascii="Times New Roman" w:hAnsi="Times New Roman"/>
          <w:b/>
          <w:i w:val="0"/>
          <w:color w:val="0F766E"/>
          <w:sz w:val="22"/>
        </w:rPr>
        <w:t>Butir Tugas T2: Wakaf Produktif (Level 4 (Quantitative / Structural))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Distribusi Luas Tanah Wakaf Produktif (Pertanian &amp; Ruko Usaha) vs Non-Produktif (Pemakaman &amp; Tempat Ibadah) pada suatu wilayah.</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Gunakan filter kategori untuk memisahkan peruntukan wakaf produktif (pertanian &amp; usaha) dengan non-produktif (pemakaman &amp; ibadah). Bandingkan proporsinya dan simpulkan kecenderungannya!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Amanah &amp; Maslahah (Pengelolaan Wakaf Berkelanjutan) — Optimalisasi aset wakaf untuk kemaslahatan umat berkelanjutan secara adil dan transparan.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Wakaf Produktif = Pertanian (35%) + Ruko (25%) = 60%. Wakaf Non-Produktif = Tempat Ibadah (20%) + Makam (20%) = 40%. Rasio perbandingan 3 : 2 dengan dominasi sektor produktif.</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salah dalam mengklasifikasikan kategori data dan gagal menghitung rasio proporsi.</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menghitung persentase proporsi masing-masing kelompok data dengan benar, namun kesimpulan analisis atau interpretasi manajerial wakaf belum tepat.</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berhasil mengelompokkan dan membandingkan persentase kedua sektor wakaf (60% produktif vs 40% non-produktif) secara akurat serta menyimpulkan signifikansi kemaslahatan ekonomi wakaf.</w:t>
            </w:r>
          </w:p>
        </w:tc>
      </w:tr>
    </w:tbl>
    <w:p>
      <w:pPr>
        <w:spacing w:after="200"/>
      </w:pPr>
    </w:p>
    <w:p>
      <w:pPr>
        <w:spacing w:before="200" w:after="80" w:line="360" w:lineRule="auto"/>
        <w:jc w:val="left"/>
      </w:pPr>
      <w:r>
        <w:rPr>
          <w:rFonts w:ascii="Times New Roman" w:hAnsi="Times New Roman"/>
          <w:b/>
          <w:i w:val="0"/>
          <w:color w:val="0F766E"/>
          <w:sz w:val="22"/>
        </w:rPr>
        <w:t>Butir Tugas T3: Perpustakaan Madrasah (Level 4/5 (Relational / Inconsistent Critical))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Tren peminjaman buku perpustakaan madrasah selama 6 bulan dengan lonjakan ekstrem di bulan Ramadan (April: 180 peminjaman).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Aktifkan dan nonaktifkan data bulan Ramadan (April: 180 peminjaman). Analisis ukuran pemusatan manakah (Mean atau Median) yang mengalami pergeseran paling drastis dan jelaskan alasan teoretisnya!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Istiqamah &amp; Tabayyun (Ketelitian &amp; Verifikasi Anomali) — Verifikasi ketahanan data statistik terhadap anomali musiman (kegiatan Ramadan) secara objektif tanpa prasangka.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Mean melonjak tajam dari 46,4 menjadi 68,6 (+47,8%), sedangkan Median relatif konstan dari 46,0 menjadi 47,5 (+3,3%). Mean dipengaruhi besaran numerik ekstrem, sedangkan median hanya bergantung pada posisi urutan nilai tengah.</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salah menentukan ukuran pemusatan yang sensitif terhadap pencilan atau tidak memahami konsep outlier.</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dapat mengidentifikasi pergeseran nilai statistik dengan benar, tetapi penjelasan teoretis mengenai penyebab resistensi median belum lengkap.</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secara tepat menunjukkan perubahan Mean (dari 46,4 ke 68,6) dan Median (dari 46,0 ke 47,5), menyimpulkan bahwa Mean sangat sensitif terhadap pencilan sedangkan Median stabil, serta menjelaskan landasan matematisnya (penjumlahan nilai vs posisi urutan tengah).</w:t>
            </w:r>
          </w:p>
        </w:tc>
      </w:tr>
    </w:tbl>
    <w:p>
      <w:pPr>
        <w:spacing w:after="200"/>
      </w:pPr>
    </w:p>
    <w:p>
      <w:pPr>
        <w:spacing w:before="200" w:after="80" w:line="360" w:lineRule="auto"/>
        <w:jc w:val="left"/>
      </w:pPr>
      <w:r>
        <w:rPr>
          <w:rFonts w:ascii="Times New Roman" w:hAnsi="Times New Roman"/>
          <w:b/>
          <w:i w:val="0"/>
          <w:color w:val="0F766E"/>
          <w:sz w:val="22"/>
        </w:rPr>
        <w:t>Butir Tugas T4: Muraja'ah vs Hafalan (Level 5 (Critical / Inconsistent))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Hubungan Durasi Muraja'ah (Jam/Minggu) dengan Skor Uji Hafalan Al-Qur'an pada 10 Santri Madrasah.</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Aktifkan garis tren (trendline) pada scatter plot interaktif. Bagaimanakah bentuk asosiasi antar-variabel? Gunakan model untuk memprediksikan skor hafalan jika santri bermuraja'ah selama 10 jam/minggu!</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Mujahadah &amp; Tawakkal (Hukum Kausalitas Ikhtiar) — Hukum kausalitas ikhtiar: hubungan linier positif antara kesungguhan waktu muraja'ah dengan ketahanan hafalan Al-Qur'an.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Hubungan bersifat korelasi linier positif kuat. Berdasarkan garis tren regresi linier, santri dengan waktu muraja'ah 10 jam/minggu diestimasikan meraih skor hafalan pada rentang 93 - 97 poin.</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salah mengartikan pola hubungan antar-variabel dan gagal memprediksi nilai.</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menyebutkan jenis hubungan korelasi positif namun nilai prediksi skor hafalan kurang presisi atau tanpa dasar model tren.</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mengidentifikasi arah korelasi positif kuat (semakin tinggi durasi muraja'ah, semakin tinggi skor hafalan) dan memprediksikan skor hafalan santri (~95) secara logis berbasis garis tren regresi linier.</w:t>
            </w:r>
          </w:p>
        </w:tc>
      </w:tr>
    </w:tbl>
    <w:p>
      <w:pPr>
        <w:spacing w:after="200"/>
      </w:pPr>
    </w:p>
    <w:p>
      <w:pPr>
        <w:spacing w:before="200" w:after="80" w:line="360" w:lineRule="auto"/>
        <w:jc w:val="left"/>
      </w:pPr>
      <w:r>
        <w:rPr>
          <w:rFonts w:ascii="Times New Roman" w:hAnsi="Times New Roman"/>
          <w:b/>
          <w:i w:val="0"/>
          <w:color w:val="0F766E"/>
          <w:sz w:val="22"/>
        </w:rPr>
        <w:t>Butir Tugas T5: Grafik Infak Bias (Level 5/6 (Critical Mathematical))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Laporan Visual Pengumpulan Infak Masjid selama 4 Pekan dengan 2 Pilihan Format Tampilan Sumbu Y (Grafik A: Potong di 5 Juta vs Grafik B: Mulai dari Nol).</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Bandingkan Grafik A (skala sumbu Y terpotong mulai Rp 5.000.000) dan Grafik B (skala sumbu Y dimulai dari nol). Mengapa Grafik A memberikan ilusi peningkatan yang sangat drastis? Evaluasi dari sudut pandang integritas Amanah data!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Amanah &amp; Kejujuran (Anti-Manipulasi Visual &amp; Larangan Tadlis) — Penyajian laporan keuangan publik tanpa manipulasi optik skala grafik (Larangan tadlis / penipuan persepsi visual).</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Grafik A memotong sumbu Y di titik 5 juta rupiah sehingga kenaikan moderat Rp 300.000 terlihat secara visual seperti lonjakan 5 kali lipat. Grafik B menyajikan proporsi riil dari dasar nol (zero-baseline) sesuai standar integritas data Amanah.</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menganggap kedua grafik memberikan pesan yang sama atau gagal mengidentifikasi manipulasi baseline sumbu Y.</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menemukan perbedaan skala Y namun argumentasi mengenai distorsi optik atau prinsip etika Amanah pelaporan data belum komprehensif.</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mampu membongkar distorsi visual pada Grafik A akibat pemotongan sumbu Y (truncated baseline), menjelaskan bahwa kenaikan riil hanya ~5,8% bukan 500%, serta meninjau implikasi etika Amanah dalam komunikasi data publik.</w:t>
            </w:r>
          </w:p>
        </w:tc>
      </w:tr>
    </w:tbl>
    <w:p>
      <w:pPr>
        <w:spacing w:after="200"/>
      </w:pPr>
    </w:p>
    <w:p>
      <w:pPr>
        <w:spacing w:before="200" w:after="80" w:line="360" w:lineRule="auto"/>
        <w:jc w:val="left"/>
      </w:pPr>
      <w:r>
        <w:rPr>
          <w:rFonts w:ascii="Times New Roman" w:hAnsi="Times New Roman"/>
          <w:b/>
          <w:i w:val="0"/>
          <w:color w:val="0F766E"/>
          <w:sz w:val="22"/>
        </w:rPr>
        <w:t>Butir Tugas T6: KKM Bahasa Arab (Level 5/6 (Critical Mathematical))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Data nilai ujian Bahasa Arab satu kelas (10 siswa) dengan keberadaan 2 siswa pindahan/inklusif bernilai rendah (25 dan 30).</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Guru madrasah ingin menetapkan KKM berbasis representasi kelas yang adil. Aktifkan/nonaktifkan data pencilan siswa inklusif. Ukuran pemusatan manakah (Mean atau Median) yang paling adil dan representatif dijadikan dasar acuan? Jelaskan dengan landasan Tabayyun!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Tabayyun &amp; Keadilan ('Adl) — Keadilan proporsional dalam menetapkan standar evaluasi belajar yang tidak merugikan mayoritas siswa karena anomali kasus inklusif.</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Nilai Median (85,5) atau Mean terkoreksi (86,9) adalah ukuran paling adil untuk menetapkan standar capaian kelas, sementara 2 siswa inklusif difasilitasi program bimbingan matrikulasi khusus berdasarkan prinsip Tabayyun dan keadilan proporsional.</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memilih Mean dengan outlier (75,0) tanpa menyadari dampaknya yang merugikan evaluasi pencapaian mayoritas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memilih ukuran statistik yang tepat namun belum mengaitkan alasan dengan konsep keadilan representasi dan program penanganan khusus inklusif.</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memilih Median (85,5) atau Mean tanpa outlier (86,9) sebagai dasar pengambilan keputusan yang adil, menjelaskan bahwa Mean keseluruhan (75,0) terdistorsi berat oleh nilai ekstrem dua siswa inklusif, dan menguraikan rekomendasi penanganan afirmasi berbasis Tabayyun.</w:t>
            </w:r>
          </w:p>
        </w:tc>
      </w:tr>
    </w:tbl>
    <w:p>
      <w:pPr>
        <w:spacing w:after="200"/>
      </w:pPr>
    </w:p>
    <w:p>
      <w:pPr>
        <w:spacing w:before="200" w:after="80" w:line="360" w:lineRule="auto"/>
        <w:jc w:val="left"/>
      </w:pPr>
      <w:r>
        <w:rPr>
          <w:rFonts w:ascii="Times New Roman" w:hAnsi="Times New Roman"/>
          <w:b/>
          <w:i w:val="0"/>
          <w:color w:val="0F766E"/>
          <w:sz w:val="22"/>
        </w:rPr>
        <w:t>Butir Tugas T7: Bias Sampling (Level 6 (Critical Mathematical))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Klaim promosi sebuah platform bimbingan belajar: "90% Efektif Meningkatkan Nilai Matematika Siswa Madrasah" yang didasarkan pada survei 10 responden.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Klik tombol "Inspeksi Demografi Sampel" untuk memeriksa latar belakang responden. Evaluasilah apakah klaim 90% tersebut dapat digeneralisasi untuk seluruh populasi siswa madrasah? Berikan telaah kritis Anda berdasarkan prinsip Tabayyun!</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Tabayyun (Verifikasi Metodologis &amp; Anti-Hoaks) — Kewajiban meneliti kebenaran metodologis suatu klaim sebelum mempercayai dan menyebarkannya (QS. Al-Hujurat: 6).</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Klaim tidak valid digeneralisasikan karena sampel mengalami bias seleksi (100% siswa kelas olimpiade) dan ukuran sampel (N=10) tidak mencerminkan variansi populasi madrasah. Sesuai prinsip Tabayyun, diperlukan stratified random sampling.</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menerima klaim promosi secara mentah tanpa melakukan verifikasi keabsahan latar belakang sampel.</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menyatakan klaim kurang meyakinkan karena jumlah sampel sedikit, namun belum mampu mendeteksi bias seleksi demografi responden secara spesifik.</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secara tegas menolak klaim generalisasi karena menemukan bahwa seluruh responden (N=10) berasal dari kelas unggulan olimpiade (purposive sampling bias) dengan ukuran sampel terlalu kecil, serta menjustifikasi telaah menggunakan prinsip Tabayyun informasi ilmiah.</w:t>
            </w:r>
          </w:p>
        </w:tc>
      </w:tr>
    </w:tbl>
    <w:p>
      <w:pPr>
        <w:spacing w:after="200"/>
      </w:pPr>
    </w:p>
    <w:p>
      <w:pPr>
        <w:spacing w:before="200" w:after="80" w:line="360" w:lineRule="auto"/>
        <w:jc w:val="left"/>
      </w:pPr>
      <w:r>
        <w:rPr>
          <w:rFonts w:ascii="Times New Roman" w:hAnsi="Times New Roman"/>
          <w:b/>
          <w:i w:val="0"/>
          <w:color w:val="0F766E"/>
          <w:sz w:val="22"/>
        </w:rPr>
        <w:t>Butir Tugas T8: Alokasi Anggaran (Level 6 (Critical Mathematical))</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Stimulus Konteks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Data historis pertumbuhan peminat dan kebutuhan operasional 4 kegiatan ekstrakurikuler madrasah (Tahfidz, Pramuka Islam, Kaligrafi, PMR).</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Pertanyaan Tugas</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Gunakan simulator slider untuk mengalokasikan total plafon anggaran madrasah sebesar Rp 20.000.000. Sesuaikan pembagian anggaran secara proporsional dengan tren pertumbuhan minat santri dan berikan justifikasi efisiensinya!</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Nilai Keislaman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Amanah &amp; Syura (Efisiensi, Musyawarah &amp; Keadilan Alokatif) — Pengelolaan kas organisasi madrasah secara adil, produktif, dan berbasis kebutuhan riil peserta didik melalui musyawarah.</w:t>
            </w:r>
          </w:p>
        </w:tc>
      </w:tr>
      <w:tr>
        <w:tc>
          <w:tcPr>
            <w:tcW w:type="dxa" w:w="2592"/>
            <w:tcMar>
              <w:top w:w="60" w:type="dxa"/>
              <w:bottom w:w="60" w:type="dxa"/>
              <w:left w:w="60" w:type="dxa"/>
              <w:right w:w="60" w:type="dxa"/>
            </w:tcMar>
          </w:tcPr>
          <w:p>
            <w:pPr>
              <w:spacing w:after="40" w:line="276" w:lineRule="auto"/>
            </w:pPr>
            <w:r>
              <w:rPr>
                <w:rFonts w:ascii="Times New Roman" w:hAnsi="Times New Roman"/>
                <w:b/>
                <w:i w:val="0"/>
                <w:sz w:val="20"/>
              </w:rPr>
              <w:t>Kunci Jawaban</w:t>
            </w:r>
          </w:p>
        </w:tc>
        <w:tc>
          <w:tcPr>
            <w:tcW w:type="dxa" w:w="6768"/>
            <w:tcMar>
              <w:top w:w="60" w:type="dxa"/>
              <w:bottom w:w="60" w:type="dxa"/>
              <w:left w:w="60" w:type="dxa"/>
              <w:right w:w="60" w:type="dxa"/>
            </w:tcMar>
          </w:tcPr>
          <w:p>
            <w:pPr>
              <w:spacing w:after="40" w:line="276" w:lineRule="auto"/>
            </w:pPr>
            <w:r>
              <w:rPr>
                <w:rFonts w:ascii="Times New Roman" w:hAnsi="Times New Roman"/>
                <w:b w:val="0"/>
                <w:i w:val="0"/>
                <w:sz w:val="20"/>
              </w:rPr>
              <w:t>Alokasi proporsional ideal: Tahfidz Al-Qur'an Rp 7.000.000 (tren +40%), Pramuka Islam Rp 6.000.000 (tren +25%), Kaligrafi Rp 4.000.000 (tren +15%), PMR Rp 3.000.000 (tren +5%). Total Rp 20.000.000 efisien dan seimbang.</w:t>
            </w:r>
          </w:p>
        </w:tc>
      </w:tr>
    </w:tbl>
    <w:p>
      <w:pPr>
        <w:spacing w:after="80"/>
      </w:pP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single" w:sz="4" w:space="0" w:color="D3D3D3"/>
          <w:insideV w:val="none"/>
        </w:tblBorders>
      </w:tblPr>
      <w:tblGrid>
        <w:gridCol w:w="4320"/>
        <w:gridCol w:w="4320"/>
      </w:tblGrid>
      <w:tr>
        <w:tc>
          <w:tcPr>
            <w:tcW w:type="dxa" w:w="1440"/>
            <w:shd w:fill="E2E8F0"/>
          </w:tcPr>
          <w:p>
            <w:pPr>
              <w:jc w:val="center"/>
            </w:pPr>
            <w:r>
              <w:rPr>
                <w:rFonts w:ascii="Times New Roman" w:hAnsi="Times New Roman"/>
                <w:b/>
                <w:i w:val="0"/>
                <w:sz w:val="19"/>
              </w:rPr>
              <w:t>Skor PCM</w:t>
            </w:r>
          </w:p>
        </w:tc>
        <w:tc>
          <w:tcPr>
            <w:tcW w:type="dxa" w:w="7920"/>
            <w:shd w:fill="E2E8F0"/>
          </w:tcPr>
          <w:p>
            <w:r>
              <w:rPr>
                <w:rFonts w:ascii="Times New Roman" w:hAnsi="Times New Roman"/>
                <w:b/>
                <w:i w:val="0"/>
                <w:sz w:val="19"/>
              </w:rPr>
              <w:t>Deskripsi Indikator Pemenuhan Respon Siswa</w:t>
            </w:r>
          </w:p>
        </w:tc>
      </w:tr>
      <w:tr>
        <w:tc>
          <w:tcPr>
            <w:tcW w:type="dxa" w:w="1440"/>
            <w:tcMar>
              <w:top w:w="50" w:type="dxa"/>
              <w:bottom w:w="50" w:type="dxa"/>
              <w:left w:w="50" w:type="dxa"/>
              <w:right w:w="50" w:type="dxa"/>
            </w:tcMar>
          </w:tcPr>
          <w:p>
            <w:pPr>
              <w:jc w:val="center"/>
            </w:pPr>
            <w:r>
              <w:rPr>
                <w:rFonts w:ascii="Times New Roman" w:hAnsi="Times New Roman"/>
                <w:b/>
                <w:i w:val="0"/>
                <w:sz w:val="19"/>
              </w:rPr>
              <w:t>Skor 0</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gagal memenuhi plafon total Rp 20.000.000 atau membagi anggaran secara sembarangan tanpa dasar data.</w:t>
            </w:r>
          </w:p>
        </w:tc>
      </w:tr>
      <w:tr>
        <w:tc>
          <w:tcPr>
            <w:tcW w:type="dxa" w:w="1440"/>
            <w:tcMar>
              <w:top w:w="50" w:type="dxa"/>
              <w:bottom w:w="50" w:type="dxa"/>
              <w:left w:w="50" w:type="dxa"/>
              <w:right w:w="50" w:type="dxa"/>
            </w:tcMar>
          </w:tcPr>
          <w:p>
            <w:pPr>
              <w:jc w:val="center"/>
            </w:pPr>
            <w:r>
              <w:rPr>
                <w:rFonts w:ascii="Times New Roman" w:hAnsi="Times New Roman"/>
                <w:b/>
                <w:i w:val="0"/>
                <w:sz w:val="19"/>
              </w:rPr>
              <w:t>Skor 1</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menyusun total anggaran tepat Rp 20.000.000, namun proporsi pembagian tiap pos kegiatan belum sepenuhnya mencerminkan tren pertumbuhan data riil.</w:t>
            </w:r>
          </w:p>
        </w:tc>
      </w:tr>
      <w:tr>
        <w:tc>
          <w:tcPr>
            <w:tcW w:type="dxa" w:w="1440"/>
            <w:tcMar>
              <w:top w:w="50" w:type="dxa"/>
              <w:bottom w:w="50" w:type="dxa"/>
              <w:left w:w="50" w:type="dxa"/>
              <w:right w:w="50" w:type="dxa"/>
            </w:tcMar>
          </w:tcPr>
          <w:p>
            <w:pPr>
              <w:jc w:val="center"/>
            </w:pPr>
            <w:r>
              <w:rPr>
                <w:rFonts w:ascii="Times New Roman" w:hAnsi="Times New Roman"/>
                <w:b/>
                <w:i w:val="0"/>
                <w:sz w:val="19"/>
              </w:rPr>
              <w:t>Skor 2</w:t>
            </w:r>
          </w:p>
        </w:tc>
        <w:tc>
          <w:tcPr>
            <w:tcW w:type="dxa" w:w="7920"/>
            <w:tcMar>
              <w:top w:w="50" w:type="dxa"/>
              <w:bottom w:w="50" w:type="dxa"/>
              <w:left w:w="50" w:type="dxa"/>
              <w:right w:w="50" w:type="dxa"/>
            </w:tcMar>
          </w:tcPr>
          <w:p>
            <w:pPr>
              <w:spacing w:line="276" w:lineRule="auto"/>
            </w:pPr>
            <w:r>
              <w:rPr>
                <w:rFonts w:ascii="Times New Roman" w:hAnsi="Times New Roman"/>
                <w:b w:val="0"/>
                <w:i w:val="0"/>
                <w:sz w:val="19"/>
              </w:rPr>
              <w:t>Siswa berhasil menyusun alokasi anggaran tepat total Rp 20.000.000 yang proporsional dengan tren lonjakan peminat (Tahfidz +40% dan Pramuka +25%), serta memberikan argumentasi manajerial berbasis efisiensi Amanah dan Syura.</w:t>
            </w:r>
          </w:p>
        </w:tc>
      </w:tr>
    </w:tbl>
    <w:p>
      <w:pPr>
        <w:spacing w:after="2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