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2A4A"/>
          <w:sz w:val="44"/>
          <w:szCs w:val="44"/>
        </w:rPr>
        <w:t xml:space="preserve">PHOTONICS FACTOR STRENGTH STUDY</w:t>
      </w:r>
    </w:p>
    <w:p>
      <w:pPr>
        <w:spacing w:after="40" w:before="0"/>
      </w:pPr>
      <w:r>
        <w:rPr>
          <w:rFonts w:ascii="Arial" w:cs="Arial" w:eastAsia="Arial" w:hAnsi="Arial"/>
          <w:i/>
          <w:iCs/>
          <w:color w:val="4A5568"/>
          <w:sz w:val="22"/>
          <w:szCs w:val="22"/>
        </w:rPr>
        <w:t xml:space="preserve">Signal IC Analysis &amp; Culling Report  |  v1.0  |  April 2026</w:t>
      </w:r>
    </w:p>
    <w:p>
      <w:pPr>
        <w:spacing w:after="40" w:before="0"/>
      </w:pPr>
      <w:r>
        <w:rPr>
          <w:rFonts w:ascii="Arial" w:cs="Arial" w:eastAsia="Arial" w:hAnsi="Arial"/>
          <w:b/>
          <w:bCs/>
          <w:color w:val="0D7377"/>
          <w:sz w:val="20"/>
          <w:szCs w:val="20"/>
        </w:rPr>
        <w:t xml:space="preserve">Universe: AAOI · COHR · AEHR · LITE · IPGP</w:t>
      </w:r>
    </w:p>
    <w:p>
      <w:pPr>
        <w:pBdr>
          <w:bottom w:val="single" w:color="1B2A4A" w:sz="12" w:space="1"/>
        </w:pBdr>
        <w:spacing w:after="200" w:before="0"/>
      </w:pPr>
      <w:r>
        <w:rPr>
          <w:rFonts w:ascii="Arial" w:cs="Arial" w:eastAsia="Arial" w:hAnsi="Arial"/>
          <w:color w:val="4A5568"/>
          <w:sz w:val="18"/>
          <w:szCs w:val="18"/>
        </w:rPr>
        <w:t xml:space="preserve">Method: Spearman rank IC · Horizons: 1d, 3d, 5d, 10d, 21d · Data: yfinance daily OHLCV from 2022-01-01</w:t>
      </w:r>
    </w:p>
    <w:p>
      <w:pPr>
        <w:pStyle w:val="Heading1"/>
        <w:pBdr>
          <w:bottom w:val="single" w:color="0D7377" w:sz="8" w:space="4"/>
        </w:pBdr>
        <w:spacing w:after="120" w:before="360"/>
      </w:pPr>
      <w:r>
        <w:rPr>
          <w:rFonts w:ascii="Arial" w:cs="Arial" w:eastAsia="Arial" w:hAnsi="Arial"/>
          <w:b/>
          <w:bCs/>
          <w:color w:val="1B2A4A"/>
          <w:sz w:val="32"/>
          <w:szCs w:val="32"/>
        </w:rPr>
        <w:t xml:space="preserve">1. Information Ratio Summary</w:t>
      </w:r>
    </w:p>
    <w:p>
      <w:pPr>
        <w:spacing w:after="120" w:before="80"/>
        <w:jc w:val="left"/>
      </w:pPr>
      <w:r>
        <w:rPr>
          <w:rFonts w:ascii="Arial" w:cs="Arial" w:eastAsia="Arial" w:hAnsi="Arial"/>
          <w:b w:val="false"/>
          <w:bCs w:val="false"/>
          <w:i w:val="false"/>
          <w:iCs w:val="false"/>
          <w:color w:val="1C2B3A"/>
          <w:sz w:val="20"/>
          <w:szCs w:val="20"/>
        </w:rPr>
        <w:t xml:space="preserve">The Fundamental Law of Active Management states IR = IC × √N, where N is the effective number of independent signals. With 14 raw signals and a correlation-adjusted effective N of 9.34, the current stack delivers an adjusted IR of 0.171. This is below the institutional threshold of 0.30 for a deployable edge, confirming that signal culling and refinement are required before live capital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312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Total Signals (N)</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14</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w:t>
            </w:r>
          </w:p>
        </w:tc>
      </w:tr>
      <w:tr>
        <w:tc>
          <w:tcPr>
            <w:tcW w:type="dxa" w:w="312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Effective Independent Signals (N_eff)</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C2B3A"/>
                <w:sz w:val="18"/>
                <w:szCs w:val="18"/>
              </w:rPr>
              <w:t xml:space="preserve">9.34</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Ideally ≥ 0.67 × N</w:t>
            </w:r>
          </w:p>
        </w:tc>
      </w:tr>
      <w:tr>
        <w:tc>
          <w:tcPr>
            <w:tcW w:type="dxa" w:w="312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Mean |IC| across signals</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0.0561</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Institutional: 0.05 – 0.15</w:t>
            </w:r>
          </w:p>
        </w:tc>
      </w:tr>
      <w:tr>
        <w:tc>
          <w:tcPr>
            <w:tcW w:type="dxa" w:w="312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IR (naive √N)</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0.210</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
            </w:r>
          </w:p>
        </w:tc>
      </w:tr>
      <w:tr>
        <w:tc>
          <w:tcPr>
            <w:tcW w:type="dxa" w:w="312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IR (correlation-adjusted N_eff)</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0.171</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Target: &gt; 0.30 for deployment</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120" w:before="80"/>
        <w:jc w:val="left"/>
      </w:pPr>
      <w:r>
        <w:rPr>
          <w:rFonts w:ascii="Arial" w:cs="Arial" w:eastAsia="Arial" w:hAnsi="Arial"/>
          <w:b w:val="false"/>
          <w:bCs w:val="false"/>
          <w:i w:val="false"/>
          <w:iCs w:val="false"/>
          <w:color w:val="1C2B3A"/>
          <w:sz w:val="20"/>
          <w:szCs w:val="20"/>
        </w:rPr>
        <w:t xml:space="preserve">Key finding: N_eff / N = 0.67, meaning the stack retains two-thirds of its theoretical diversification benefit. Two high-correlation pairs were identified — Bollinger_Pct_B ↔ Momentum_21d (0.734) and SOX_Relative ↔ SPX_Relative (0.842) — which depress N_eff below the raw signal count. After culling, the post-cull stack of 7 signals with better independence should improve N_eff/N toward 0.80+.</w:t>
      </w:r>
    </w:p>
    <w:p>
      <w:pPr>
        <w:pStyle w:val="Heading1"/>
        <w:pBdr>
          <w:bottom w:val="single" w:color="0D7377" w:sz="8" w:space="4"/>
        </w:pBdr>
        <w:spacing w:after="120" w:before="360"/>
      </w:pPr>
      <w:r>
        <w:rPr>
          <w:rFonts w:ascii="Arial" w:cs="Arial" w:eastAsia="Arial" w:hAnsi="Arial"/>
          <w:b/>
          <w:bCs/>
          <w:color w:val="1B2A4A"/>
          <w:sz w:val="32"/>
          <w:szCs w:val="32"/>
        </w:rPr>
        <w:t xml:space="preserve">2. Signal Verdict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800"/>
        <w:gridCol w:w="800"/>
        <w:gridCol w:w="800"/>
        <w:gridCol w:w="800"/>
        <w:gridCol w:w="2160"/>
      </w:tblGrid>
      <w:tr>
        <w:tc>
          <w:tcPr>
            <w:tcW w:type="dxa" w:w="24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6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8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 H</w:t>
            </w:r>
          </w:p>
        </w:tc>
        <w:tc>
          <w:tcPr>
            <w:tcW w:type="dxa" w:w="8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8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w:t>
            </w:r>
          </w:p>
        </w:tc>
        <w:tc>
          <w:tcPr>
            <w:tcW w:type="dxa" w:w="8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Verdict</w:t>
            </w:r>
          </w:p>
        </w:tc>
        <w:tc>
          <w:tcPr>
            <w:tcW w:type="dxa" w:w="21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SMA200_Distance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0.1306</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60%</w:t>
            </w:r>
          </w:p>
        </w:tc>
        <w:tc>
          <w:tcPr>
            <w:tcW w:type="dxa" w:w="800"/>
            <w:tcBorders>
              <w:top w:val="single" w:color="BFCCD9" w:sz="1"/>
              <w:left w:val="single" w:color="BFCCD9" w:sz="1"/>
              <w:bottom w:val="single" w:color="BFCCD9" w:sz="1"/>
              <w:right w:val="single" w:color="BFCCD9" w:sz="1"/>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KEEP</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Split by ticker — sign reversal detected</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Momentum_21d</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0.1004</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60%</w:t>
            </w:r>
          </w:p>
        </w:tc>
        <w:tc>
          <w:tcPr>
            <w:tcW w:type="dxa" w:w="800"/>
            <w:tcBorders>
              <w:top w:val="single" w:color="BFCCD9" w:sz="1"/>
              <w:left w:val="single" w:color="BFCCD9" w:sz="1"/>
              <w:bottom w:val="single" w:color="BFCCD9" w:sz="1"/>
              <w:right w:val="single" w:color="BFCCD9" w:sz="1"/>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KEEP</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Strongest consistent directional signal</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EMA_Cross_9_21</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0.0921</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60%</w:t>
            </w:r>
          </w:p>
        </w:tc>
        <w:tc>
          <w:tcPr>
            <w:tcW w:type="dxa" w:w="800"/>
            <w:tcBorders>
              <w:top w:val="single" w:color="BFCCD9" w:sz="1"/>
              <w:left w:val="single" w:color="BFCCD9" w:sz="1"/>
              <w:bottom w:val="single" w:color="BFCCD9" w:sz="1"/>
              <w:right w:val="single" w:color="BFCCD9" w:sz="1"/>
            </w:tcBorders>
            <w:shd w:fill="E8F5EE" w:val="clear"/>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KEEP</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Clean directional signal, low correlation with momentum</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Bollinger_Pct_B</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0.0727</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80%</w:t>
            </w:r>
          </w:p>
        </w:tc>
        <w:tc>
          <w:tcPr>
            <w:tcW w:type="dxa" w:w="800"/>
            <w:tcBorders>
              <w:top w:val="single" w:color="BFCCD9" w:sz="1"/>
              <w:left w:val="single" w:color="BFCCD9" w:sz="1"/>
              <w:bottom w:val="single" w:color="BFCCD9" w:sz="1"/>
              <w:right w:val="single" w:color="BFCCD9"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REVIEW</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Redundant with Momentum_21d (corr=0.734)</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Momentum_10d</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0.0652</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40%</w:t>
            </w:r>
          </w:p>
        </w:tc>
        <w:tc>
          <w:tcPr>
            <w:tcW w:type="dxa" w:w="800"/>
            <w:tcBorders>
              <w:top w:val="single" w:color="BFCCD9" w:sz="1"/>
              <w:left w:val="single" w:color="BFCCD9" w:sz="1"/>
              <w:bottom w:val="single" w:color="BFCCD9" w:sz="1"/>
              <w:right w:val="single" w:color="BFCCD9"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REVIEW</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Partially redundant with Momentum_21d (corr=0.649)</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VIX_Regime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10d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0.0638</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40%</w:t>
            </w:r>
          </w:p>
        </w:tc>
        <w:tc>
          <w:tcPr>
            <w:tcW w:type="dxa" w:w="800"/>
            <w:tcBorders>
              <w:top w:val="single" w:color="BFCCD9" w:sz="1"/>
              <w:left w:val="single" w:color="BFCCD9" w:sz="1"/>
              <w:bottom w:val="single" w:color="BFCCD9" w:sz="1"/>
              <w:right w:val="single" w:color="BFCCD9"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REVIEW</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Negative mean IC — acts as inverse filter</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Volume_Surge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10d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0.0433</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40%</w:t>
            </w:r>
          </w:p>
        </w:tc>
        <w:tc>
          <w:tcPr>
            <w:tcW w:type="dxa" w:w="800"/>
            <w:tcBorders>
              <w:top w:val="single" w:color="BFCCD9" w:sz="1"/>
              <w:left w:val="single" w:color="BFCCD9" w:sz="1"/>
              <w:bottom w:val="single" w:color="BFCCD9" w:sz="1"/>
              <w:right w:val="single" w:color="BFCCD9"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REVIEW</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Significant only for AEHR and LITE at 10-day horizon</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Momentum_5d</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B2A4A"/>
                <w:sz w:val="18"/>
                <w:szCs w:val="18"/>
              </w:rPr>
              <w:t xml:space="preserve">Price</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0.0450</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40%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Dominated by Momentum_10d and 21d (corr=0.684 with 10d)</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TNX_Change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0.0446</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Zero statistical significance across all tickers at all horizons</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Oil_Change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10d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0.0365</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Negative IC across all tickers, zero significance</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SPX_Relative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0.0248</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Near-zero IC, highly correlated with SOX_Relative (0.842)</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SOX_Relative</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0.0248</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Near-zero IC at all horizons</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VIX_Change_1d</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5d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0.0220</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Weakest signal in stack, zero significance</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SOX_vs_SPX</w:t>
            </w:r>
          </w:p>
        </w:tc>
        <w:tc>
          <w:tcPr>
            <w:tcW w:type="dxa" w:w="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0D7377"/>
                <w:sz w:val="18"/>
                <w:szCs w:val="18"/>
              </w:rPr>
              <w:t xml:space="preserve">Macro</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1d</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0.0194</w:t>
            </w:r>
          </w:p>
        </w:tc>
        <w:tc>
          <w:tcPr>
            <w:tcW w:type="dxa" w:w="8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w:t>
            </w:r>
          </w:p>
        </w:tc>
        <w:tc>
          <w:tcPr>
            <w:tcW w:type="dxa" w:w="800"/>
            <w:tcBorders>
              <w:top w:val="single" w:color="BFCCD9" w:sz="1"/>
              <w:left w:val="single" w:color="BFCCD9" w:sz="1"/>
              <w:bottom w:val="single" w:color="BFCCD9" w:sz="1"/>
              <w:right w:val="single" w:color="BFCCD9"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CULL</w:t>
            </w:r>
          </w:p>
        </w:tc>
        <w:tc>
          <w:tcPr>
            <w:tcW w:type="dxa" w:w="21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 IC, correlated with VIX_Change_1d (0.413)</w:t>
            </w:r>
          </w:p>
        </w:tc>
      </w:tr>
    </w:tbl>
    <w:p>
      <w:pPr>
        <w:spacing w:after="80" w:before="80"/>
        <w:jc w:val="left"/>
      </w:pPr>
      <w:r>
        <w:rPr>
          <w:rFonts w:ascii="Arial" w:cs="Arial" w:eastAsia="Arial" w:hAnsi="Arial"/>
          <w:b w:val="false"/>
          <w:bCs w:val="false"/>
          <w:i w:val="false"/>
          <w:iCs w:val="false"/>
          <w:color w:val="1C2B3A"/>
          <w:sz w:val="20"/>
          <w:szCs w:val="20"/>
        </w:rPr>
        <w:t xml:space="preserve"/>
      </w:r>
    </w:p>
    <w:p>
      <w:pPr>
        <w:pStyle w:val="Heading1"/>
        <w:pBdr>
          <w:bottom w:val="single" w:color="0D7377" w:sz="8" w:space="4"/>
        </w:pBdr>
        <w:spacing w:after="120" w:before="360"/>
      </w:pPr>
      <w:r>
        <w:rPr>
          <w:rFonts w:ascii="Arial" w:cs="Arial" w:eastAsia="Arial" w:hAnsi="Arial"/>
          <w:b/>
          <w:bCs/>
          <w:color w:val="1B2A4A"/>
          <w:sz w:val="32"/>
          <w:szCs w:val="32"/>
        </w:rPr>
        <w:t xml:space="preserve">3. Per-Signal Analysis</w:t>
      </w:r>
    </w:p>
    <w:p>
      <w:pPr>
        <w:pStyle w:val="Heading2"/>
        <w:spacing w:after="80" w:before="280"/>
      </w:pPr>
      <w:r>
        <w:rPr>
          <w:rFonts w:ascii="Arial" w:cs="Arial" w:eastAsia="Arial" w:hAnsi="Arial"/>
          <w:b/>
          <w:bCs/>
          <w:color w:val="0D7377"/>
          <w:sz w:val="24"/>
          <w:szCs w:val="24"/>
        </w:rPr>
        <w:t xml:space="preserve">SMA200_Distance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0.1306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60%  </w:t>
      </w:r>
      <w:r>
        <w:rPr>
          <w:rFonts w:ascii="Arial" w:cs="Arial" w:eastAsia="Arial" w:hAnsi="Arial"/>
          <w:b/>
          <w:bCs/>
          <w:color w:val="4A5568"/>
          <w:sz w:val="18"/>
          <w:szCs w:val="18"/>
        </w:rPr>
        <w:t xml:space="preserve">  Verdict: </w:t>
      </w:r>
      <w:r>
        <w:rPr>
          <w:rFonts w:ascii="Arial" w:cs="Arial" w:eastAsia="Arial" w:hAnsi="Arial"/>
          <w:b/>
          <w:bCs/>
          <w:color w:val="1A7A4A"/>
          <w:sz w:val="18"/>
          <w:szCs w:val="18"/>
        </w:rPr>
        <w:t xml:space="preserve">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-0.1592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-0.0488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0.1549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0.0243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0.4791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0.2631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-0.1576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Highest absolute IC in the stack (0.131) but with a critical caveat: LITE exhibits strong positive IC (+0.263, p&lt;0.0001), indicating momentum continuation when price is extended above the 200-day SMA. AAOI and IPGP show strong negative IC (-0.159, -0.158), indicating mean reversion. AEHR and COHR are noise. This signal must not be pooled — it requires ticker-specific scoring with opposite sign for LITE versus AAOI/IPGP. The LITE divergence likely reflects its structural AI datacom revenue inflection driving a sustained uptrend regime.</w:t>
      </w:r>
    </w:p>
    <w:p>
      <w:pPr>
        <w:pBdr>
          <w:left w:val="single" w:color="1A7A4A" w:sz="12" w:space="4"/>
        </w:pBdr>
        <w:shd w:fill="E8F5EE" w:val="clear"/>
        <w:spacing w:after="120" w:before="40"/>
      </w:pPr>
      <w:r>
        <w:rPr>
          <w:rFonts w:ascii="Arial" w:cs="Arial" w:eastAsia="Arial" w:hAnsi="Arial"/>
          <w:b/>
          <w:bCs/>
          <w:color w:val="1A7A4A"/>
          <w:sz w:val="19"/>
          <w:szCs w:val="19"/>
        </w:rPr>
        <w:t xml:space="preserve">Action:  </w:t>
      </w:r>
      <w:r>
        <w:rPr>
          <w:rFonts w:ascii="Arial" w:cs="Arial" w:eastAsia="Arial" w:hAnsi="Arial"/>
          <w:color w:val="1C2B3A"/>
          <w:sz w:val="19"/>
          <w:szCs w:val="19"/>
        </w:rPr>
        <w:t xml:space="preserve">Keep as ticker-specific signal. Score LITE with positive weight, AAOI/IPGP with negative weight at 21-day horizon. Exclude AEHR and COHR from this signal.</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Momentum_21d</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0.1004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60%  </w:t>
      </w:r>
      <w:r>
        <w:rPr>
          <w:rFonts w:ascii="Arial" w:cs="Arial" w:eastAsia="Arial" w:hAnsi="Arial"/>
          <w:b/>
          <w:bCs/>
          <w:color w:val="4A5568"/>
          <w:sz w:val="18"/>
          <w:szCs w:val="18"/>
        </w:rPr>
        <w:t xml:space="preserve">  Verdict: </w:t>
      </w:r>
      <w:r>
        <w:rPr>
          <w:rFonts w:ascii="Arial" w:cs="Arial" w:eastAsia="Arial" w:hAnsi="Arial"/>
          <w:b/>
          <w:bCs/>
          <w:color w:val="1A7A4A"/>
          <w:sz w:val="18"/>
          <w:szCs w:val="18"/>
        </w:rPr>
        <w:t xml:space="preserve">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0.1099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0.1308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-0.0196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0.5294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0.2125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0.0293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0.3484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Mean |IC| of 0.100 with consistent positive direction across AAOI, COHR, and LITE — all statistically significant. The 21-day window captures the monthly trend cycle relevant to AI photonics capex news flow. AEHR and IPGP contribute no signal at this horizon. IC builds monotonically from 1-day to 21-day horizon for LITE and COHR, confirming this is a genuine momentum effect, not noise. Correlation with Bollinger_Pct_B is high (0.734) — see redundancy note.</w:t>
      </w:r>
    </w:p>
    <w:p>
      <w:pPr>
        <w:pBdr>
          <w:left w:val="single" w:color="1A7A4A" w:sz="12" w:space="4"/>
        </w:pBdr>
        <w:shd w:fill="E8F5EE" w:val="clear"/>
        <w:spacing w:after="120" w:before="40"/>
      </w:pPr>
      <w:r>
        <w:rPr>
          <w:rFonts w:ascii="Arial" w:cs="Arial" w:eastAsia="Arial" w:hAnsi="Arial"/>
          <w:b/>
          <w:bCs/>
          <w:color w:val="1A7A4A"/>
          <w:sz w:val="19"/>
          <w:szCs w:val="19"/>
        </w:rPr>
        <w:t xml:space="preserve">Action:  </w:t>
      </w:r>
      <w:r>
        <w:rPr>
          <w:rFonts w:ascii="Arial" w:cs="Arial" w:eastAsia="Arial" w:hAnsi="Arial"/>
          <w:color w:val="1C2B3A"/>
          <w:sz w:val="19"/>
          <w:szCs w:val="19"/>
        </w:rPr>
        <w:t xml:space="preserve">Keep. Primary momentum signal for AAOI, COHR, LITE at 21-day horizon. Check redundancy against Bollinger_Pct_B before assigning full independent weight.</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EMA_Cross_9_21</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0.0921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60%  </w:t>
      </w:r>
      <w:r>
        <w:rPr>
          <w:rFonts w:ascii="Arial" w:cs="Arial" w:eastAsia="Arial" w:hAnsi="Arial"/>
          <w:b/>
          <w:bCs/>
          <w:color w:val="4A5568"/>
          <w:sz w:val="18"/>
          <w:szCs w:val="18"/>
        </w:rPr>
        <w:t xml:space="preserve">  Verdict: </w:t>
      </w:r>
      <w:r>
        <w:rPr>
          <w:rFonts w:ascii="Arial" w:cs="Arial" w:eastAsia="Arial" w:hAnsi="Arial"/>
          <w:b/>
          <w:bCs/>
          <w:color w:val="1A7A4A"/>
          <w:sz w:val="18"/>
          <w:szCs w:val="18"/>
        </w:rPr>
        <w:t xml:space="preserve">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0.0930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0.0026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0.1191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0.0032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0.9163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0.2340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0.0110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0.7229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Mean |IC| of 0.092, directionally consistent (all positive), and statistically significant for AAOI, COHR, and LITE. Importantly, correlation with Momentum_21d is only 0.052 — these are genuinely independent signals despite both being trend-following in nature. EMA Cross captures short-term trend initiation (fast EMA crossing slow), while Momentum_21d captures sustained trend persistence. They fire at different points in the price cycle. AEHR and IPGP again contribute nothing.</w:t>
      </w:r>
    </w:p>
    <w:p>
      <w:pPr>
        <w:pBdr>
          <w:left w:val="single" w:color="1A7A4A" w:sz="12" w:space="4"/>
        </w:pBdr>
        <w:shd w:fill="E8F5EE" w:val="clear"/>
        <w:spacing w:after="120" w:before="40"/>
      </w:pPr>
      <w:r>
        <w:rPr>
          <w:rFonts w:ascii="Arial" w:cs="Arial" w:eastAsia="Arial" w:hAnsi="Arial"/>
          <w:b/>
          <w:bCs/>
          <w:color w:val="1A7A4A"/>
          <w:sz w:val="19"/>
          <w:szCs w:val="19"/>
        </w:rPr>
        <w:t xml:space="preserve">Action:  </w:t>
      </w:r>
      <w:r>
        <w:rPr>
          <w:rFonts w:ascii="Arial" w:cs="Arial" w:eastAsia="Arial" w:hAnsi="Arial"/>
          <w:color w:val="1C2B3A"/>
          <w:sz w:val="19"/>
          <w:szCs w:val="19"/>
        </w:rPr>
        <w:t xml:space="preserve">Keep as independent signal alongside Momentum_21d. Apply to AAOI, COHR, LITE only.</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Bollinger_Pct_B</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0.0727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80%  </w:t>
      </w:r>
      <w:r>
        <w:rPr>
          <w:rFonts w:ascii="Arial" w:cs="Arial" w:eastAsia="Arial" w:hAnsi="Arial"/>
          <w:b/>
          <w:bCs/>
          <w:color w:val="4A5568"/>
          <w:sz w:val="18"/>
          <w:szCs w:val="18"/>
        </w:rPr>
        <w:t xml:space="preserve">  Verdict: </w:t>
      </w:r>
      <w:r>
        <w:rPr>
          <w:rFonts w:ascii="Arial" w:cs="Arial" w:eastAsia="Arial" w:hAnsi="Arial"/>
          <w:b/>
          <w:bCs/>
          <w:color w:val="B8860B"/>
          <w:sz w:val="18"/>
          <w:szCs w:val="18"/>
        </w:rP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0.0885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0.0045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0.0834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0.0074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-0.0649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0.0373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0.1181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-0.0082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0.7916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Highest Pct_Sig of any signal (80%) and statistically significant across 4 of 5 tickers. However, correlation with Momentum_21d is 0.734 — above the redundancy threshold of 0.70. These two signals are largely capturing the same phenomenon: extended price above its recent average. Including both in the stack at equal weight effectively doubles exposure to a single factor. The combination engine would assign near-zero independent weight to whichever ranks lower in the residual regression (Step 9 of the 11-step procedure).</w:t>
      </w:r>
    </w:p>
    <w:p>
      <w:pPr>
        <w:pBdr>
          <w:left w:val="single" w:color="B8860B" w:sz="12" w:space="4"/>
        </w:pBdr>
        <w:shd w:fill="FFF8E1" w:val="clear"/>
        <w:spacing w:after="120" w:before="40"/>
      </w:pPr>
      <w:r>
        <w:rPr>
          <w:rFonts w:ascii="Arial" w:cs="Arial" w:eastAsia="Arial" w:hAnsi="Arial"/>
          <w:b/>
          <w:bCs/>
          <w:color w:val="B8860B"/>
          <w:sz w:val="19"/>
          <w:szCs w:val="19"/>
        </w:rPr>
        <w:t xml:space="preserve">Action:  </w:t>
      </w:r>
      <w:r>
        <w:rPr>
          <w:rFonts w:ascii="Arial" w:cs="Arial" w:eastAsia="Arial" w:hAnsi="Arial"/>
          <w:color w:val="1C2B3A"/>
          <w:sz w:val="19"/>
          <w:szCs w:val="19"/>
        </w:rPr>
        <w:t xml:space="preserve">Review. If Momentum_21d is in the stack, Bollinger_Pct_B adds marginal independent information. Consider using only in tickers where Momentum_21d is weakest (AEHR shows negative IC here, which is informative contrast). Do not assign full independent weight.</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Momentum_10d</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0.0652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40%  </w:t>
      </w:r>
      <w:r>
        <w:rPr>
          <w:rFonts w:ascii="Arial" w:cs="Arial" w:eastAsia="Arial" w:hAnsi="Arial"/>
          <w:b/>
          <w:bCs/>
          <w:color w:val="4A5568"/>
          <w:sz w:val="18"/>
          <w:szCs w:val="18"/>
        </w:rPr>
        <w:t xml:space="preserve">  Verdict: </w:t>
      </w:r>
      <w:r>
        <w:rPr>
          <w:rFonts w:ascii="Arial" w:cs="Arial" w:eastAsia="Arial" w:hAnsi="Arial"/>
          <w:b/>
          <w:bCs/>
          <w:color w:val="B8860B"/>
          <w:sz w:val="18"/>
          <w:szCs w:val="18"/>
        </w:rP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0.0538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0.0830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0.0794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0.0105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-0.0597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0.0544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0.1229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0.7486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Weaker than Momentum_21d across all metrics but correlation between them is 0.649 — below the hard redundancy threshold but still meaningfully correlated. The 10-day window adds some independent information about medium-term momentum that the 21-day window lags. Only COHR and LITE reach significance. The 10d signal is useful as a faster-responding complement but not as a standalone.</w:t>
      </w:r>
    </w:p>
    <w:p>
      <w:pPr>
        <w:pBdr>
          <w:left w:val="single" w:color="B8860B" w:sz="12" w:space="4"/>
        </w:pBdr>
        <w:shd w:fill="FFF8E1" w:val="clear"/>
        <w:spacing w:after="120" w:before="40"/>
      </w:pPr>
      <w:r>
        <w:rPr>
          <w:rFonts w:ascii="Arial" w:cs="Arial" w:eastAsia="Arial" w:hAnsi="Arial"/>
          <w:b/>
          <w:bCs/>
          <w:color w:val="B8860B"/>
          <w:sz w:val="19"/>
          <w:szCs w:val="19"/>
        </w:rPr>
        <w:t xml:space="preserve">Action:  </w:t>
      </w:r>
      <w:r>
        <w:rPr>
          <w:rFonts w:ascii="Arial" w:cs="Arial" w:eastAsia="Arial" w:hAnsi="Arial"/>
          <w:color w:val="1C2B3A"/>
          <w:sz w:val="19"/>
          <w:szCs w:val="19"/>
        </w:rPr>
        <w:t xml:space="preserve">Review. Retain as secondary momentum input with reduced weight. Most useful for COHR and LITE. Consider combining 10d and 21d into a single composite momentum score rather than treating as fully independent signals.</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VIX_Regime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10d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0.0638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40%  </w:t>
      </w:r>
      <w:r>
        <w:rPr>
          <w:rFonts w:ascii="Arial" w:cs="Arial" w:eastAsia="Arial" w:hAnsi="Arial"/>
          <w:b/>
          <w:bCs/>
          <w:color w:val="4A5568"/>
          <w:sz w:val="18"/>
          <w:szCs w:val="18"/>
        </w:rPr>
        <w:t xml:space="preserve">  Verdict: </w:t>
      </w:r>
      <w:r>
        <w:rPr>
          <w:rFonts w:ascii="Arial" w:cs="Arial" w:eastAsia="Arial" w:hAnsi="Arial"/>
          <w:b/>
          <w:bCs/>
          <w:color w:val="B8860B"/>
          <w:sz w:val="18"/>
          <w:szCs w:val="18"/>
        </w:rP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-0.0272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0.3764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-0.0263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0.3927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-0.1420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-0.0382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0.2144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-0.0856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0.0053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Mean IC is negative (-0.064), meaning the risk-on regime (VIX&lt;20) does not reliably predict positive returns for this sector over a 10-day window. AEHR shows the strongest signal (-0.142) — paradoxically, when VIX is low (risk-on), AEHR underperforms over the following 10 days. This is counterintuitive and may reflect AEHR's idiosyncratic business cycle (semiconductor test equipment) decoupling from broad risk-on/off regimes. As a binary gate, VIX Regime suppresses positions during elevated vol, which has defensive value even if the directional IC is weak.</w:t>
      </w:r>
    </w:p>
    <w:p>
      <w:pPr>
        <w:pBdr>
          <w:left w:val="single" w:color="B8860B" w:sz="12" w:space="4"/>
        </w:pBdr>
        <w:shd w:fill="FFF8E1" w:val="clear"/>
        <w:spacing w:after="120" w:before="40"/>
      </w:pPr>
      <w:r>
        <w:rPr>
          <w:rFonts w:ascii="Arial" w:cs="Arial" w:eastAsia="Arial" w:hAnsi="Arial"/>
          <w:b/>
          <w:bCs/>
          <w:color w:val="B8860B"/>
          <w:sz w:val="19"/>
          <w:szCs w:val="19"/>
        </w:rPr>
        <w:t xml:space="preserve">Action:  </w:t>
      </w:r>
      <w:r>
        <w:rPr>
          <w:rFonts w:ascii="Arial" w:cs="Arial" w:eastAsia="Arial" w:hAnsi="Arial"/>
          <w:color w:val="1C2B3A"/>
          <w:sz w:val="19"/>
          <w:szCs w:val="19"/>
        </w:rPr>
        <w:t xml:space="preserve">Demote from scored signal to portfolio-level filter. Use as position sizing modifier: reduce gross exposure when VIX &gt; 20, do not use as a directional alpha signal.</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Volume_Surge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10d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0.0433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40%  </w:t>
      </w:r>
      <w:r>
        <w:rPr>
          <w:rFonts w:ascii="Arial" w:cs="Arial" w:eastAsia="Arial" w:hAnsi="Arial"/>
          <w:b/>
          <w:bCs/>
          <w:color w:val="4A5568"/>
          <w:sz w:val="18"/>
          <w:szCs w:val="18"/>
        </w:rPr>
        <w:t xml:space="preserve">  Verdict: </w:t>
      </w:r>
      <w:r>
        <w:rPr>
          <w:rFonts w:ascii="Arial" w:cs="Arial" w:eastAsia="Arial" w:hAnsi="Arial"/>
          <w:b/>
          <w:bCs/>
          <w:color w:val="B8860B"/>
          <w:sz w:val="18"/>
          <w:szCs w:val="18"/>
        </w:rP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0.0094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0.7600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-0.0284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0.3572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0.0687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0.0259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0.0636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0.0394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0.0462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0.1344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Volume surge shows selective utility — significant only for AEHR and LITE, flat or negative for AAOI and COHR. This likely reflects liquidity differences: AAOI trades &gt;10M shares on active days so volume surge is less informative, while AEHR and LITE have more meaningful volume thresholds. The 10-day optimal horizon suggests volume surge predicts sustained participation rather than an immediate price reaction. Correlation with all other signals is near zero — this is genuinely independent.</w:t>
      </w:r>
    </w:p>
    <w:p>
      <w:pPr>
        <w:pBdr>
          <w:left w:val="single" w:color="B8860B" w:sz="12" w:space="4"/>
        </w:pBdr>
        <w:shd w:fill="FFF8E1" w:val="clear"/>
        <w:spacing w:after="120" w:before="40"/>
      </w:pPr>
      <w:r>
        <w:rPr>
          <w:rFonts w:ascii="Arial" w:cs="Arial" w:eastAsia="Arial" w:hAnsi="Arial"/>
          <w:b/>
          <w:bCs/>
          <w:color w:val="B8860B"/>
          <w:sz w:val="19"/>
          <w:szCs w:val="19"/>
        </w:rPr>
        <w:t xml:space="preserve">Action:  </w:t>
      </w:r>
      <w:r>
        <w:rPr>
          <w:rFonts w:ascii="Arial" w:cs="Arial" w:eastAsia="Arial" w:hAnsi="Arial"/>
          <w:color w:val="1C2B3A"/>
          <w:sz w:val="19"/>
          <w:szCs w:val="19"/>
        </w:rPr>
        <w:t xml:space="preserve">Review. Keep as AEHR- and LITE-specific signal only. Apply 0 weight for AAOI and COHR. Independence is strong — does not dilute N_eff significantly.</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Momentum_5d</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Price/Technical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0.0450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40%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0.3335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0.0361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0.2436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-0.0836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0.0069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Bearish / mean-reversion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1A7A4A"/>
                <w:sz w:val="18"/>
                <w:szCs w:val="18"/>
              </w:rPr>
              <w:t xml:space="preserve">0.0688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0.0263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Yes *</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Bullish signal confirmed</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-0.0066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0.8319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Weakest momentum window with highest internal variance (sign reversal between AEHR and LITE). Correlation with Momentum_10d is 0.684 — it contributes minimal independent information while adding noise. The 5-day window is too short for this sector where news cycles and earnings move stocks over weeks, not days. IC does not build with horizon — it peaks inconsistently. The 40% Pct_Sig masks the fact that significant results point in opposite directions across tickers.</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 Replaced by Momentum_10d which captures the same short-term effect with better IC and less noise.</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TNX_Change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21d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0.0446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0.0459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0.1373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A7A4A"/>
                <w:sz w:val="18"/>
                <w:szCs w:val="18"/>
              </w:rPr>
              <w:t xml:space="preserve">0.0529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0.0867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0.0480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0.1201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0.0475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0.1245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0.0284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0.3582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IC values cluster uniformly around 0.045 across all tickers — suspiciously consistent, suggesting the signal is capturing shared macro noise rather than ticker-specific predictability. Not a single ticker reaches p&lt;0.05 at any horizon. The theoretical case for rates affecting photonics growth multiples is sound, but daily rate changes are too noisy to carry that signal. Institutional research suggests rates work as a regime condition (level of rates) rather than a directional predictor (change in rates).</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 as standalone signal. Reconstitute in v2 as a regime condition: use TNX level (above/below 4.5%) rather than daily change as an interaction term with momentum signals.</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Oil_Change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10d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0.0365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-0.0425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0.1671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-0.0145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0.6377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-0.0571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0.0633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-0.0239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0.4378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-0.0447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0.1460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Consistent negative IC across all tickers suggests oil rising is modestly negative for photonics returns, potentially through energy cost and broad risk-off channels. However, no ticker reaches significance. The relationship noted in morning watchlist analysis — oil surging +7.95% while photonics rallied — reflects a shared macro catalyst (tariff pause) rather than a predictive relationship between oil and photonics. At daily frequency, oil is not a useful directional input for this sector.</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 The directional intuition (oil up = headwind) has merit theoretically but cannot be measured at daily frequency with this data. Revisit with intraday data or as macro regime context in v2.</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SPX_Relative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0.0248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-0.0313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0.3074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0.0100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0.7433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-0.0204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0.5049</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-0.0410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0.1801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0.0215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0.4834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No signal. Additionally, SPX_Relative and SOX_Relative have correlation of 0.842 — they are measuring nearly the same thing (outperformance vs. a broad index). This makes intuitive sense: when photonics outperforms the S&amp;P, it almost always outperforms the SOX as well since the SOX heavily influences the S&amp;P in tech-heavy regimes. One of the two must be removed even if IC recovers.</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 Remove entirely from stack. SOX_Relative is the better relative benchmark if relative strength ever shows IC — photonics is a semiconductor subsector, not an S&amp;P 500 substitute.</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SOX_Relative</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0.0248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-0.0371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0.2253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-0.0130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0.6713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-0.0117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0.7033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-0.0487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0.1115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0.0135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0.6595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Zero IC, zero significance. SOX relative strength does not predict next-day or multi-day returns within this photonics universe. The sector moves together with semis broadly, meaning relative strength vs. SOX is near-zero by construction — these names ARE the semiconductor sector on their specific subsector catalyst days. Sector rotation signals require broader cross-sector data to be meaningful.</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VIX_Change_1d</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5d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0.0220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-0.0287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0.3494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-0.0044</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0.8850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-0.0261</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0.3948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-0.0196</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0.5223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-0.0312</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0.3093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Lowest IC in the stack. Daily VIX changes are mean-reverting and inherently noisy. A single day of VIX movement provides almost no forward information for individual photonics names over a 5-day window. The -18% VIX move observed in the initial watchlist analysis appeared predictive because it coincided with a macro catalyst (tariff pause) — the VIX move was a symptom, not a cause.</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 The signal you observed in real-time was the macro catalyst, not the VIX change itself.</w:t>
      </w:r>
    </w:p>
    <w:p>
      <w:pPr>
        <w:pBdr>
          <w:bottom w:val="single" w:color="D5E0EC" w:sz="2" w:space="1"/>
        </w:pBdr>
        <w:spacing w:after="40" w:before="40"/>
      </w:pPr>
      <w:r>
        <w:t xml:space="preserve"/>
      </w:r>
    </w:p>
    <w:p>
      <w:pPr>
        <w:pStyle w:val="Heading2"/>
        <w:spacing w:after="80" w:before="280"/>
      </w:pPr>
      <w:r>
        <w:rPr>
          <w:rFonts w:ascii="Arial" w:cs="Arial" w:eastAsia="Arial" w:hAnsi="Arial"/>
          <w:b/>
          <w:bCs/>
          <w:color w:val="0D7377"/>
          <w:sz w:val="24"/>
          <w:szCs w:val="24"/>
        </w:rPr>
        <w:t xml:space="preserve">SOX_vs_SPX</w:t>
      </w:r>
    </w:p>
    <w:p>
      <w:pPr>
        <w:spacing w:after="80" w:before="40"/>
      </w:pPr>
      <w:r>
        <w:rPr>
          <w:rFonts w:ascii="Arial" w:cs="Arial" w:eastAsia="Arial" w:hAnsi="Arial"/>
          <w:b/>
          <w:bCs/>
          <w:color w:val="4A5568"/>
          <w:sz w:val="18"/>
          <w:szCs w:val="18"/>
        </w:rPr>
        <w:t xml:space="preserve">Tier: </w:t>
      </w:r>
      <w:r>
        <w:rPr>
          <w:rFonts w:ascii="Arial" w:cs="Arial" w:eastAsia="Arial" w:hAnsi="Arial"/>
          <w:color w:val="4A5568"/>
          <w:sz w:val="18"/>
          <w:szCs w:val="18"/>
        </w:rPr>
        <w:t xml:space="preserve">Macro  </w:t>
      </w:r>
      <w:r>
        <w:rPr>
          <w:rFonts w:ascii="Arial" w:cs="Arial" w:eastAsia="Arial" w:hAnsi="Arial"/>
          <w:b/>
          <w:bCs/>
          <w:color w:val="4A5568"/>
          <w:sz w:val="18"/>
          <w:szCs w:val="18"/>
        </w:rPr>
        <w:t xml:space="preserve">  Optimal Horizon: </w:t>
      </w:r>
      <w:r>
        <w:rPr>
          <w:rFonts w:ascii="Arial" w:cs="Arial" w:eastAsia="Arial" w:hAnsi="Arial"/>
          <w:color w:val="4A5568"/>
          <w:sz w:val="18"/>
          <w:szCs w:val="18"/>
        </w:rPr>
        <w:t xml:space="preserve">1d  </w:t>
      </w:r>
      <w:r>
        <w:rPr>
          <w:rFonts w:ascii="Arial" w:cs="Arial" w:eastAsia="Arial" w:hAnsi="Arial"/>
          <w:b/>
          <w:bCs/>
          <w:color w:val="4A5568"/>
          <w:sz w:val="18"/>
          <w:szCs w:val="18"/>
        </w:rPr>
        <w:t xml:space="preserve">  Mean |IC|: </w:t>
      </w:r>
      <w:r>
        <w:rPr>
          <w:rFonts w:ascii="Arial" w:cs="Arial" w:eastAsia="Arial" w:hAnsi="Arial"/>
          <w:color w:val="4A5568"/>
          <w:sz w:val="18"/>
          <w:szCs w:val="18"/>
        </w:rPr>
        <w:t xml:space="preserve">0.0194  </w:t>
      </w:r>
      <w:r>
        <w:rPr>
          <w:rFonts w:ascii="Arial" w:cs="Arial" w:eastAsia="Arial" w:hAnsi="Arial"/>
          <w:b/>
          <w:bCs/>
          <w:color w:val="4A5568"/>
          <w:sz w:val="18"/>
          <w:szCs w:val="18"/>
        </w:rPr>
        <w:t xml:space="preserve">  Sig%: </w:t>
      </w:r>
      <w:r>
        <w:rPr>
          <w:rFonts w:ascii="Arial" w:cs="Arial" w:eastAsia="Arial" w:hAnsi="Arial"/>
          <w:color w:val="4A5568"/>
          <w:sz w:val="18"/>
          <w:szCs w:val="18"/>
        </w:rPr>
        <w:t xml:space="preserve">0%  </w:t>
      </w:r>
      <w:r>
        <w:rPr>
          <w:rFonts w:ascii="Arial" w:cs="Arial" w:eastAsia="Arial" w:hAnsi="Arial"/>
          <w:b/>
          <w:bCs/>
          <w:color w:val="4A5568"/>
          <w:sz w:val="18"/>
          <w:szCs w:val="18"/>
        </w:rPr>
        <w:t xml:space="preserve">  Verdict: </w:t>
      </w:r>
      <w:r>
        <w:rPr>
          <w:rFonts w:ascii="Arial" w:cs="Arial" w:eastAsia="Arial" w:hAnsi="Arial"/>
          <w:b/>
          <w:bCs/>
          <w:color w:val="C0392B"/>
          <w:sz w:val="18"/>
          <w:szCs w:val="18"/>
        </w:rPr>
        <w:t xml:space="preserve">CULL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Ticker</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p-value</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 (p&lt;0.05)</w:t>
            </w:r>
          </w:p>
        </w:tc>
        <w:tc>
          <w:tcPr>
            <w:tcW w:type="dxa" w:w="312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Interpretation</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AAOI</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-0.0138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0.6515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COHR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0.0218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0.4765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AEHR</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-0.0423</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0.1670</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LITE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-0.0125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0.6828</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r>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IPGP</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0.0065</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0.8327</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4A5568"/>
                <w:sz w:val="18"/>
                <w:szCs w:val="18"/>
              </w:rPr>
              <w:t xml:space="preserve">No</w:t>
            </w:r>
          </w:p>
        </w:tc>
        <w:tc>
          <w:tcPr>
            <w:tcW w:type="dxa" w:w="312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4A5568"/>
                <w:sz w:val="16"/>
                <w:szCs w:val="16"/>
              </w:rPr>
              <w:t xml:space="preserve">Not significant — noise</w:t>
            </w:r>
          </w:p>
        </w:tc>
      </w:tr>
    </w:tbl>
    <w:p>
      <w:pPr>
        <w:spacing w:after="80" w:before="80"/>
        <w:jc w:val="left"/>
      </w:pPr>
      <w:r>
        <w:rPr>
          <w:rFonts w:ascii="Arial" w:cs="Arial" w:eastAsia="Arial" w:hAnsi="Arial"/>
          <w:b w:val="false"/>
          <w:bCs w:val="false"/>
          <w:i w:val="false"/>
          <w:iCs w:val="false"/>
          <w:color w:val="1C2B3A"/>
          <w:sz w:val="20"/>
          <w:szCs w:val="20"/>
        </w:rPr>
        <w:t xml:space="preserve"/>
      </w:r>
    </w:p>
    <w:p>
      <w:pPr>
        <w:spacing w:after="40" w:before="80"/>
        <w:jc w:val="left"/>
      </w:pPr>
      <w:r>
        <w:rPr>
          <w:rFonts w:ascii="Arial" w:cs="Arial" w:eastAsia="Arial" w:hAnsi="Arial"/>
          <w:b/>
          <w:bCs/>
          <w:i w:val="false"/>
          <w:iCs w:val="false"/>
          <w:color w:val="1B2A4A"/>
          <w:sz w:val="20"/>
          <w:szCs w:val="20"/>
        </w:rPr>
        <w:t xml:space="preserve">Analysis</w:t>
      </w:r>
    </w:p>
    <w:p>
      <w:pPr>
        <w:spacing w:after="80" w:before="80"/>
        <w:jc w:val="left"/>
      </w:pPr>
      <w:r>
        <w:rPr>
          <w:rFonts w:ascii="Arial" w:cs="Arial" w:eastAsia="Arial" w:hAnsi="Arial"/>
          <w:b w:val="false"/>
          <w:bCs w:val="false"/>
          <w:i w:val="false"/>
          <w:iCs w:val="false"/>
          <w:color w:val="1C2B3A"/>
          <w:sz w:val="19"/>
          <w:szCs w:val="19"/>
        </w:rPr>
        <w:t xml:space="preserve">No predictive content. The SOX-SPX spread is correlated with VIX_Change_1d (0.413) and SOX_vs_SPX (0.411), indicating it is loading on a shared macro volatility factor that has already been shown to carry no IC. Semiconductor leadership over the broad market does not predict photonics subsector returns within this universe.</w:t>
      </w:r>
    </w:p>
    <w:p>
      <w:pPr>
        <w:pBdr>
          <w:left w:val="single" w:color="C0392B" w:sz="12" w:space="4"/>
        </w:pBdr>
        <w:shd w:fill="FDECEA" w:val="clear"/>
        <w:spacing w:after="120" w:before="40"/>
      </w:pPr>
      <w:r>
        <w:rPr>
          <w:rFonts w:ascii="Arial" w:cs="Arial" w:eastAsia="Arial" w:hAnsi="Arial"/>
          <w:b/>
          <w:bCs/>
          <w:color w:val="C0392B"/>
          <w:sz w:val="19"/>
          <w:szCs w:val="19"/>
        </w:rPr>
        <w:t xml:space="preserve">Action:  </w:t>
      </w:r>
      <w:r>
        <w:rPr>
          <w:rFonts w:ascii="Arial" w:cs="Arial" w:eastAsia="Arial" w:hAnsi="Arial"/>
          <w:color w:val="1C2B3A"/>
          <w:sz w:val="19"/>
          <w:szCs w:val="19"/>
        </w:rPr>
        <w:t xml:space="preserve">Cull.</w:t>
      </w:r>
    </w:p>
    <w:p>
      <w:pPr>
        <w:pBdr>
          <w:bottom w:val="single" w:color="D5E0EC" w:sz="2" w:space="1"/>
        </w:pBdr>
        <w:spacing w:after="40" w:before="40"/>
      </w:pPr>
      <w:r>
        <w:t xml:space="preserve"/>
      </w:r>
    </w:p>
    <w:p>
      <w:pPr>
        <w:pStyle w:val="Heading1"/>
        <w:pBdr>
          <w:bottom w:val="single" w:color="0D7377" w:sz="8" w:space="4"/>
        </w:pBdr>
        <w:spacing w:after="120" w:before="360"/>
      </w:pPr>
      <w:r>
        <w:rPr>
          <w:rFonts w:ascii="Arial" w:cs="Arial" w:eastAsia="Arial" w:hAnsi="Arial"/>
          <w:b/>
          <w:bCs/>
          <w:color w:val="1B2A4A"/>
          <w:sz w:val="32"/>
          <w:szCs w:val="32"/>
        </w:rPr>
        <w:t xml:space="preserve">4. Signal Redundancy &amp; Independence</w:t>
      </w:r>
    </w:p>
    <w:p>
      <w:pPr>
        <w:spacing w:after="100" w:before="80"/>
        <w:jc w:val="left"/>
      </w:pPr>
      <w:r>
        <w:rPr>
          <w:rFonts w:ascii="Arial" w:cs="Arial" w:eastAsia="Arial" w:hAnsi="Arial"/>
          <w:b w:val="false"/>
          <w:bCs w:val="false"/>
          <w:i w:val="false"/>
          <w:iCs w:val="false"/>
          <w:color w:val="1C2B3A"/>
          <w:sz w:val="20"/>
          <w:szCs w:val="20"/>
        </w:rPr>
        <w:t xml:space="preserve">Two signal pairs exceed the 0.70 Spearman correlation threshold, representing structural redundancy in the stack. A third moderate correlation cluster exists among the macro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560"/>
        <w:gridCol w:w="2600"/>
      </w:tblGrid>
      <w:tr>
        <w:tc>
          <w:tcPr>
            <w:tcW w:type="dxa" w:w="26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 A</w:t>
            </w:r>
          </w:p>
        </w:tc>
        <w:tc>
          <w:tcPr>
            <w:tcW w:type="dxa" w:w="26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 B</w:t>
            </w:r>
          </w:p>
        </w:tc>
        <w:tc>
          <w:tcPr>
            <w:tcW w:type="dxa" w:w="1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Correlation</w:t>
            </w:r>
          </w:p>
        </w:tc>
        <w:tc>
          <w:tcPr>
            <w:tcW w:type="dxa" w:w="26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w:t>
            </w:r>
          </w:p>
        </w:tc>
      </w:tr>
      <w:tr>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Bollinger_Pct_B</w:t>
            </w:r>
          </w:p>
        </w:tc>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Momentum_21d</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0.734</w:t>
            </w:r>
          </w:p>
        </w:tc>
        <w:tc>
          <w:tcPr>
            <w:tcW w:type="dxa" w:w="2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Demote Bollinger to AEHR-specific only</w:t>
            </w:r>
          </w:p>
        </w:tc>
      </w:tr>
      <w:tr>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SOX_Relative</w:t>
            </w:r>
          </w:p>
        </w:tc>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SPX_Relative</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0.842</w:t>
            </w:r>
          </w:p>
        </w:tc>
        <w:tc>
          <w:tcPr>
            <w:tcW w:type="dxa" w:w="2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Cull both — zero IC regardless</w:t>
            </w:r>
          </w:p>
        </w:tc>
      </w:tr>
      <w:tr>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VIX_Change_1d</w:t>
            </w:r>
          </w:p>
        </w:tc>
        <w:tc>
          <w:tcPr>
            <w:tcW w:type="dxa" w:w="26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SOX_vs_SPX</w:t>
            </w:r>
          </w:p>
        </w:tc>
        <w:tc>
          <w:tcPr>
            <w:tcW w:type="dxa" w:w="1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B8860B"/>
                <w:sz w:val="18"/>
                <w:szCs w:val="18"/>
              </w:rPr>
              <w:t xml:space="preserve">0.413</w:t>
            </w:r>
          </w:p>
        </w:tc>
        <w:tc>
          <w:tcPr>
            <w:tcW w:type="dxa" w:w="26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Moderate — both culled on IC grounds</w:t>
            </w:r>
          </w:p>
        </w:tc>
      </w:tr>
    </w:tbl>
    <w:p>
      <w:pPr>
        <w:spacing w:after="80" w:before="80"/>
        <w:jc w:val="left"/>
      </w:pPr>
      <w:r>
        <w:rPr>
          <w:rFonts w:ascii="Arial" w:cs="Arial" w:eastAsia="Arial" w:hAnsi="Arial"/>
          <w:b w:val="false"/>
          <w:bCs w:val="false"/>
          <w:i w:val="false"/>
          <w:iCs w:val="false"/>
          <w:color w:val="1C2B3A"/>
          <w:sz w:val="20"/>
          <w:szCs w:val="20"/>
        </w:rPr>
        <w:t xml:space="preserve"/>
      </w:r>
    </w:p>
    <w:p>
      <w:pPr>
        <w:pStyle w:val="Heading1"/>
        <w:pBdr>
          <w:bottom w:val="single" w:color="0D7377" w:sz="8" w:space="4"/>
        </w:pBdr>
        <w:spacing w:after="120" w:before="360"/>
      </w:pPr>
      <w:r>
        <w:rPr>
          <w:rFonts w:ascii="Arial" w:cs="Arial" w:eastAsia="Arial" w:hAnsi="Arial"/>
          <w:b/>
          <w:bCs/>
          <w:color w:val="1B2A4A"/>
          <w:sz w:val="32"/>
          <w:szCs w:val="32"/>
        </w:rPr>
        <w:t xml:space="preserve">5. Recommended Post-Cull Signal Stack</w:t>
      </w:r>
    </w:p>
    <w:p>
      <w:pPr>
        <w:spacing w:after="120" w:before="80"/>
        <w:jc w:val="left"/>
      </w:pPr>
      <w:r>
        <w:rPr>
          <w:rFonts w:ascii="Arial" w:cs="Arial" w:eastAsia="Arial" w:hAnsi="Arial"/>
          <w:b w:val="false"/>
          <w:bCs w:val="false"/>
          <w:i w:val="false"/>
          <w:iCs w:val="false"/>
          <w:color w:val="1C2B3A"/>
          <w:sz w:val="20"/>
          <w:szCs w:val="20"/>
        </w:rPr>
        <w:t xml:space="preserve">After applying IC thresholds and redundancy culling, the recommended stack contains 6 active signals and 1 portfolio-level filter. This reduces N from 14 to 6 independent signals, but improves mean |IC| from 0.056 to an estimated 0.085 by removing noise contributors. Projected IR (assuming N_eff/N improves to 0.80): 0.085 × √(6 × 0.80) = 0.085 × 2.19 ≈ 0.186. Further improvement requires intraday VWAP data and P/C ratio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4460"/>
      </w:tblGrid>
      <w:tr>
        <w:tc>
          <w:tcPr>
            <w:tcW w:type="dxa" w:w="22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9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 H</w:t>
            </w:r>
          </w:p>
        </w:tc>
        <w:tc>
          <w:tcPr>
            <w:tcW w:type="dxa" w:w="9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|IC|</w:t>
            </w:r>
          </w:p>
        </w:tc>
        <w:tc>
          <w:tcPr>
            <w:tcW w:type="dxa" w:w="9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Apply To</w:t>
            </w:r>
          </w:p>
        </w:tc>
        <w:tc>
          <w:tcPr>
            <w:tcW w:type="dxa" w:w="44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 Note</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SMA200_Distance</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0.131</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Ticker-specific</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Positive for LITE, negative for AAOI/IPGP. Separate models per ticker.</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Momentum_21d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0.100</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AAOI, COHR, LITE</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Primary trend signal. Exclude AEHR and IPGP.</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EMA_Cross_9_21</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0.092</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AAOI, COHR, LITE</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Independent of Momentum_21d (corr=0.052). Keep as distinct signal.</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Bollinger_Pct_B</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0.073</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AEHR only</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Correlated with Momentum_21d for other tickers. Retain for AEHR where it diverges.</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Momentum_10d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21d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0.065</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COHR, LITE</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Secondary momentum. Combine with 21d as blended momentum score.</w:t>
            </w:r>
          </w:p>
        </w:tc>
      </w:tr>
      <w:tr>
        <w:tc>
          <w:tcPr>
            <w:tcW w:type="dxa" w:w="22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bCs/>
                <w:color w:val="1C2B3A"/>
                <w:sz w:val="18"/>
                <w:szCs w:val="18"/>
              </w:rPr>
              <w:t xml:space="preserve">Volume_Surge</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10d</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0.043</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AEHR, LITE</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Near-zero correlation with all other signals. Genuine independent contribution.</w:t>
            </w:r>
          </w:p>
        </w:tc>
      </w:tr>
      <w:tr>
        <w:tc>
          <w:tcPr>
            <w:tcW w:type="dxa" w:w="2200"/>
            <w:tcBorders>
              <w:top w:val="single" w:color="BFCCD9" w:sz="1"/>
              <w:left w:val="single" w:color="BFCCD9" w:sz="1"/>
              <w:bottom w:val="single" w:color="BFCCD9" w:sz="1"/>
              <w:right w:val="single" w:color="BFCCD9" w:sz="1"/>
            </w:tcBorders>
            <w:shd w:fill="FFF8E1" w:val="clear"/>
            <w:tcMar>
              <w:top w:type="dxa" w:w="80"/>
              <w:left w:type="dxa" w:w="120"/>
              <w:bottom w:type="dxa" w:w="80"/>
              <w:right w:type="dxa" w:w="120"/>
            </w:tcMar>
            <w:vAlign w:val="center"/>
          </w:tcPr>
          <w:p>
            <w:pPr>
              <w:jc w:val="left"/>
            </w:pPr>
            <w:r>
              <w:rPr>
                <w:rFonts w:ascii="Arial" w:cs="Arial" w:eastAsia="Arial" w:hAnsi="Arial"/>
                <w:b/>
                <w:bCs/>
                <w:color w:val="B8860B"/>
                <w:sz w:val="18"/>
                <w:szCs w:val="18"/>
              </w:rPr>
              <w:t xml:space="preserve">VIX_Regime [FILTER]</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w:t>
            </w:r>
          </w:p>
        </w:tc>
        <w:tc>
          <w:tcPr>
            <w:tcW w:type="dxa" w:w="9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center"/>
            </w:pPr>
            <w:r>
              <w:rPr>
                <w:rFonts w:ascii="Arial" w:cs="Arial" w:eastAsia="Arial" w:hAnsi="Arial"/>
                <w:b w:val="false"/>
                <w:bCs w:val="false"/>
                <w:color w:val="1C2B3A"/>
                <w:sz w:val="18"/>
                <w:szCs w:val="18"/>
              </w:rPr>
              <w:t xml:space="preserve">Portfolio</w:t>
            </w:r>
          </w:p>
        </w:tc>
        <w:tc>
          <w:tcPr>
            <w:tcW w:type="dxa" w:w="44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Binary position sizing gate. Reduce gross exposure when VIX &gt; 20. Not a directional signal.</w:t>
            </w:r>
          </w:p>
        </w:tc>
      </w:tr>
    </w:tbl>
    <w:p>
      <w:pPr>
        <w:spacing w:after="80" w:before="80"/>
        <w:jc w:val="left"/>
      </w:pPr>
      <w:r>
        <w:rPr>
          <w:rFonts w:ascii="Arial" w:cs="Arial" w:eastAsia="Arial" w:hAnsi="Arial"/>
          <w:b w:val="false"/>
          <w:bCs w:val="false"/>
          <w:i w:val="false"/>
          <w:iCs w:val="false"/>
          <w:color w:val="1C2B3A"/>
          <w:sz w:val="20"/>
          <w:szCs w:val="20"/>
        </w:rPr>
        <w:t xml:space="preserve"/>
      </w:r>
    </w:p>
    <w:p>
      <w:pPr>
        <w:pStyle w:val="Heading1"/>
        <w:pBdr>
          <w:bottom w:val="single" w:color="0D7377" w:sz="8" w:space="4"/>
        </w:pBdr>
        <w:spacing w:after="120" w:before="360"/>
      </w:pPr>
      <w:r>
        <w:rPr>
          <w:rFonts w:ascii="Arial" w:cs="Arial" w:eastAsia="Arial" w:hAnsi="Arial"/>
          <w:b/>
          <w:bCs/>
          <w:color w:val="1B2A4A"/>
          <w:sz w:val="32"/>
          <w:szCs w:val="32"/>
        </w:rPr>
        <w:t xml:space="preserve">6. V2 Signal Development Roadmap</w:t>
      </w:r>
    </w:p>
    <w:p>
      <w:pPr>
        <w:spacing w:after="100" w:before="80"/>
        <w:jc w:val="left"/>
      </w:pPr>
      <w:r>
        <w:rPr>
          <w:rFonts w:ascii="Arial" w:cs="Arial" w:eastAsia="Arial" w:hAnsi="Arial"/>
          <w:b w:val="false"/>
          <w:bCs w:val="false"/>
          <w:i w:val="false"/>
          <w:iCs w:val="false"/>
          <w:color w:val="1C2B3A"/>
          <w:sz w:val="20"/>
          <w:szCs w:val="20"/>
        </w:rPr>
        <w:t xml:space="preserve">The following signals were identified as theoretically sound but require data sources beyond daily OHLCV. They should be built in v2 of the notebook once intraday and options data feeds are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Signal</w:t>
            </w:r>
          </w:p>
        </w:tc>
        <w:tc>
          <w:tcPr>
            <w:tcW w:type="dxa" w:w="240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Required</w:t>
            </w:r>
          </w:p>
        </w:tc>
        <w:tc>
          <w:tcPr>
            <w:tcW w:type="dxa" w:w="4560"/>
            <w:tcBorders>
              <w:top w:val="single" w:color="BFCCD9" w:sz="1"/>
              <w:left w:val="single" w:color="BFCCD9" w:sz="1"/>
              <w:bottom w:val="single" w:color="BFCCD9" w:sz="1"/>
              <w:right w:val="single" w:color="BFCCD9"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VWAP Slope (intraday)</w:t>
            </w:r>
          </w:p>
        </w:tc>
        <w:tc>
          <w:tcPr>
            <w:tcW w:type="dxa" w:w="24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5m OHLCV (Polygon/Alpaca)</w:t>
            </w:r>
          </w:p>
        </w:tc>
        <w:tc>
          <w:tcPr>
            <w:tcW w:type="dxa" w:w="4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VWAP at daily frequency is not meaningful. Intraday slope over 3-5 bars has genuine IC for short-term entries.</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Put/Call Ratio (ticker-level)</w:t>
            </w:r>
          </w:p>
        </w:tc>
        <w:tc>
          <w:tcPr>
            <w:tcW w:type="dxa" w:w="24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Options chain data</w:t>
            </w:r>
          </w:p>
        </w:tc>
        <w:tc>
          <w:tcPr>
            <w:tcW w:type="dxa" w:w="4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Ticker P/C ratio divergence from sector average is an informed flow signal. CIEN showed P/C=0.641 with Sizzle=2.028 during morning analysis — this combination has potential IC.</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TNX Level Regime (not change)</w:t>
            </w:r>
          </w:p>
        </w:tc>
        <w:tc>
          <w:tcPr>
            <w:tcW w:type="dxa" w:w="24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Daily (already available)</w:t>
            </w:r>
          </w:p>
        </w:tc>
        <w:tc>
          <w:tcPr>
            <w:tcW w:type="dxa" w:w="4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TNX daily change has zero IC. TNX level above/below 4.5% as a regime condition interacted with momentum signals may recover the rate sensitivity that theory predicts.</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Bid-Ask Spread Compression</w:t>
            </w:r>
          </w:p>
        </w:tc>
        <w:tc>
          <w:tcPr>
            <w:tcW w:type="dxa" w:w="24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Level II / intraday quote data</w:t>
            </w:r>
          </w:p>
        </w:tc>
        <w:tc>
          <w:tcPr>
            <w:tcW w:type="dxa" w:w="4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Institutional accumulation signal. Requires intraday quote data. Cannot be constructed from daily OHLCV.</w:t>
            </w:r>
          </w:p>
        </w:tc>
      </w:tr>
      <w:tr>
        <w:tc>
          <w:tcPr>
            <w:tcW w:type="dxa" w:w="2400"/>
            <w:tcBorders>
              <w:top w:val="single" w:color="BFCCD9" w:sz="1"/>
              <w:left w:val="single" w:color="BFCCD9" w:sz="1"/>
              <w:bottom w:val="single" w:color="BFCCD9" w:sz="1"/>
              <w:right w:val="single" w:color="BFCCD9" w:sz="1"/>
            </w:tcBorders>
            <w:shd w:fill="F2F5F9" w:val="clear"/>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SOX Macro Overlay (interaction)</w:t>
            </w:r>
          </w:p>
        </w:tc>
        <w:tc>
          <w:tcPr>
            <w:tcW w:type="dxa" w:w="240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8"/>
                <w:szCs w:val="18"/>
              </w:rPr>
              <w:t xml:space="preserve">Daily (already available)</w:t>
            </w:r>
          </w:p>
        </w:tc>
        <w:tc>
          <w:tcPr>
            <w:tcW w:type="dxa" w:w="4560"/>
            <w:tcBorders>
              <w:top w:val="single" w:color="BFCCD9" w:sz="1"/>
              <w:left w:val="single" w:color="BFCCD9" w:sz="1"/>
              <w:bottom w:val="single" w:color="BFCCD9" w:sz="1"/>
              <w:right w:val="single" w:color="BFCCD9" w:sz="1"/>
            </w:tcBorders>
            <w:tcMar>
              <w:top w:type="dxa" w:w="80"/>
              <w:left w:type="dxa" w:w="120"/>
              <w:bottom w:type="dxa" w:w="80"/>
              <w:right w:type="dxa" w:w="120"/>
            </w:tcMar>
            <w:vAlign w:val="center"/>
          </w:tcPr>
          <w:p>
            <w:pPr>
              <w:jc w:val="left"/>
            </w:pPr>
            <w:r>
              <w:rPr>
                <w:rFonts w:ascii="Arial" w:cs="Arial" w:eastAsia="Arial" w:hAnsi="Arial"/>
                <w:b w:val="false"/>
                <w:bCs w:val="false"/>
                <w:color w:val="1C2B3A"/>
                <w:sz w:val="17"/>
                <w:szCs w:val="17"/>
              </w:rPr>
              <w:t xml:space="preserve">SOX standalone has zero IC, but SOX direction as an interaction term with EMA_Cross or Momentum may gate false signals during broad semiconductor selloffs.</w:t>
            </w:r>
          </w:p>
        </w:tc>
      </w:tr>
    </w:tbl>
    <w:p>
      <w:pPr>
        <w:spacing w:after="80" w:before="80"/>
        <w:jc w:val="left"/>
      </w:pPr>
      <w:r>
        <w:rPr>
          <w:rFonts w:ascii="Arial" w:cs="Arial" w:eastAsia="Arial" w:hAnsi="Arial"/>
          <w:b w:val="false"/>
          <w:bCs w:val="false"/>
          <w:i w:val="false"/>
          <w:iCs w:val="false"/>
          <w:color w:val="1C2B3A"/>
          <w:sz w:val="20"/>
          <w:szCs w:val="20"/>
        </w:rPr>
        <w:t xml:space="preserve"/>
      </w:r>
    </w:p>
    <w:p>
      <w:pPr>
        <w:pBdr>
          <w:bottom w:val="single" w:color="D5E0EC" w:sz="2" w:space="1"/>
        </w:pBdr>
        <w:spacing w:after="40" w:before="40"/>
      </w:pPr>
      <w:r>
        <w:t xml:space="preserve"/>
      </w:r>
    </w:p>
    <w:p>
      <w:pPr>
        <w:spacing w:after="80" w:before="120"/>
        <w:jc w:val="center"/>
      </w:pPr>
      <w:r>
        <w:rPr>
          <w:rFonts w:ascii="Arial" w:cs="Arial" w:eastAsia="Arial" w:hAnsi="Arial"/>
          <w:b w:val="false"/>
          <w:bCs w:val="false"/>
          <w:i w:val="false"/>
          <w:iCs w:val="false"/>
          <w:color w:val="4A5568"/>
          <w:sz w:val="16"/>
          <w:szCs w:val="16"/>
        </w:rPr>
        <w:t xml:space="preserve">Factor Strength Study v1.0  |  Photonics Quant Project  |  Generated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C" w:sz="4" w:space="4"/>
      </w:pBdr>
      <w:jc w:val="center"/>
    </w:pPr>
    <w:r>
      <w:rPr>
        <w:rFonts w:ascii="Arial" w:cs="Arial" w:eastAsia="Arial" w:hAnsi="Arial"/>
        <w:color w:val="4A5568"/>
        <w:sz w:val="16"/>
        <w:szCs w:val="16"/>
      </w:rPr>
      <w:t xml:space="preserve">Universe: AAOI · COHR · AEHR · LITE · IPGP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color w:val="4A5568"/>
        <w:sz w:val="16"/>
        <w:szCs w:val="16"/>
      </w:rPr>
      <w:t xml:space="preserve">Photonics Factor Strength Study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2026-04-09T22:09:23.836Z</dcterms:created>
  <dcterms:modified xsi:type="dcterms:W3CDTF">2026-04-09T22:09:23.838Z</dcterms:modified>
</cp:coreProperties>
</file>

<file path=docProps/custom.xml><?xml version="1.0" encoding="utf-8"?>
<Properties xmlns="http://schemas.openxmlformats.org/officeDocument/2006/custom-properties" xmlns:vt="http://schemas.openxmlformats.org/officeDocument/2006/docPropsVTypes"/>
</file>