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3692"/>
          <w:sz w:val="48"/>
        </w:rPr>
        <w:t>Greenhouse Gas Inventory Report (GHG Protocol)</w:t>
      </w:r>
    </w:p>
    <w:p/>
    <w:p>
      <w:pPr>
        <w:pStyle w:val="Heading1"/>
        <w:jc w:val="center"/>
      </w:pPr>
      <w:r>
        <w:rPr>
          <w:color w:val="404040"/>
          <w:sz w:val="32"/>
        </w:rPr>
        <w:t>kmutnb - January 2025 to September 2025</w:t>
      </w:r>
    </w:p>
    <w:p/>
    <w:p>
      <w:pPr>
        <w:jc w:val="center"/>
      </w:pPr>
      <w:r>
        <w:rPr>
          <w:i/>
          <w:color w:val="808080"/>
          <w:sz w:val="24"/>
        </w:rPr>
        <w:t>Generated on 30 September 2025 at 10:50</w:t>
      </w:r>
    </w:p>
    <w:p>
      <w:r>
        <w:br w:type="page"/>
      </w:r>
    </w:p>
    <w:p>
      <w:pPr>
        <w:pStyle w:val="Heading1"/>
      </w:pPr>
      <w:r>
        <w:rPr>
          <w:color w:val="003692"/>
        </w:rPr>
        <w:t>Executive Summary</w:t>
      </w:r>
    </w:p>
    <w:p>
      <w:pPr>
        <w:jc w:val="both"/>
      </w:pPr>
      <w:r>
        <w:br/>
        <w:t xml:space="preserve">            This GHG carbon emissions report presents a comprehensive analysis of greenhouse gas emissions </w:t>
        <w:br/>
        <w:t xml:space="preserve">            for kmutnb covering the period from January 2025 </w:t>
        <w:br/>
        <w:t xml:space="preserve">            to September 2025. Total emissions reached 9914.62 kg CO2e </w:t>
        <w:br/>
        <w:t xml:space="preserve">            across 22 emission records. The report follows GHG standards and provides </w:t>
        <w:br/>
        <w:t xml:space="preserve">            actionable insights for emission reduction strategies. Key focus areas include energy efficiency improvements </w:t>
        <w:br/>
        <w:t xml:space="preserve">            and sustainable operational practices to achieve carbon reduction goals.</w:t>
        <w:br/>
        <w:t xml:space="preserve">            </w:t>
      </w:r>
    </w:p>
    <w:p>
      <w:pPr>
        <w:pStyle w:val="Heading1"/>
      </w:pPr>
      <w:r>
        <w:rPr>
          <w:color w:val="003692"/>
        </w:rPr>
        <w:t>Key Metrics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3600"/>
      </w:tblGrid>
      <w:tr>
        <w:tc>
          <w:tcPr>
            <w:tcW w:type="dxa" w:w="4320"/>
            <w:shd w:fill="003692"/>
          </w:tcPr>
          <w:p>
            <w:r>
              <w:rPr>
                <w:b/>
                <w:color w:val="FFFFFF"/>
              </w:rPr>
              <w:t>Metric</w:t>
            </w:r>
          </w:p>
        </w:tc>
        <w:tc>
          <w:tcPr>
            <w:tcW w:type="dxa" w:w="4320"/>
            <w:shd w:fill="003692"/>
          </w:tcPr>
          <w:p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Total Emissions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9914.62 kg CO2e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Average Monthly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1101.62 kg CO2e/month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Reporting Period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01 January 2025 - 30 September 2025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Record Count</w:t>
            </w:r>
          </w:p>
        </w:tc>
        <w:tc>
          <w:tcPr>
            <w:tcW w:type="dxa" w:w="3600"/>
          </w:tcPr>
          <w:p>
            <w:r>
              <w:rPr>
                <w:sz w:val="20"/>
              </w:rPr>
              <w:t>22 emission records</w:t>
            </w:r>
          </w:p>
        </w:tc>
      </w:tr>
    </w:tbl>
    <w:p/>
    <w:p>
      <w:pPr>
        <w:pStyle w:val="Heading1"/>
      </w:pPr>
      <w:r>
        <w:rPr>
          <w:color w:val="003692"/>
        </w:rPr>
        <w:t>Emissions by Scope (GHG Protocol)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003692"/>
          </w:tcPr>
          <w:p>
            <w:r>
              <w:rPr>
                <w:b/>
                <w:color w:val="FFFFFF"/>
              </w:rPr>
              <w:t>Scope</w:t>
            </w:r>
          </w:p>
        </w:tc>
        <w:tc>
          <w:tcPr>
            <w:tcW w:type="dxa" w:w="2880"/>
            <w:shd w:fill="003692"/>
          </w:tcPr>
          <w:p>
            <w:r>
              <w:rPr>
                <w:b/>
                <w:color w:val="FFFFFF"/>
              </w:rPr>
              <w:t>Emissions (kg CO2e)</w:t>
            </w:r>
          </w:p>
        </w:tc>
        <w:tc>
          <w:tcPr>
            <w:tcW w:type="dxa" w:w="2880"/>
            <w:shd w:fill="003692"/>
          </w:tcPr>
          <w:p>
            <w:r>
              <w:rPr>
                <w:b/>
                <w:color w:val="FFFFFF"/>
              </w:rPr>
              <w:t>Percentage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Scope 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9914.62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100.0%</w:t>
            </w:r>
          </w:p>
        </w:tc>
      </w:tr>
    </w:tbl>
    <w:p/>
    <w:p>
      <w:r>
        <w:rPr>
          <w:b/>
          <w:color w:val="003692"/>
        </w:rPr>
        <w:t xml:space="preserve">Scope 3: </w:t>
      </w:r>
      <w:r>
        <w:t>Other indirect greenhouse gas emissions in the organization's value chain</w:t>
      </w:r>
    </w:p>
    <w:p/>
    <w:p>
      <w:pPr>
        <w:pStyle w:val="Heading1"/>
      </w:pPr>
      <w:r>
        <w:rPr>
          <w:color w:val="003692"/>
        </w:rPr>
        <w:t>Key Findings</w:t>
      </w:r>
    </w:p>
    <w:p>
      <w:pPr>
        <w:pStyle w:val="ListBullet"/>
        <w:jc w:val="both"/>
      </w:pPr>
      <w:r>
        <w:t>Total emissions: 9914.62 kg CO2e</w:t>
      </w:r>
    </w:p>
    <w:p>
      <w:pPr>
        <w:pStyle w:val="ListBullet"/>
        <w:jc w:val="both"/>
      </w:pPr>
      <w:r>
        <w:t>Reporting period: January 2025 to September 2025</w:t>
      </w:r>
    </w:p>
    <w:p>
      <w:pPr>
        <w:pStyle w:val="ListBullet"/>
        <w:jc w:val="both"/>
      </w:pPr>
      <w:r>
        <w:t>Number of emission records: 22</w:t>
      </w:r>
    </w:p>
    <w:p>
      <w:pPr>
        <w:pStyle w:val="ListBullet"/>
        <w:jc w:val="both"/>
      </w:pPr>
      <w:r>
        <w:t>Primary emission source: R-134a</w:t>
      </w:r>
    </w:p>
    <w:p>
      <w:pPr>
        <w:pStyle w:val="ListBullet"/>
        <w:jc w:val="both"/>
      </w:pPr>
      <w:r>
        <w:t>Number of emission categories: 13</w:t>
      </w:r>
    </w:p>
    <w:p>
      <w:pPr>
        <w:pStyle w:val="ListBullet"/>
        <w:jc w:val="both"/>
      </w:pPr>
      <w:r>
        <w:t>Scope 3: 100.0% of total emissions</w:t>
      </w:r>
    </w:p>
    <w:p/>
    <w:p>
      <w:pPr>
        <w:pStyle w:val="Heading1"/>
      </w:pPr>
      <w:r>
        <w:rPr>
          <w:color w:val="003692"/>
        </w:rPr>
        <w:t>Recommendations</w:t>
      </w:r>
    </w:p>
    <w:p>
      <w:pPr>
        <w:pStyle w:val="ListNumber"/>
        <w:jc w:val="both"/>
      </w:pPr>
      <w:r>
        <w:t>Prioritize reduction strategies for R-134a emissions</w:t>
      </w:r>
    </w:p>
    <w:p>
      <w:pPr>
        <w:pStyle w:val="ListNumber"/>
        <w:jc w:val="both"/>
      </w:pPr>
      <w:r>
        <w:t>Implement comprehensive energy management system</w:t>
      </w:r>
    </w:p>
    <w:p>
      <w:pPr>
        <w:pStyle w:val="ListNumber"/>
        <w:jc w:val="both"/>
      </w:pPr>
      <w:r>
        <w:t>Conduct regular energy audits to identify efficiency opportunities</w:t>
      </w:r>
    </w:p>
    <w:p>
      <w:pPr>
        <w:pStyle w:val="ListNumber"/>
        <w:jc w:val="both"/>
      </w:pPr>
      <w:r>
        <w:t>Consider renewable energy procurement options</w:t>
      </w:r>
    </w:p>
    <w:p>
      <w:pPr>
        <w:pStyle w:val="ListNumber"/>
        <w:jc w:val="both"/>
      </w:pPr>
      <w:r>
        <w:t>Establish emission reduction targets and monitoring procedures</w:t>
      </w:r>
    </w:p>
    <w:p>
      <w:pPr>
        <w:pStyle w:val="ListNumber"/>
        <w:jc w:val="both"/>
      </w:pPr>
      <w:r>
        <w:t>Develop employee awareness programs for carbon reduction</w:t>
      </w:r>
    </w:p>
    <w:p/>
    <w:p>
      <w:pPr>
        <w:pStyle w:val="Heading1"/>
      </w:pPr>
      <w:r>
        <w:rPr>
          <w:color w:val="003692"/>
        </w:rPr>
        <w:t>Trend Analysis</w:t>
      </w:r>
    </w:p>
    <w:p>
      <w:pPr>
        <w:jc w:val="both"/>
      </w:pPr>
      <w:r>
        <w:t>Emissions showed an increasing trend over the reporting period, rising from 106.2 to 2710.5 kg CO2e. This indicates a need for enhanced emission reduction measures and closer monitoring of emission sources.</w:t>
      </w:r>
    </w:p>
    <w:p/>
    <w:p>
      <w:r>
        <w:br w:type="page"/>
      </w:r>
    </w:p>
    <w:p>
      <w:pPr>
        <w:pStyle w:val="Heading1"/>
      </w:pPr>
      <w:r>
        <w:rPr>
          <w:color w:val="003692"/>
        </w:rPr>
        <w:t>Methodology</w:t>
      </w:r>
    </w:p>
    <w:p>
      <w:pPr>
        <w:jc w:val="both"/>
      </w:pPr>
      <w:r>
        <w:br/>
        <w:t xml:space="preserve">                This report complies with the GHG Protocol Corporate Accounting and Reporting Standard.</w:t>
        <w:br/>
        <w:t xml:space="preserve">                Emissions are classified according to Scope 1, 2, and 3 categories as defined by the GHG Protocol.</w:t>
        <w:br/>
        <w:t xml:space="preserve">                Calculation methodologies follow GHG Protocol guidance for corporate inventories.</w:t>
        <w:br/>
        <w:t xml:space="preserve">                Data quality and uncertainty are managed according to GHG Protocol requirements.</w:t>
        <w:br/>
        <w:t xml:space="preserve">                </w:t>
      </w:r>
    </w:p>
    <w:p/>
    <w:p>
      <w:pPr>
        <w:pStyle w:val="Heading1"/>
      </w:pPr>
      <w:r>
        <w:rPr>
          <w:color w:val="003692"/>
        </w:rPr>
        <w:t>Compliance Notes</w:t>
      </w:r>
    </w:p>
    <w:p>
      <w:pPr>
        <w:jc w:val="both"/>
      </w:pPr>
      <w:r>
        <w:br/>
        <w:t xml:space="preserve">                This report complies with the GHG Protocol Corporate Accounting and Reporting Standard.</w:t>
        <w:br/>
        <w:t xml:space="preserve">                Emissions are categorized into Scope 1, 2, and 3 as defined by the GHG Protocol.</w:t>
        <w:br/>
        <w:t xml:space="preserve">                Calculation methodologies follow GHG Protocol guidance for corporate inventories.</w:t>
        <w:br/>
        <w:t xml:space="preserve">                Data quality and uncertainty management align with GHG Protocol requirements.</w:t>
        <w:br/>
        <w:t xml:space="preserve">                </w:t>
      </w:r>
    </w:p>
    <w:p/>
    <w:p/>
    <w:p>
      <w:pPr>
        <w:jc w:val="center"/>
      </w:pPr>
      <w:r>
        <w:rPr>
          <w:color w:val="808080"/>
        </w:rPr>
        <w:t>──────────────────────────────────────────────────</w:t>
      </w:r>
    </w:p>
    <w:p>
      <w:pPr>
        <w:jc w:val="center"/>
      </w:pPr>
      <w:r>
        <w:rPr>
          <w:i/>
          <w:color w:val="808080"/>
          <w:sz w:val="20"/>
        </w:rPr>
        <w:t>Report generated on 30 September 2025 at 10:50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