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left"/>
      </w:pPr>
      <w:r>
        <w:rPr>
          <w:b/>
          <w:i w:val="0"/>
          <w:color w:val="8B7355"/>
          <w:sz w:val="24"/>
        </w:rPr>
        <w:t>POTRACES</w:t>
      </w:r>
    </w:p>
    <w:p>
      <w:pPr>
        <w:spacing w:after="0" w:before="0"/>
      </w:pPr>
      <w:r>
        <w:rPr>
          <w:b/>
          <w:i w:val="0"/>
          <w:color w:val="2A2A28"/>
          <w:sz w:val="52"/>
        </w:rPr>
        <w:t>Connecting Wallets to Banks</w:t>
      </w:r>
    </w:p>
    <w:p>
      <w:pPr>
        <w:spacing w:after="80" w:before="0"/>
      </w:pPr>
      <w:r>
        <w:rPr>
          <w:b w:val="0"/>
          <w:i/>
          <w:color w:val="6B6A64"/>
          <w:sz w:val="26"/>
        </w:rPr>
        <w:t>What's possible, what's impossible, and what we're building</w:t>
      </w:r>
    </w:p>
    <w:p>
      <w:pPr>
        <w:spacing w:after="40" w:before="0"/>
      </w:pPr>
      <w:r>
        <w:rPr>
          <w:b w:val="0"/>
          <w:i w:val="0"/>
          <w:color w:val="6B6A64"/>
          <w:sz w:val="19"/>
        </w:rPr>
        <w:t>Prepared June 2026  ·  Malaysia context  ·  Internal planning brief</w:t>
      </w:r>
    </w:p>
    <w:p>
      <w:pPr>
        <w:spacing w:after="40"/>
        <w:pBdr>
          <w:bottom w:val="single" w:sz="6" w:space="1" w:color="D8D6CE"/>
        </w:pBdr>
      </w:pPr>
    </w:p>
    <w:p>
      <w:pPr>
        <w:spacing w:before="200" w:after="120"/>
      </w:pPr>
      <w:r>
        <w:rPr>
          <w:b/>
          <w:color w:val="4F5104"/>
          <w:sz w:val="28"/>
        </w:rPr>
        <w:t>The one-paragraph truth</w:t>
      </w:r>
    </w:p>
    <w:p>
      <w:pPr>
        <w:spacing w:after="160" w:before="0"/>
      </w:pPr>
      <w:r>
        <w:rPr>
          <w:b w:val="0"/>
          <w:i w:val="0"/>
          <w:color w:val="2A2A28"/>
          <w:sz w:val="21"/>
        </w:rPr>
        <w:t>Auto-capturing transactions (your wallet updating itself from the bank) is a REGULATORY capability, not an app trick. It only works where the government has built “open banking” rails. In Malaysia those rails arrive in 2027 for banks and ~2029 for e-wallets like TNG — they do not exist yet. So today, Potraces wallets are manual BY NECESSITY, not by oversight. There is nothing to connect to. What we CAN do now is make manual feel effortless (quick-add) and semi-automatic (reading bank emails) — and build the data model so that when the rails go live, real bank connection plugs in without a rewrite.</w:t>
      </w:r>
    </w:p>
    <w:tbl>
      <w:tblPr>
        <w:tblStyle w:val="TableGrid"/>
        <w:tblW w:type="auto" w:w="0"/>
        <w:jc w:val="center"/>
        <w:tblLook w:firstColumn="1" w:firstRow="1" w:lastColumn="0" w:lastRow="0" w:noHBand="0" w:noVBand="1" w:val="04A0"/>
      </w:tblPr>
      <w:tblGrid>
        <w:gridCol w:w="2880"/>
        <w:gridCol w:w="2880"/>
        <w:gridCol w:w="2880"/>
      </w:tblGrid>
      <w:tr>
        <w:tc>
          <w:tcPr>
            <w:tcW w:type="dxa" w:w="2880"/>
            <w:tcMar>
              <w:top w:w="60" w:type="dxa"/>
              <w:bottom w:w="60" w:type="dxa"/>
              <w:start w:w="100" w:type="dxa"/>
              <w:end w:w="100" w:type="dxa"/>
            </w:tcMar>
            <w:shd w:val="clear" w:color="auto" w:fill="E9ECDA"/>
          </w:tcPr>
          <w:p>
            <w:pPr>
              <w:spacing w:after="0" w:before="0"/>
              <w:jc w:val="center"/>
            </w:pPr>
            <w:r/>
            <w:r>
              <w:rPr>
                <w:b/>
                <w:color w:val="4F5104"/>
                <w:sz w:val="18"/>
              </w:rPr>
              <w:t>POSSIBLE NOW</w:t>
            </w:r>
          </w:p>
        </w:tc>
        <w:tc>
          <w:tcPr>
            <w:tcW w:type="dxa" w:w="2880"/>
            <w:tcMar>
              <w:top w:w="60" w:type="dxa"/>
              <w:bottom w:w="60" w:type="dxa"/>
              <w:start w:w="100" w:type="dxa"/>
              <w:end w:w="100" w:type="dxa"/>
            </w:tcMar>
            <w:shd w:val="clear" w:color="auto" w:fill="F6EBCE"/>
          </w:tcPr>
          <w:p>
            <w:pPr>
              <w:spacing w:after="0" w:before="0"/>
              <w:jc w:val="center"/>
            </w:pPr>
            <w:r/>
            <w:r>
              <w:rPr>
                <w:b/>
                <w:color w:val="B2780A"/>
                <w:sz w:val="18"/>
              </w:rPr>
              <w:t>POSSIBLE — but costly / partial</w:t>
            </w:r>
          </w:p>
        </w:tc>
        <w:tc>
          <w:tcPr>
            <w:tcW w:type="dxa" w:w="2880"/>
            <w:tcMar>
              <w:top w:w="60" w:type="dxa"/>
              <w:bottom w:w="60" w:type="dxa"/>
              <w:start w:w="100" w:type="dxa"/>
              <w:end w:w="100" w:type="dxa"/>
            </w:tcMar>
            <w:shd w:val="clear" w:color="auto" w:fill="F0E1DA"/>
          </w:tcPr>
          <w:p>
            <w:pPr>
              <w:spacing w:after="0" w:before="0"/>
              <w:jc w:val="center"/>
            </w:pPr>
            <w:r/>
            <w:r>
              <w:rPr>
                <w:b/>
                <w:color w:val="C1694F"/>
                <w:sz w:val="18"/>
              </w:rPr>
              <w:t>IMPOSSIBLE until rails exist</w:t>
            </w:r>
          </w:p>
        </w:tc>
      </w:tr>
    </w:tbl>
    <w:p>
      <w:pPr>
        <w:spacing w:after="40" w:before="0"/>
      </w:pPr>
    </w:p>
    <w:p>
      <w:pPr>
        <w:spacing w:before="280" w:after="120"/>
      </w:pPr>
      <w:r>
        <w:rPr>
          <w:b/>
          <w:color w:val="4F5104"/>
          <w:sz w:val="28"/>
        </w:rPr>
        <w:t>1.  At a glance — what is and isn't possible right now</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4320"/>
            <w:tcMar>
              <w:top w:w="60" w:type="dxa"/>
              <w:bottom w:w="60" w:type="dxa"/>
              <w:start w:w="100" w:type="dxa"/>
              <w:end w:w="100" w:type="dxa"/>
            </w:tcMar>
            <w:shd w:val="clear" w:color="auto" w:fill="4F5104"/>
          </w:tcPr>
          <w:p>
            <w:pPr>
              <w:spacing w:after="0" w:before="0"/>
            </w:pPr>
            <w:r/>
            <w:r>
              <w:rPr>
                <w:b/>
                <w:color w:val="FFFFFF"/>
                <w:sz w:val="19"/>
              </w:rPr>
              <w:t>Capability</w:t>
            </w:r>
          </w:p>
        </w:tc>
        <w:tc>
          <w:tcPr>
            <w:tcW w:type="dxa" w:w="2448"/>
            <w:tcMar>
              <w:top w:w="60" w:type="dxa"/>
              <w:bottom w:w="60" w:type="dxa"/>
              <w:start w:w="100" w:type="dxa"/>
              <w:end w:w="100" w:type="dxa"/>
            </w:tcMar>
            <w:shd w:val="clear" w:color="auto" w:fill="4F5104"/>
          </w:tcPr>
          <w:p>
            <w:pPr>
              <w:spacing w:after="0" w:before="0"/>
            </w:pPr>
            <w:r/>
            <w:r>
              <w:rPr>
                <w:b/>
                <w:color w:val="FFFFFF"/>
                <w:sz w:val="19"/>
              </w:rPr>
              <w:t>Status today (June 2026)</w:t>
            </w:r>
          </w:p>
        </w:tc>
        <w:tc>
          <w:tcPr>
            <w:tcW w:type="dxa" w:w="3744"/>
            <w:tcMar>
              <w:top w:w="60" w:type="dxa"/>
              <w:bottom w:w="60" w:type="dxa"/>
              <w:start w:w="100" w:type="dxa"/>
              <w:end w:w="100" w:type="dxa"/>
            </w:tcMar>
            <w:shd w:val="clear" w:color="auto" w:fill="4F5104"/>
          </w:tcPr>
          <w:p>
            <w:pPr>
              <w:spacing w:after="0" w:before="0"/>
            </w:pPr>
            <w:r/>
            <w:r>
              <w:rPr>
                <w:b/>
                <w:color w:val="FFFFFF"/>
                <w:sz w:val="19"/>
              </w:rPr>
              <w:t>Why</w:t>
            </w:r>
          </w:p>
        </w:tc>
      </w:tr>
      <w:tr>
        <w:tc>
          <w:tcPr>
            <w:tcW w:type="dxa" w:w="4320"/>
            <w:tcMar>
              <w:top w:w="60" w:type="dxa"/>
              <w:bottom w:w="60" w:type="dxa"/>
              <w:start w:w="100" w:type="dxa"/>
              <w:end w:w="100" w:type="dxa"/>
            </w:tcMar>
            <w:shd w:val="clear" w:color="auto" w:fill="E9ECDA"/>
          </w:tcPr>
          <w:p>
            <w:pPr>
              <w:spacing w:after="0" w:before="0"/>
            </w:pPr>
            <w:r/>
            <w:r>
              <w:rPr>
                <w:b w:val="0"/>
                <w:color w:val="4F5104"/>
                <w:sz w:val="19"/>
              </w:rPr>
              <w:t>Manual wallets (type a balance, log spending)</w:t>
            </w:r>
          </w:p>
        </w:tc>
        <w:tc>
          <w:tcPr>
            <w:tcW w:type="dxa" w:w="2448"/>
            <w:tcMar>
              <w:top w:w="60" w:type="dxa"/>
              <w:bottom w:w="60" w:type="dxa"/>
              <w:start w:w="100" w:type="dxa"/>
              <w:end w:w="100" w:type="dxa"/>
            </w:tcMar>
            <w:shd w:val="clear" w:color="auto" w:fill="E9ECDA"/>
          </w:tcPr>
          <w:p>
            <w:pPr>
              <w:spacing w:after="0" w:before="0"/>
            </w:pPr>
            <w:r/>
            <w:r>
              <w:rPr>
                <w:b w:val="0"/>
                <w:color w:val="4F5104"/>
                <w:sz w:val="19"/>
              </w:rPr>
              <w:t>Working now</w:t>
            </w:r>
          </w:p>
        </w:tc>
        <w:tc>
          <w:tcPr>
            <w:tcW w:type="dxa" w:w="3744"/>
            <w:tcMar>
              <w:top w:w="60" w:type="dxa"/>
              <w:bottom w:w="60" w:type="dxa"/>
              <w:start w:w="100" w:type="dxa"/>
              <w:end w:w="100" w:type="dxa"/>
            </w:tcMar>
          </w:tcPr>
          <w:p>
            <w:pPr>
              <w:spacing w:after="0" w:before="0"/>
            </w:pPr>
            <w:r/>
            <w:r>
              <w:rPr>
                <w:b w:val="0"/>
                <w:color w:val="2A2A28"/>
                <w:sz w:val="19"/>
              </w:rPr>
              <w:t>This is what Potraces does today.</w:t>
            </w:r>
          </w:p>
        </w:tc>
      </w:tr>
      <w:tr>
        <w:tc>
          <w:tcPr>
            <w:tcW w:type="dxa" w:w="4320"/>
            <w:tcMar>
              <w:top w:w="60" w:type="dxa"/>
              <w:bottom w:w="60" w:type="dxa"/>
              <w:start w:w="100" w:type="dxa"/>
              <w:end w:w="100" w:type="dxa"/>
            </w:tcMar>
            <w:shd w:val="clear" w:color="auto" w:fill="E9ECDA"/>
          </w:tcPr>
          <w:p>
            <w:pPr>
              <w:spacing w:after="0" w:before="0"/>
            </w:pPr>
            <w:r/>
            <w:r>
              <w:rPr>
                <w:b w:val="0"/>
                <w:color w:val="4F5104"/>
                <w:sz w:val="19"/>
              </w:rPr>
              <w:t>Faster manual capture (Back Tap / Siri / widget → “RM12 lunch”)</w:t>
            </w:r>
          </w:p>
        </w:tc>
        <w:tc>
          <w:tcPr>
            <w:tcW w:type="dxa" w:w="2448"/>
            <w:tcMar>
              <w:top w:w="60" w:type="dxa"/>
              <w:bottom w:w="60" w:type="dxa"/>
              <w:start w:w="100" w:type="dxa"/>
              <w:end w:w="100" w:type="dxa"/>
            </w:tcMar>
            <w:shd w:val="clear" w:color="auto" w:fill="E9ECDA"/>
          </w:tcPr>
          <w:p>
            <w:pPr>
              <w:spacing w:after="0" w:before="0"/>
            </w:pPr>
            <w:r/>
            <w:r>
              <w:rPr>
                <w:b w:val="0"/>
                <w:color w:val="4F5104"/>
                <w:sz w:val="19"/>
              </w:rPr>
              <w:t>Buildable now</w:t>
            </w:r>
          </w:p>
        </w:tc>
        <w:tc>
          <w:tcPr>
            <w:tcW w:type="dxa" w:w="3744"/>
            <w:tcMar>
              <w:top w:w="60" w:type="dxa"/>
              <w:bottom w:w="60" w:type="dxa"/>
              <w:start w:w="100" w:type="dxa"/>
              <w:end w:w="100" w:type="dxa"/>
            </w:tcMar>
            <w:shd w:val="clear" w:color="auto" w:fill="F7F6F2"/>
          </w:tcPr>
          <w:p>
            <w:pPr>
              <w:spacing w:after="0" w:before="0"/>
            </w:pPr>
            <w:r/>
            <w:r>
              <w:rPr>
                <w:b w:val="0"/>
                <w:color w:val="2A2A28"/>
                <w:sz w:val="19"/>
              </w:rPr>
              <w:t>iOS App Intents — no bank needed.</w:t>
            </w:r>
          </w:p>
        </w:tc>
      </w:tr>
      <w:tr>
        <w:tc>
          <w:tcPr>
            <w:tcW w:type="dxa" w:w="4320"/>
            <w:tcMar>
              <w:top w:w="60" w:type="dxa"/>
              <w:bottom w:w="60" w:type="dxa"/>
              <w:start w:w="100" w:type="dxa"/>
              <w:end w:w="100" w:type="dxa"/>
            </w:tcMar>
            <w:shd w:val="clear" w:color="auto" w:fill="E9ECDA"/>
          </w:tcPr>
          <w:p>
            <w:pPr>
              <w:spacing w:after="0" w:before="0"/>
            </w:pPr>
            <w:r/>
            <w:r>
              <w:rPr>
                <w:b w:val="0"/>
                <w:color w:val="4F5104"/>
                <w:sz w:val="19"/>
              </w:rPr>
              <w:t>Read bank/e-wallet ALERT EMAILS → suggest a transaction</w:t>
            </w:r>
          </w:p>
        </w:tc>
        <w:tc>
          <w:tcPr>
            <w:tcW w:type="dxa" w:w="2448"/>
            <w:tcMar>
              <w:top w:w="60" w:type="dxa"/>
              <w:bottom w:w="60" w:type="dxa"/>
              <w:start w:w="100" w:type="dxa"/>
              <w:end w:w="100" w:type="dxa"/>
            </w:tcMar>
            <w:shd w:val="clear" w:color="auto" w:fill="E9ECDA"/>
          </w:tcPr>
          <w:p>
            <w:pPr>
              <w:spacing w:after="0" w:before="0"/>
            </w:pPr>
            <w:r/>
            <w:r>
              <w:rPr>
                <w:b w:val="0"/>
                <w:color w:val="4F5104"/>
                <w:sz w:val="19"/>
              </w:rPr>
              <w:t>Buildable now</w:t>
            </w:r>
          </w:p>
        </w:tc>
        <w:tc>
          <w:tcPr>
            <w:tcW w:type="dxa" w:w="3744"/>
            <w:tcMar>
              <w:top w:w="60" w:type="dxa"/>
              <w:bottom w:w="60" w:type="dxa"/>
              <w:start w:w="100" w:type="dxa"/>
              <w:end w:w="100" w:type="dxa"/>
            </w:tcMar>
          </w:tcPr>
          <w:p>
            <w:pPr>
              <w:spacing w:after="0" w:before="0"/>
            </w:pPr>
            <w:r/>
            <w:r>
              <w:rPr>
                <w:b w:val="0"/>
                <w:color w:val="2A2A28"/>
                <w:sz w:val="19"/>
              </w:rPr>
              <w:t>Gmail/IMAP + your existing AI parser.</w:t>
            </w:r>
          </w:p>
        </w:tc>
      </w:tr>
      <w:tr>
        <w:tc>
          <w:tcPr>
            <w:tcW w:type="dxa" w:w="4320"/>
            <w:tcMar>
              <w:top w:w="60" w:type="dxa"/>
              <w:bottom w:w="60" w:type="dxa"/>
              <w:start w:w="100" w:type="dxa"/>
              <w:end w:w="100" w:type="dxa"/>
            </w:tcMar>
            <w:shd w:val="clear" w:color="auto" w:fill="F6EBCE"/>
          </w:tcPr>
          <w:p>
            <w:pPr>
              <w:spacing w:after="0" w:before="0"/>
            </w:pPr>
            <w:r/>
            <w:r>
              <w:rPr>
                <w:b w:val="0"/>
                <w:color w:val="B2780A"/>
                <w:sz w:val="19"/>
              </w:rPr>
              <w:t>Apple Pay auto-capture (Tap-to-Pay)</w:t>
            </w:r>
          </w:p>
        </w:tc>
        <w:tc>
          <w:tcPr>
            <w:tcW w:type="dxa" w:w="2448"/>
            <w:tcMar>
              <w:top w:w="60" w:type="dxa"/>
              <w:bottom w:w="60" w:type="dxa"/>
              <w:start w:w="100" w:type="dxa"/>
              <w:end w:w="100" w:type="dxa"/>
            </w:tcMar>
            <w:shd w:val="clear" w:color="auto" w:fill="F6EBCE"/>
          </w:tcPr>
          <w:p>
            <w:pPr>
              <w:spacing w:after="0" w:before="0"/>
            </w:pPr>
            <w:r/>
            <w:r>
              <w:rPr>
                <w:b w:val="0"/>
                <w:color w:val="B2780A"/>
                <w:sz w:val="19"/>
              </w:rPr>
              <w:t>Partial now</w:t>
            </w:r>
          </w:p>
        </w:tc>
        <w:tc>
          <w:tcPr>
            <w:tcW w:type="dxa" w:w="3744"/>
            <w:tcMar>
              <w:top w:w="60" w:type="dxa"/>
              <w:bottom w:w="60" w:type="dxa"/>
              <w:start w:w="100" w:type="dxa"/>
              <w:end w:w="100" w:type="dxa"/>
            </w:tcMar>
            <w:shd w:val="clear" w:color="auto" w:fill="F7F6F2"/>
          </w:tcPr>
          <w:p>
            <w:pPr>
              <w:spacing w:after="0" w:before="0"/>
            </w:pPr>
            <w:r/>
            <w:r>
              <w:rPr>
                <w:b w:val="0"/>
                <w:color w:val="2A2A28"/>
                <w:sz w:val="19"/>
              </w:rPr>
              <w:t>iOS Shortcuts trigger; only Apple Pay spend.</w:t>
            </w:r>
          </w:p>
        </w:tc>
      </w:tr>
      <w:tr>
        <w:tc>
          <w:tcPr>
            <w:tcW w:type="dxa" w:w="4320"/>
            <w:tcMar>
              <w:top w:w="60" w:type="dxa"/>
              <w:bottom w:w="60" w:type="dxa"/>
              <w:start w:w="100" w:type="dxa"/>
              <w:end w:w="100" w:type="dxa"/>
            </w:tcMar>
            <w:shd w:val="clear" w:color="auto" w:fill="F6EBCE"/>
          </w:tcPr>
          <w:p>
            <w:pPr>
              <w:spacing w:after="0" w:before="0"/>
            </w:pPr>
            <w:r/>
            <w:r>
              <w:rPr>
                <w:b w:val="0"/>
                <w:color w:val="B2780A"/>
                <w:sz w:val="19"/>
              </w:rPr>
              <w:t>Connect Maybank / CIMB bank accounts (live sync)</w:t>
            </w:r>
          </w:p>
        </w:tc>
        <w:tc>
          <w:tcPr>
            <w:tcW w:type="dxa" w:w="2448"/>
            <w:tcMar>
              <w:top w:w="60" w:type="dxa"/>
              <w:bottom w:w="60" w:type="dxa"/>
              <w:start w:w="100" w:type="dxa"/>
              <w:end w:w="100" w:type="dxa"/>
            </w:tcMar>
            <w:shd w:val="clear" w:color="auto" w:fill="F6EBCE"/>
          </w:tcPr>
          <w:p>
            <w:pPr>
              <w:spacing w:after="0" w:before="0"/>
            </w:pPr>
            <w:r/>
            <w:r>
              <w:rPr>
                <w:b w:val="0"/>
                <w:color w:val="B2780A"/>
                <w:sz w:val="19"/>
              </w:rPr>
              <w:t>Possible, but costly</w:t>
            </w:r>
          </w:p>
        </w:tc>
        <w:tc>
          <w:tcPr>
            <w:tcW w:type="dxa" w:w="3744"/>
            <w:tcMar>
              <w:top w:w="60" w:type="dxa"/>
              <w:bottom w:w="60" w:type="dxa"/>
              <w:start w:w="100" w:type="dxa"/>
              <w:end w:w="100" w:type="dxa"/>
            </w:tcMar>
          </w:tcPr>
          <w:p>
            <w:pPr>
              <w:spacing w:after="0" w:before="0"/>
            </w:pPr>
            <w:r/>
            <w:r>
              <w:rPr>
                <w:b w:val="0"/>
                <w:color w:val="2A2A28"/>
                <w:sz w:val="19"/>
              </w:rPr>
              <w:t>Finverse/Brankas contract + compliance; 2 banks only.</w:t>
            </w:r>
          </w:p>
        </w:tc>
      </w:tr>
      <w:tr>
        <w:tc>
          <w:tcPr>
            <w:tcW w:type="dxa" w:w="4320"/>
            <w:tcMar>
              <w:top w:w="60" w:type="dxa"/>
              <w:bottom w:w="60" w:type="dxa"/>
              <w:start w:w="100" w:type="dxa"/>
              <w:end w:w="100" w:type="dxa"/>
            </w:tcMar>
            <w:shd w:val="clear" w:color="auto" w:fill="F0E1DA"/>
          </w:tcPr>
          <w:p>
            <w:pPr>
              <w:spacing w:after="0" w:before="0"/>
            </w:pPr>
            <w:r/>
            <w:r>
              <w:rPr>
                <w:b w:val="0"/>
                <w:color w:val="C1694F"/>
                <w:sz w:val="19"/>
              </w:rPr>
              <w:t>Read TNG / GrabPay / other app NOTIFICATIONS on iPhone</w:t>
            </w:r>
          </w:p>
        </w:tc>
        <w:tc>
          <w:tcPr>
            <w:tcW w:type="dxa" w:w="2448"/>
            <w:tcMar>
              <w:top w:w="60" w:type="dxa"/>
              <w:bottom w:w="60" w:type="dxa"/>
              <w:start w:w="100" w:type="dxa"/>
              <w:end w:w="100" w:type="dxa"/>
            </w:tcMar>
            <w:shd w:val="clear" w:color="auto" w:fill="F0E1DA"/>
          </w:tcPr>
          <w:p>
            <w:pPr>
              <w:spacing w:after="0" w:before="0"/>
            </w:pPr>
            <w:r/>
            <w:r>
              <w:rPr>
                <w:b w:val="0"/>
                <w:color w:val="C1694F"/>
                <w:sz w:val="19"/>
              </w:rPr>
              <w:t>Impossible</w:t>
            </w:r>
          </w:p>
        </w:tc>
        <w:tc>
          <w:tcPr>
            <w:tcW w:type="dxa" w:w="3744"/>
            <w:tcMar>
              <w:top w:w="60" w:type="dxa"/>
              <w:bottom w:w="60" w:type="dxa"/>
              <w:start w:w="100" w:type="dxa"/>
              <w:end w:w="100" w:type="dxa"/>
            </w:tcMar>
            <w:shd w:val="clear" w:color="auto" w:fill="F7F6F2"/>
          </w:tcPr>
          <w:p>
            <w:pPr>
              <w:spacing w:after="0" w:before="0"/>
            </w:pPr>
            <w:r/>
            <w:r>
              <w:rPr>
                <w:b w:val="0"/>
                <w:color w:val="2A2A28"/>
                <w:sz w:val="19"/>
              </w:rPr>
              <w:t>iOS blocks reading other apps' notifications. No API.</w:t>
            </w:r>
          </w:p>
        </w:tc>
      </w:tr>
      <w:tr>
        <w:tc>
          <w:tcPr>
            <w:tcW w:type="dxa" w:w="4320"/>
            <w:tcMar>
              <w:top w:w="60" w:type="dxa"/>
              <w:bottom w:w="60" w:type="dxa"/>
              <w:start w:w="100" w:type="dxa"/>
              <w:end w:w="100" w:type="dxa"/>
            </w:tcMar>
            <w:shd w:val="clear" w:color="auto" w:fill="F0E1DA"/>
          </w:tcPr>
          <w:p>
            <w:pPr>
              <w:spacing w:after="0" w:before="0"/>
            </w:pPr>
            <w:r/>
            <w:r>
              <w:rPr>
                <w:b w:val="0"/>
                <w:color w:val="C1694F"/>
                <w:sz w:val="19"/>
              </w:rPr>
              <w:t>Connect TNG e-wallet (live sync)</w:t>
            </w:r>
          </w:p>
        </w:tc>
        <w:tc>
          <w:tcPr>
            <w:tcW w:type="dxa" w:w="2448"/>
            <w:tcMar>
              <w:top w:w="60" w:type="dxa"/>
              <w:bottom w:w="60" w:type="dxa"/>
              <w:start w:w="100" w:type="dxa"/>
              <w:end w:w="100" w:type="dxa"/>
            </w:tcMar>
            <w:shd w:val="clear" w:color="auto" w:fill="F0E1DA"/>
          </w:tcPr>
          <w:p>
            <w:pPr>
              <w:spacing w:after="0" w:before="0"/>
            </w:pPr>
            <w:r/>
            <w:r>
              <w:rPr>
                <w:b w:val="0"/>
                <w:color w:val="C1694F"/>
                <w:sz w:val="19"/>
              </w:rPr>
              <w:t>Impossible until ~2029</w:t>
            </w:r>
          </w:p>
        </w:tc>
        <w:tc>
          <w:tcPr>
            <w:tcW w:type="dxa" w:w="3744"/>
            <w:tcMar>
              <w:top w:w="60" w:type="dxa"/>
              <w:bottom w:w="60" w:type="dxa"/>
              <w:start w:w="100" w:type="dxa"/>
              <w:end w:w="100" w:type="dxa"/>
            </w:tcMar>
          </w:tcPr>
          <w:p>
            <w:pPr>
              <w:spacing w:after="0" w:before="0"/>
            </w:pPr>
            <w:r/>
            <w:r>
              <w:rPr>
                <w:b w:val="0"/>
                <w:color w:val="2A2A28"/>
                <w:sz w:val="19"/>
              </w:rPr>
              <w:t>E-wallets are last in BNM's timeline. No API exists.</w:t>
            </w:r>
          </w:p>
        </w:tc>
      </w:tr>
      <w:tr>
        <w:tc>
          <w:tcPr>
            <w:tcW w:type="dxa" w:w="4320"/>
            <w:tcMar>
              <w:top w:w="60" w:type="dxa"/>
              <w:bottom w:w="60" w:type="dxa"/>
              <w:start w:w="100" w:type="dxa"/>
              <w:end w:w="100" w:type="dxa"/>
            </w:tcMar>
            <w:shd w:val="clear" w:color="auto" w:fill="F0E1DA"/>
          </w:tcPr>
          <w:p>
            <w:pPr>
              <w:spacing w:after="0" w:before="0"/>
            </w:pPr>
            <w:r/>
            <w:r>
              <w:rPr>
                <w:b w:val="0"/>
                <w:color w:val="C1694F"/>
                <w:sz w:val="19"/>
              </w:rPr>
              <w:t>Connect most other Malaysian banks (live sync)</w:t>
            </w:r>
          </w:p>
        </w:tc>
        <w:tc>
          <w:tcPr>
            <w:tcW w:type="dxa" w:w="2448"/>
            <w:tcMar>
              <w:top w:w="60" w:type="dxa"/>
              <w:bottom w:w="60" w:type="dxa"/>
              <w:start w:w="100" w:type="dxa"/>
              <w:end w:w="100" w:type="dxa"/>
            </w:tcMar>
            <w:shd w:val="clear" w:color="auto" w:fill="F0E1DA"/>
          </w:tcPr>
          <w:p>
            <w:pPr>
              <w:spacing w:after="0" w:before="0"/>
            </w:pPr>
            <w:r/>
            <w:r>
              <w:rPr>
                <w:b w:val="0"/>
                <w:color w:val="C1694F"/>
                <w:sz w:val="19"/>
              </w:rPr>
              <w:t>Impossible until 2027/28</w:t>
            </w:r>
          </w:p>
        </w:tc>
        <w:tc>
          <w:tcPr>
            <w:tcW w:type="dxa" w:w="3744"/>
            <w:tcMar>
              <w:top w:w="60" w:type="dxa"/>
              <w:bottom w:w="60" w:type="dxa"/>
              <w:start w:w="100" w:type="dxa"/>
              <w:end w:w="100" w:type="dxa"/>
            </w:tcMar>
            <w:shd w:val="clear" w:color="auto" w:fill="F7F6F2"/>
          </w:tcPr>
          <w:p>
            <w:pPr>
              <w:spacing w:after="0" w:before="0"/>
            </w:pPr>
            <w:r/>
            <w:r>
              <w:rPr>
                <w:b w:val="0"/>
                <w:color w:val="2A2A28"/>
                <w:sz w:val="19"/>
              </w:rPr>
              <w:t>PayNet's open-finance platform isn't live yet.</w:t>
            </w:r>
          </w:p>
        </w:tc>
      </w:tr>
    </w:tbl>
    <w:p>
      <w:pPr>
        <w:spacing w:before="280" w:after="120"/>
      </w:pPr>
      <w:r>
        <w:rPr>
          <w:b/>
          <w:color w:val="4F5104"/>
          <w:sz w:val="28"/>
        </w:rPr>
        <w:t>2.  Your real payment mix — can we auto-capture each one?</w:t>
      </w:r>
    </w:p>
    <w:p>
      <w:pPr>
        <w:spacing w:after="80" w:before="0"/>
      </w:pPr>
      <w:r>
        <w:rPr>
          <w:b w:val="0"/>
          <w:i/>
          <w:color w:val="6B6A64"/>
          <w:sz w:val="20"/>
        </w:rPr>
        <w:t>Reflecting how Malaysians actually pay (Apple Pay rising, but TNG + bank QR dominate):</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c>
          <w:tcPr>
            <w:tcW w:type="dxa" w:w="2448"/>
            <w:tcMar>
              <w:top w:w="60" w:type="dxa"/>
              <w:bottom w:w="60" w:type="dxa"/>
              <w:start w:w="100" w:type="dxa"/>
              <w:end w:w="100" w:type="dxa"/>
            </w:tcMar>
            <w:shd w:val="clear" w:color="auto" w:fill="4F5104"/>
          </w:tcPr>
          <w:p>
            <w:pPr>
              <w:spacing w:after="0" w:before="0"/>
            </w:pPr>
            <w:r/>
            <w:r>
              <w:rPr>
                <w:b/>
                <w:color w:val="FFFFFF"/>
                <w:sz w:val="17"/>
              </w:rPr>
              <w:t>Payment rail</w:t>
            </w:r>
          </w:p>
        </w:tc>
        <w:tc>
          <w:tcPr>
            <w:tcW w:type="dxa" w:w="3312"/>
            <w:tcMar>
              <w:top w:w="60" w:type="dxa"/>
              <w:bottom w:w="60" w:type="dxa"/>
              <w:start w:w="100" w:type="dxa"/>
              <w:end w:w="100" w:type="dxa"/>
            </w:tcMar>
            <w:shd w:val="clear" w:color="auto" w:fill="4F5104"/>
          </w:tcPr>
          <w:p>
            <w:pPr>
              <w:spacing w:after="0" w:before="0"/>
            </w:pPr>
            <w:r/>
            <w:r>
              <w:rPr>
                <w:b/>
                <w:color w:val="FFFFFF"/>
                <w:sz w:val="17"/>
              </w:rPr>
              <w:t>Best capture method</w:t>
            </w:r>
          </w:p>
        </w:tc>
        <w:tc>
          <w:tcPr>
            <w:tcW w:type="dxa" w:w="1584"/>
            <w:tcMar>
              <w:top w:w="60" w:type="dxa"/>
              <w:bottom w:w="60" w:type="dxa"/>
              <w:start w:w="100" w:type="dxa"/>
              <w:end w:w="100" w:type="dxa"/>
            </w:tcMar>
            <w:shd w:val="clear" w:color="auto" w:fill="4F5104"/>
          </w:tcPr>
          <w:p>
            <w:pPr>
              <w:spacing w:after="0" w:before="0"/>
            </w:pPr>
            <w:r/>
            <w:r>
              <w:rPr>
                <w:b/>
                <w:color w:val="FFFFFF"/>
                <w:sz w:val="17"/>
              </w:rPr>
              <w:t>iPhone</w:t>
            </w:r>
          </w:p>
        </w:tc>
        <w:tc>
          <w:tcPr>
            <w:tcW w:type="dxa" w:w="1728"/>
            <w:tcMar>
              <w:top w:w="60" w:type="dxa"/>
              <w:bottom w:w="60" w:type="dxa"/>
              <w:start w:w="100" w:type="dxa"/>
              <w:end w:w="100" w:type="dxa"/>
            </w:tcMar>
            <w:shd w:val="clear" w:color="auto" w:fill="4F5104"/>
          </w:tcPr>
          <w:p>
            <w:pPr>
              <w:spacing w:after="0" w:before="0"/>
            </w:pPr>
            <w:r/>
            <w:r>
              <w:rPr>
                <w:b/>
                <w:color w:val="FFFFFF"/>
                <w:sz w:val="17"/>
              </w:rPr>
              <w:t>Android</w:t>
            </w:r>
          </w:p>
        </w:tc>
        <w:tc>
          <w:tcPr>
            <w:tcW w:type="dxa" w:w="2448"/>
            <w:tcMar>
              <w:top w:w="60" w:type="dxa"/>
              <w:bottom w:w="60" w:type="dxa"/>
              <w:start w:w="100" w:type="dxa"/>
              <w:end w:w="100" w:type="dxa"/>
            </w:tcMar>
            <w:shd w:val="clear" w:color="auto" w:fill="4F5104"/>
          </w:tcPr>
          <w:p>
            <w:pPr>
              <w:spacing w:after="0" w:before="0"/>
            </w:pPr>
            <w:r/>
            <w:r>
              <w:rPr>
                <w:b/>
                <w:color w:val="FFFFFF"/>
                <w:sz w:val="17"/>
              </w:rPr>
              <w:t>Verdict</w:t>
            </w:r>
          </w:p>
        </w:tc>
      </w:tr>
      <w:tr>
        <w:tc>
          <w:tcPr>
            <w:tcW w:type="dxa" w:w="2448"/>
            <w:tcMar>
              <w:top w:w="60" w:type="dxa"/>
              <w:bottom w:w="60" w:type="dxa"/>
              <w:start w:w="100" w:type="dxa"/>
              <w:end w:w="100" w:type="dxa"/>
            </w:tcMar>
          </w:tcPr>
          <w:p>
            <w:pPr>
              <w:spacing w:after="0" w:before="0"/>
            </w:pPr>
            <w:r/>
            <w:r>
              <w:rPr>
                <w:b w:val="0"/>
                <w:color w:val="2A2A28"/>
                <w:sz w:val="17"/>
              </w:rPr>
              <w:t>Apple Pay (growing)</w:t>
            </w:r>
          </w:p>
        </w:tc>
        <w:tc>
          <w:tcPr>
            <w:tcW w:type="dxa" w:w="3312"/>
            <w:tcMar>
              <w:top w:w="60" w:type="dxa"/>
              <w:bottom w:w="60" w:type="dxa"/>
              <w:start w:w="100" w:type="dxa"/>
              <w:end w:w="100" w:type="dxa"/>
            </w:tcMar>
          </w:tcPr>
          <w:p>
            <w:pPr>
              <w:spacing w:after="0" w:before="0"/>
            </w:pPr>
            <w:r/>
            <w:r>
              <w:rPr>
                <w:b w:val="0"/>
                <w:color w:val="2A2A28"/>
                <w:sz w:val="17"/>
              </w:rPr>
              <w:t>iOS Shortcuts ‘Transaction’ trigger</w:t>
            </w:r>
          </w:p>
        </w:tc>
        <w:tc>
          <w:tcPr>
            <w:tcW w:type="dxa" w:w="1584"/>
            <w:tcMar>
              <w:top w:w="60" w:type="dxa"/>
              <w:bottom w:w="60" w:type="dxa"/>
              <w:start w:w="100" w:type="dxa"/>
              <w:end w:w="100" w:type="dxa"/>
            </w:tcMar>
            <w:shd w:val="clear" w:color="auto" w:fill="E9ECDA"/>
          </w:tcPr>
          <w:p>
            <w:pPr>
              <w:spacing w:after="0" w:before="0"/>
            </w:pPr>
            <w:r/>
            <w:r>
              <w:rPr>
                <w:b w:val="0"/>
                <w:color w:val="4F5104"/>
                <w:sz w:val="17"/>
              </w:rPr>
              <w:t>Auto</w:t>
            </w:r>
          </w:p>
        </w:tc>
        <w:tc>
          <w:tcPr>
            <w:tcW w:type="dxa" w:w="1728"/>
            <w:tcMar>
              <w:top w:w="60" w:type="dxa"/>
              <w:bottom w:w="60" w:type="dxa"/>
              <w:start w:w="100" w:type="dxa"/>
              <w:end w:w="100" w:type="dxa"/>
            </w:tcMar>
            <w:shd w:val="clear" w:color="auto" w:fill="E9ECDA"/>
          </w:tcPr>
          <w:p>
            <w:pPr>
              <w:spacing w:after="0" w:before="0"/>
            </w:pPr>
            <w:r/>
            <w:r>
              <w:rPr>
                <w:b w:val="0"/>
                <w:color w:val="4F5104"/>
                <w:sz w:val="17"/>
              </w:rPr>
              <w:t>Auto (Google Pay)</w:t>
            </w:r>
          </w:p>
        </w:tc>
        <w:tc>
          <w:tcPr>
            <w:tcW w:type="dxa" w:w="2448"/>
            <w:tcMar>
              <w:top w:w="60" w:type="dxa"/>
              <w:bottom w:w="60" w:type="dxa"/>
              <w:start w:w="100" w:type="dxa"/>
              <w:end w:w="100" w:type="dxa"/>
            </w:tcMar>
            <w:shd w:val="clear" w:color="auto" w:fill="E9ECDA"/>
          </w:tcPr>
          <w:p>
            <w:pPr>
              <w:spacing w:after="0" w:before="0"/>
            </w:pPr>
            <w:r/>
            <w:r>
              <w:rPr>
                <w:b w:val="0"/>
                <w:color w:val="4F5104"/>
                <w:sz w:val="17"/>
              </w:rPr>
              <w:t>Coverage grows over time</w:t>
            </w:r>
          </w:p>
        </w:tc>
      </w:tr>
      <w:tr>
        <w:tc>
          <w:tcPr>
            <w:tcW w:type="dxa" w:w="2448"/>
            <w:tcMar>
              <w:top w:w="60" w:type="dxa"/>
              <w:bottom w:w="60" w:type="dxa"/>
              <w:start w:w="100" w:type="dxa"/>
              <w:end w:w="100" w:type="dxa"/>
            </w:tcMar>
            <w:shd w:val="clear" w:color="auto" w:fill="F7F6F2"/>
          </w:tcPr>
          <w:p>
            <w:pPr>
              <w:spacing w:after="0" w:before="0"/>
            </w:pPr>
            <w:r/>
            <w:r>
              <w:rPr>
                <w:b w:val="0"/>
                <w:color w:val="2A2A28"/>
                <w:sz w:val="17"/>
              </w:rPr>
              <w:t>Bank QR / DuitNow (MAE, CIMB)</w:t>
            </w:r>
          </w:p>
        </w:tc>
        <w:tc>
          <w:tcPr>
            <w:tcW w:type="dxa" w:w="3312"/>
            <w:tcMar>
              <w:top w:w="60" w:type="dxa"/>
              <w:bottom w:w="60" w:type="dxa"/>
              <w:start w:w="100" w:type="dxa"/>
              <w:end w:w="100" w:type="dxa"/>
            </w:tcMar>
            <w:shd w:val="clear" w:color="auto" w:fill="F7F6F2"/>
          </w:tcPr>
          <w:p>
            <w:pPr>
              <w:spacing w:after="0" w:before="0"/>
            </w:pPr>
            <w:r/>
            <w:r>
              <w:rPr>
                <w:b w:val="0"/>
                <w:color w:val="2A2A28"/>
                <w:sz w:val="17"/>
              </w:rPr>
              <w:t>Open-banking aggregator + bank emails</w:t>
            </w:r>
          </w:p>
        </w:tc>
        <w:tc>
          <w:tcPr>
            <w:tcW w:type="dxa" w:w="1584"/>
            <w:tcMar>
              <w:top w:w="60" w:type="dxa"/>
              <w:bottom w:w="60" w:type="dxa"/>
              <w:start w:w="100" w:type="dxa"/>
              <w:end w:w="100" w:type="dxa"/>
            </w:tcMar>
            <w:shd w:val="clear" w:color="auto" w:fill="F6EBCE"/>
          </w:tcPr>
          <w:p>
            <w:pPr>
              <w:spacing w:after="0" w:before="0"/>
            </w:pPr>
            <w:r/>
            <w:r>
              <w:rPr>
                <w:b w:val="0"/>
                <w:color w:val="B2780A"/>
                <w:sz w:val="17"/>
              </w:rPr>
              <w:t>Via aggregator</w:t>
            </w:r>
          </w:p>
        </w:tc>
        <w:tc>
          <w:tcPr>
            <w:tcW w:type="dxa" w:w="1728"/>
            <w:tcMar>
              <w:top w:w="60" w:type="dxa"/>
              <w:bottom w:w="60" w:type="dxa"/>
              <w:start w:w="100" w:type="dxa"/>
              <w:end w:w="100" w:type="dxa"/>
            </w:tcMar>
            <w:shd w:val="clear" w:color="auto" w:fill="E9ECDA"/>
          </w:tcPr>
          <w:p>
            <w:pPr>
              <w:spacing w:after="0" w:before="0"/>
            </w:pPr>
            <w:r/>
            <w:r>
              <w:rPr>
                <w:b w:val="0"/>
                <w:color w:val="4F5104"/>
                <w:sz w:val="17"/>
              </w:rPr>
              <w:t>Yes</w:t>
            </w:r>
          </w:p>
        </w:tc>
        <w:tc>
          <w:tcPr>
            <w:tcW w:type="dxa" w:w="2448"/>
            <w:tcMar>
              <w:top w:w="60" w:type="dxa"/>
              <w:bottom w:w="60" w:type="dxa"/>
              <w:start w:w="100" w:type="dxa"/>
              <w:end w:w="100" w:type="dxa"/>
            </w:tcMar>
            <w:shd w:val="clear" w:color="auto" w:fill="E9ECDA"/>
          </w:tcPr>
          <w:p>
            <w:pPr>
              <w:spacing w:after="0" w:before="0"/>
            </w:pPr>
            <w:r/>
            <w:r>
              <w:rPr>
                <w:b w:val="0"/>
                <w:color w:val="4F5104"/>
                <w:sz w:val="17"/>
              </w:rPr>
              <w:t>Best-covered long-term</w:t>
            </w:r>
          </w:p>
        </w:tc>
      </w:tr>
      <w:tr>
        <w:tc>
          <w:tcPr>
            <w:tcW w:type="dxa" w:w="2448"/>
            <w:tcMar>
              <w:top w:w="60" w:type="dxa"/>
              <w:bottom w:w="60" w:type="dxa"/>
              <w:start w:w="100" w:type="dxa"/>
              <w:end w:w="100" w:type="dxa"/>
            </w:tcMar>
          </w:tcPr>
          <w:p>
            <w:pPr>
              <w:spacing w:after="0" w:before="0"/>
            </w:pPr>
            <w:r/>
            <w:r>
              <w:rPr>
                <w:b w:val="0"/>
                <w:color w:val="2A2A28"/>
                <w:sz w:val="17"/>
              </w:rPr>
              <w:t>TNG eWallet (dominant)</w:t>
            </w:r>
          </w:p>
        </w:tc>
        <w:tc>
          <w:tcPr>
            <w:tcW w:type="dxa" w:w="3312"/>
            <w:tcMar>
              <w:top w:w="60" w:type="dxa"/>
              <w:bottom w:w="60" w:type="dxa"/>
              <w:start w:w="100" w:type="dxa"/>
              <w:end w:w="100" w:type="dxa"/>
            </w:tcMar>
          </w:tcPr>
          <w:p>
            <w:pPr>
              <w:spacing w:after="0" w:before="0"/>
            </w:pPr>
            <w:r/>
            <w:r>
              <w:rPr>
                <w:b w:val="0"/>
                <w:color w:val="2A2A28"/>
                <w:sz w:val="17"/>
              </w:rPr>
              <w:t>Manual / screenshot → AI / (Android push)</w:t>
            </w:r>
          </w:p>
        </w:tc>
        <w:tc>
          <w:tcPr>
            <w:tcW w:type="dxa" w:w="1584"/>
            <w:tcMar>
              <w:top w:w="60" w:type="dxa"/>
              <w:bottom w:w="60" w:type="dxa"/>
              <w:start w:w="100" w:type="dxa"/>
              <w:end w:w="100" w:type="dxa"/>
            </w:tcMar>
            <w:shd w:val="clear" w:color="auto" w:fill="F0E1DA"/>
          </w:tcPr>
          <w:p>
            <w:pPr>
              <w:spacing w:after="0" w:before="0"/>
            </w:pPr>
            <w:r/>
            <w:r>
              <w:rPr>
                <w:b w:val="0"/>
                <w:color w:val="C1694F"/>
                <w:sz w:val="17"/>
              </w:rPr>
              <w:t>Manual only</w:t>
            </w:r>
          </w:p>
        </w:tc>
        <w:tc>
          <w:tcPr>
            <w:tcW w:type="dxa" w:w="1728"/>
            <w:tcMar>
              <w:top w:w="60" w:type="dxa"/>
              <w:bottom w:w="60" w:type="dxa"/>
              <w:start w:w="100" w:type="dxa"/>
              <w:end w:w="100" w:type="dxa"/>
            </w:tcMar>
            <w:shd w:val="clear" w:color="auto" w:fill="F6EBCE"/>
          </w:tcPr>
          <w:p>
            <w:pPr>
              <w:spacing w:after="0" w:before="0"/>
            </w:pPr>
            <w:r/>
            <w:r>
              <w:rPr>
                <w:b w:val="0"/>
                <w:color w:val="B2780A"/>
                <w:sz w:val="17"/>
              </w:rPr>
              <w:t>Notif-read possible</w:t>
            </w:r>
          </w:p>
        </w:tc>
        <w:tc>
          <w:tcPr>
            <w:tcW w:type="dxa" w:w="2448"/>
            <w:tcMar>
              <w:top w:w="60" w:type="dxa"/>
              <w:bottom w:w="60" w:type="dxa"/>
              <w:start w:w="100" w:type="dxa"/>
              <w:end w:w="100" w:type="dxa"/>
            </w:tcMar>
            <w:shd w:val="clear" w:color="auto" w:fill="F0E1DA"/>
          </w:tcPr>
          <w:p>
            <w:pPr>
              <w:spacing w:after="0" w:before="0"/>
            </w:pPr>
            <w:r/>
            <w:r>
              <w:rPr>
                <w:b w:val="0"/>
                <w:color w:val="C1694F"/>
                <w:sz w:val="17"/>
              </w:rPr>
              <w:t>The hard gap — ~2029</w:t>
            </w:r>
          </w:p>
        </w:tc>
      </w:tr>
      <w:tr>
        <w:tc>
          <w:tcPr>
            <w:tcW w:type="dxa" w:w="2448"/>
            <w:tcMar>
              <w:top w:w="60" w:type="dxa"/>
              <w:bottom w:w="60" w:type="dxa"/>
              <w:start w:w="100" w:type="dxa"/>
              <w:end w:w="100" w:type="dxa"/>
            </w:tcMar>
            <w:shd w:val="clear" w:color="auto" w:fill="F7F6F2"/>
          </w:tcPr>
          <w:p>
            <w:pPr>
              <w:spacing w:after="0" w:before="0"/>
            </w:pPr>
            <w:r/>
            <w:r>
              <w:rPr>
                <w:b w:val="0"/>
                <w:color w:val="2A2A28"/>
                <w:sz w:val="17"/>
              </w:rPr>
              <w:t>Other banks</w:t>
            </w:r>
          </w:p>
        </w:tc>
        <w:tc>
          <w:tcPr>
            <w:tcW w:type="dxa" w:w="3312"/>
            <w:tcMar>
              <w:top w:w="60" w:type="dxa"/>
              <w:bottom w:w="60" w:type="dxa"/>
              <w:start w:w="100" w:type="dxa"/>
              <w:end w:w="100" w:type="dxa"/>
            </w:tcMar>
            <w:shd w:val="clear" w:color="auto" w:fill="F7F6F2"/>
          </w:tcPr>
          <w:p>
            <w:pPr>
              <w:spacing w:after="0" w:before="0"/>
            </w:pPr>
            <w:r/>
            <w:r>
              <w:rPr>
                <w:b w:val="0"/>
                <w:color w:val="2A2A28"/>
                <w:sz w:val="17"/>
              </w:rPr>
              <w:t>Open Finance (PayNet) later</w:t>
            </w:r>
          </w:p>
        </w:tc>
        <w:tc>
          <w:tcPr>
            <w:tcW w:type="dxa" w:w="1584"/>
            <w:tcMar>
              <w:top w:w="60" w:type="dxa"/>
              <w:bottom w:w="60" w:type="dxa"/>
              <w:start w:w="100" w:type="dxa"/>
              <w:end w:w="100" w:type="dxa"/>
            </w:tcMar>
            <w:shd w:val="clear" w:color="auto" w:fill="F0E1DA"/>
          </w:tcPr>
          <w:p>
            <w:pPr>
              <w:spacing w:after="0" w:before="0"/>
            </w:pPr>
            <w:r/>
            <w:r>
              <w:rPr>
                <w:b w:val="0"/>
                <w:color w:val="C1694F"/>
                <w:sz w:val="17"/>
              </w:rPr>
              <w:t>Wait 2027/28</w:t>
            </w:r>
          </w:p>
        </w:tc>
        <w:tc>
          <w:tcPr>
            <w:tcW w:type="dxa" w:w="1728"/>
            <w:tcMar>
              <w:top w:w="60" w:type="dxa"/>
              <w:bottom w:w="60" w:type="dxa"/>
              <w:start w:w="100" w:type="dxa"/>
              <w:end w:w="100" w:type="dxa"/>
            </w:tcMar>
            <w:shd w:val="clear" w:color="auto" w:fill="F0E1DA"/>
          </w:tcPr>
          <w:p>
            <w:pPr>
              <w:spacing w:after="0" w:before="0"/>
            </w:pPr>
            <w:r/>
            <w:r>
              <w:rPr>
                <w:b w:val="0"/>
                <w:color w:val="C1694F"/>
                <w:sz w:val="17"/>
              </w:rPr>
              <w:t>Wait 2027/28</w:t>
            </w:r>
          </w:p>
        </w:tc>
        <w:tc>
          <w:tcPr>
            <w:tcW w:type="dxa" w:w="2448"/>
            <w:tcMar>
              <w:top w:w="60" w:type="dxa"/>
              <w:bottom w:w="60" w:type="dxa"/>
              <w:start w:w="100" w:type="dxa"/>
              <w:end w:w="100" w:type="dxa"/>
            </w:tcMar>
            <w:shd w:val="clear" w:color="auto" w:fill="F0E1DA"/>
          </w:tcPr>
          <w:p>
            <w:pPr>
              <w:spacing w:after="0" w:before="0"/>
            </w:pPr>
            <w:r/>
            <w:r>
              <w:rPr>
                <w:b w:val="0"/>
                <w:color w:val="C1694F"/>
                <w:sz w:val="17"/>
              </w:rPr>
              <w:t>Rails not live yet</w:t>
            </w:r>
          </w:p>
        </w:tc>
      </w:tr>
      <w:tr>
        <w:tc>
          <w:tcPr>
            <w:tcW w:type="dxa" w:w="2448"/>
            <w:tcMar>
              <w:top w:w="60" w:type="dxa"/>
              <w:bottom w:w="60" w:type="dxa"/>
              <w:start w:w="100" w:type="dxa"/>
              <w:end w:w="100" w:type="dxa"/>
            </w:tcMar>
          </w:tcPr>
          <w:p>
            <w:pPr>
              <w:spacing w:after="0" w:before="0"/>
            </w:pPr>
            <w:r/>
            <w:r>
              <w:rPr>
                <w:b w:val="0"/>
                <w:color w:val="2A2A28"/>
                <w:sz w:val="17"/>
              </w:rPr>
              <w:t>Cash</w:t>
            </w:r>
          </w:p>
        </w:tc>
        <w:tc>
          <w:tcPr>
            <w:tcW w:type="dxa" w:w="3312"/>
            <w:tcMar>
              <w:top w:w="60" w:type="dxa"/>
              <w:bottom w:w="60" w:type="dxa"/>
              <w:start w:w="100" w:type="dxa"/>
              <w:end w:w="100" w:type="dxa"/>
            </w:tcMar>
          </w:tcPr>
          <w:p>
            <w:pPr>
              <w:spacing w:after="0" w:before="0"/>
            </w:pPr>
            <w:r/>
            <w:r>
              <w:rPr>
                <w:b w:val="0"/>
                <w:color w:val="2A2A28"/>
                <w:sz w:val="17"/>
              </w:rPr>
              <w:t>Manual quick-add</w:t>
            </w:r>
          </w:p>
        </w:tc>
        <w:tc>
          <w:tcPr>
            <w:tcW w:type="dxa" w:w="1584"/>
            <w:tcMar>
              <w:top w:w="60" w:type="dxa"/>
              <w:bottom w:w="60" w:type="dxa"/>
              <w:start w:w="100" w:type="dxa"/>
              <w:end w:w="100" w:type="dxa"/>
            </w:tcMar>
            <w:shd w:val="clear" w:color="auto" w:fill="E9ECDA"/>
          </w:tcPr>
          <w:p>
            <w:pPr>
              <w:spacing w:after="0" w:before="0"/>
            </w:pPr>
            <w:r/>
            <w:r>
              <w:rPr>
                <w:b w:val="0"/>
                <w:color w:val="4F5104"/>
                <w:sz w:val="17"/>
              </w:rPr>
              <w:t>Manual</w:t>
            </w:r>
          </w:p>
        </w:tc>
        <w:tc>
          <w:tcPr>
            <w:tcW w:type="dxa" w:w="1728"/>
            <w:tcMar>
              <w:top w:w="60" w:type="dxa"/>
              <w:bottom w:w="60" w:type="dxa"/>
              <w:start w:w="100" w:type="dxa"/>
              <w:end w:w="100" w:type="dxa"/>
            </w:tcMar>
            <w:shd w:val="clear" w:color="auto" w:fill="E9ECDA"/>
          </w:tcPr>
          <w:p>
            <w:pPr>
              <w:spacing w:after="0" w:before="0"/>
            </w:pPr>
            <w:r/>
            <w:r>
              <w:rPr>
                <w:b w:val="0"/>
                <w:color w:val="4F5104"/>
                <w:sz w:val="17"/>
              </w:rPr>
              <w:t>Manual</w:t>
            </w:r>
          </w:p>
        </w:tc>
        <w:tc>
          <w:tcPr>
            <w:tcW w:type="dxa" w:w="2448"/>
            <w:tcMar>
              <w:top w:w="60" w:type="dxa"/>
              <w:bottom w:w="60" w:type="dxa"/>
              <w:start w:w="100" w:type="dxa"/>
              <w:end w:w="100" w:type="dxa"/>
            </w:tcMar>
            <w:shd w:val="clear" w:color="auto" w:fill="E9ECDA"/>
          </w:tcPr>
          <w:p>
            <w:pPr>
              <w:spacing w:after="0" w:before="0"/>
            </w:pPr>
            <w:r/>
            <w:r>
              <w:rPr>
                <w:b w:val="0"/>
                <w:color w:val="4F5104"/>
                <w:sz w:val="17"/>
              </w:rPr>
              <w:t>Always manual</w:t>
            </w:r>
          </w:p>
        </w:tc>
      </w:tr>
    </w:tbl>
    <w:p>
      <w:pPr>
        <w:spacing w:after="80" w:before="80"/>
      </w:pPr>
      <w:r>
        <w:rPr>
          <w:b w:val="0"/>
          <w:i/>
          <w:color w:val="8B7355"/>
          <w:sz w:val="20"/>
        </w:rPr>
        <w:t>Key consequence: TNG — your single biggest rail — has no clean auto-capture on iPhone for years. The right answer for TNG is not an impossible ‘read’, it's FRICTIONLESS MANUAL CAPTURE. That's why the quick-add feature matters most.</w:t>
      </w:r>
    </w:p>
    <w:p>
      <w:pPr>
        <w:spacing w:before="280" w:after="120"/>
      </w:pPr>
      <w:r>
        <w:rPr>
          <w:b/>
          <w:color w:val="4F5104"/>
          <w:sz w:val="28"/>
        </w:rPr>
        <w:t>3.  Why some things are genuinely impossible (plain English)</w:t>
      </w:r>
    </w:p>
    <w:p>
      <w:pPr>
        <w:pStyle w:val="ListBullet"/>
        <w:spacing w:after="60"/>
      </w:pPr>
      <w:r>
        <w:rPr>
          <w:b/>
          <w:color w:val="2A2A28"/>
          <w:sz w:val="21"/>
        </w:rPr>
        <w:t xml:space="preserve">The iPhone wall — </w:t>
      </w:r>
      <w:r>
        <w:rPr>
          <w:color w:val="2A2A28"/>
          <w:sz w:val="21"/>
        </w:rPr>
        <w:t>Apple's privacy sandbox: an iPhone app cannot read another app's notifications or SMS. There is no setting, no permission, no workaround. This is why the famous SMS-reading apps (e.g. Walnut) are Android-only.</w:t>
      </w:r>
    </w:p>
    <w:p>
      <w:pPr>
        <w:pStyle w:val="ListBullet"/>
        <w:spacing w:after="60"/>
      </w:pPr>
      <w:r>
        <w:rPr>
          <w:b/>
          <w:color w:val="2A2A28"/>
          <w:sz w:val="21"/>
        </w:rPr>
        <w:t xml:space="preserve">No rails yet — </w:t>
      </w:r>
      <w:r>
        <w:rPr>
          <w:color w:val="2A2A28"/>
          <w:sz w:val="21"/>
        </w:rPr>
        <w:t>Malaysia has no consumer bank-data API in production yet. Banks are not yet required to share your transaction data with apps. That requirement starts in 2027.</w:t>
      </w:r>
    </w:p>
    <w:p>
      <w:pPr>
        <w:pStyle w:val="ListBullet"/>
        <w:spacing w:after="60"/>
      </w:pPr>
      <w:r>
        <w:rPr>
          <w:b/>
          <w:color w:val="2A2A28"/>
          <w:sz w:val="21"/>
        </w:rPr>
        <w:t xml:space="preserve">E-wallets are last — </w:t>
      </w:r>
      <w:r>
        <w:rPr>
          <w:color w:val="2A2A28"/>
          <w:sz w:val="21"/>
        </w:rPr>
        <w:t>E-wallets (TNG, GrabPay, Boost) are scheduled LAST in the rollout (~2029) and currently expose no consumer data API and send push notifications (not emails) — the worst combination for capture on iPhone.</w:t>
      </w:r>
    </w:p>
    <w:p>
      <w:pPr>
        <w:spacing w:before="280" w:after="120"/>
      </w:pPr>
      <w:r>
        <w:rPr>
          <w:b/>
          <w:color w:val="4F5104"/>
          <w:sz w:val="28"/>
        </w:rPr>
        <w:t>4.  The Malaysia timeline (BNM Open Finance)</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1728"/>
            <w:tcMar>
              <w:top w:w="60" w:type="dxa"/>
              <w:bottom w:w="60" w:type="dxa"/>
              <w:start w:w="100" w:type="dxa"/>
              <w:end w:w="100" w:type="dxa"/>
            </w:tcMar>
            <w:shd w:val="clear" w:color="auto" w:fill="4F5104"/>
          </w:tcPr>
          <w:p>
            <w:pPr>
              <w:spacing w:after="0" w:before="0"/>
            </w:pPr>
            <w:r/>
            <w:r>
              <w:rPr>
                <w:b/>
                <w:color w:val="FFFFFF"/>
                <w:sz w:val="19"/>
              </w:rPr>
              <w:t>When</w:t>
            </w:r>
          </w:p>
        </w:tc>
        <w:tc>
          <w:tcPr>
            <w:tcW w:type="dxa" w:w="4464"/>
            <w:tcMar>
              <w:top w:w="60" w:type="dxa"/>
              <w:bottom w:w="60" w:type="dxa"/>
              <w:start w:w="100" w:type="dxa"/>
              <w:end w:w="100" w:type="dxa"/>
            </w:tcMar>
            <w:shd w:val="clear" w:color="auto" w:fill="4F5104"/>
          </w:tcPr>
          <w:p>
            <w:pPr>
              <w:spacing w:after="0" w:before="0"/>
            </w:pPr>
            <w:r/>
            <w:r>
              <w:rPr>
                <w:b/>
                <w:color w:val="FFFFFF"/>
                <w:sz w:val="19"/>
              </w:rPr>
              <w:t>Milestone</w:t>
            </w:r>
          </w:p>
        </w:tc>
        <w:tc>
          <w:tcPr>
            <w:tcW w:type="dxa" w:w="2880"/>
            <w:tcMar>
              <w:top w:w="60" w:type="dxa"/>
              <w:bottom w:w="60" w:type="dxa"/>
              <w:start w:w="100" w:type="dxa"/>
              <w:end w:w="100" w:type="dxa"/>
            </w:tcMar>
            <w:shd w:val="clear" w:color="auto" w:fill="4F5104"/>
          </w:tcPr>
          <w:p>
            <w:pPr>
              <w:spacing w:after="0" w:before="0"/>
            </w:pPr>
            <w:r/>
            <w:r>
              <w:rPr>
                <w:b/>
                <w:color w:val="FFFFFF"/>
                <w:sz w:val="19"/>
              </w:rPr>
              <w:t>What it unlocks</w:t>
            </w:r>
          </w:p>
        </w:tc>
      </w:tr>
      <w:tr>
        <w:tc>
          <w:tcPr>
            <w:tcW w:type="dxa" w:w="1728"/>
            <w:tcMar>
              <w:top w:w="60" w:type="dxa"/>
              <w:bottom w:w="60" w:type="dxa"/>
              <w:start w:w="100" w:type="dxa"/>
              <w:end w:w="100" w:type="dxa"/>
            </w:tcMar>
          </w:tcPr>
          <w:p>
            <w:pPr>
              <w:spacing w:after="0" w:before="0"/>
            </w:pPr>
            <w:r/>
            <w:r>
              <w:rPr>
                <w:b w:val="0"/>
                <w:color w:val="2A2A28"/>
                <w:sz w:val="19"/>
              </w:rPr>
              <w:t>18 Nov 2025</w:t>
            </w:r>
          </w:p>
        </w:tc>
        <w:tc>
          <w:tcPr>
            <w:tcW w:type="dxa" w:w="4464"/>
            <w:tcMar>
              <w:top w:w="60" w:type="dxa"/>
              <w:bottom w:w="60" w:type="dxa"/>
              <w:start w:w="100" w:type="dxa"/>
              <w:end w:w="100" w:type="dxa"/>
            </w:tcMar>
          </w:tcPr>
          <w:p>
            <w:pPr>
              <w:spacing w:after="0" w:before="0"/>
            </w:pPr>
            <w:r/>
            <w:r>
              <w:rPr>
                <w:b w:val="0"/>
                <w:color w:val="2A2A28"/>
                <w:sz w:val="19"/>
              </w:rPr>
              <w:t>BNM Open Finance Exposure Draft published</w:t>
            </w:r>
          </w:p>
        </w:tc>
        <w:tc>
          <w:tcPr>
            <w:tcW w:type="dxa" w:w="2880"/>
            <w:tcMar>
              <w:top w:w="60" w:type="dxa"/>
              <w:bottom w:w="60" w:type="dxa"/>
              <w:start w:w="100" w:type="dxa"/>
              <w:end w:w="100" w:type="dxa"/>
            </w:tcMar>
          </w:tcPr>
          <w:p>
            <w:pPr>
              <w:spacing w:after="0" w:before="0"/>
            </w:pPr>
            <w:r/>
            <w:r>
              <w:rPr>
                <w:b w:val="0"/>
                <w:color w:val="2A2A28"/>
                <w:sz w:val="19"/>
              </w:rPr>
              <w:t>Rulebook drafted</w:t>
            </w:r>
          </w:p>
        </w:tc>
      </w:tr>
      <w:tr>
        <w:tc>
          <w:tcPr>
            <w:tcW w:type="dxa" w:w="1728"/>
            <w:tcMar>
              <w:top w:w="60" w:type="dxa"/>
              <w:bottom w:w="60" w:type="dxa"/>
              <w:start w:w="100" w:type="dxa"/>
              <w:end w:w="100" w:type="dxa"/>
            </w:tcMar>
            <w:shd w:val="clear" w:color="auto" w:fill="F7F6F2"/>
          </w:tcPr>
          <w:p>
            <w:pPr>
              <w:spacing w:after="0" w:before="0"/>
            </w:pPr>
            <w:r/>
            <w:r>
              <w:rPr>
                <w:b w:val="0"/>
                <w:color w:val="2A2A28"/>
                <w:sz w:val="19"/>
              </w:rPr>
              <w:t>1 Mar 2026</w:t>
            </w:r>
          </w:p>
        </w:tc>
        <w:tc>
          <w:tcPr>
            <w:tcW w:type="dxa" w:w="4464"/>
            <w:tcMar>
              <w:top w:w="60" w:type="dxa"/>
              <w:bottom w:w="60" w:type="dxa"/>
              <w:start w:w="100" w:type="dxa"/>
              <w:end w:w="100" w:type="dxa"/>
            </w:tcMar>
            <w:shd w:val="clear" w:color="auto" w:fill="F7F6F2"/>
          </w:tcPr>
          <w:p>
            <w:pPr>
              <w:spacing w:after="0" w:before="0"/>
            </w:pPr>
            <w:r/>
            <w:r>
              <w:rPr>
                <w:b w:val="0"/>
                <w:color w:val="2A2A28"/>
                <w:sz w:val="19"/>
              </w:rPr>
              <w:t>Industry consultation closes</w:t>
            </w:r>
          </w:p>
        </w:tc>
        <w:tc>
          <w:tcPr>
            <w:tcW w:type="dxa" w:w="2880"/>
            <w:tcMar>
              <w:top w:w="60" w:type="dxa"/>
              <w:bottom w:w="60" w:type="dxa"/>
              <w:start w:w="100" w:type="dxa"/>
              <w:end w:w="100" w:type="dxa"/>
            </w:tcMar>
            <w:shd w:val="clear" w:color="auto" w:fill="F7F6F2"/>
          </w:tcPr>
          <w:p>
            <w:pPr>
              <w:spacing w:after="0" w:before="0"/>
            </w:pPr>
            <w:r/>
            <w:r>
              <w:rPr>
                <w:b w:val="0"/>
                <w:color w:val="2A2A28"/>
                <w:sz w:val="19"/>
              </w:rPr>
              <w:t>Rules finalised after</w:t>
            </w:r>
          </w:p>
        </w:tc>
      </w:tr>
      <w:tr>
        <w:tc>
          <w:tcPr>
            <w:tcW w:type="dxa" w:w="1728"/>
            <w:tcMar>
              <w:top w:w="60" w:type="dxa"/>
              <w:bottom w:w="60" w:type="dxa"/>
              <w:start w:w="100" w:type="dxa"/>
              <w:end w:w="100" w:type="dxa"/>
            </w:tcMar>
          </w:tcPr>
          <w:p>
            <w:pPr>
              <w:spacing w:after="0" w:before="0"/>
            </w:pPr>
            <w:r/>
            <w:r>
              <w:rPr>
                <w:b w:val="0"/>
                <w:color w:val="2A2A28"/>
                <w:sz w:val="19"/>
              </w:rPr>
              <w:t>Mid 2026</w:t>
            </w:r>
          </w:p>
        </w:tc>
        <w:tc>
          <w:tcPr>
            <w:tcW w:type="dxa" w:w="4464"/>
            <w:tcMar>
              <w:top w:w="60" w:type="dxa"/>
              <w:bottom w:w="60" w:type="dxa"/>
              <w:start w:w="100" w:type="dxa"/>
              <w:end w:w="100" w:type="dxa"/>
            </w:tcMar>
          </w:tcPr>
          <w:p>
            <w:pPr>
              <w:spacing w:after="0" w:before="0"/>
            </w:pPr>
            <w:r/>
            <w:r>
              <w:rPr>
                <w:b w:val="0"/>
                <w:color w:val="2A2A28"/>
                <w:sz w:val="19"/>
              </w:rPr>
              <w:t>PayNet platform pilot (7 banks + EPF)</w:t>
            </w:r>
          </w:p>
        </w:tc>
        <w:tc>
          <w:tcPr>
            <w:tcW w:type="dxa" w:w="2880"/>
            <w:tcMar>
              <w:top w:w="60" w:type="dxa"/>
              <w:bottom w:w="60" w:type="dxa"/>
              <w:start w:w="100" w:type="dxa"/>
              <w:end w:w="100" w:type="dxa"/>
            </w:tcMar>
          </w:tcPr>
          <w:p>
            <w:pPr>
              <w:spacing w:after="0" w:before="0"/>
            </w:pPr>
            <w:r/>
            <w:r>
              <w:rPr>
                <w:b w:val="0"/>
                <w:color w:val="2A2A28"/>
                <w:sz w:val="19"/>
              </w:rPr>
              <w:t>First live API tests</w:t>
            </w:r>
          </w:p>
        </w:tc>
      </w:tr>
      <w:tr>
        <w:tc>
          <w:tcPr>
            <w:tcW w:type="dxa" w:w="1728"/>
            <w:tcMar>
              <w:top w:w="60" w:type="dxa"/>
              <w:bottom w:w="60" w:type="dxa"/>
              <w:start w:w="100" w:type="dxa"/>
              <w:end w:w="100" w:type="dxa"/>
            </w:tcMar>
            <w:shd w:val="clear" w:color="auto" w:fill="E9ECDA"/>
          </w:tcPr>
          <w:p>
            <w:pPr>
              <w:spacing w:after="0" w:before="0"/>
            </w:pPr>
            <w:r/>
            <w:r>
              <w:rPr>
                <w:b w:val="0"/>
                <w:color w:val="4F5104"/>
                <w:sz w:val="19"/>
              </w:rPr>
              <w:t>1 Jan 2027</w:t>
            </w:r>
          </w:p>
        </w:tc>
        <w:tc>
          <w:tcPr>
            <w:tcW w:type="dxa" w:w="4464"/>
            <w:tcMar>
              <w:top w:w="60" w:type="dxa"/>
              <w:bottom w:w="60" w:type="dxa"/>
              <w:start w:w="100" w:type="dxa"/>
              <w:end w:w="100" w:type="dxa"/>
            </w:tcMar>
            <w:shd w:val="clear" w:color="auto" w:fill="E9ECDA"/>
          </w:tcPr>
          <w:p>
            <w:pPr>
              <w:spacing w:after="0" w:before="0"/>
            </w:pPr>
            <w:r/>
            <w:r>
              <w:rPr>
                <w:b w:val="0"/>
                <w:color w:val="4F5104"/>
                <w:sz w:val="19"/>
              </w:rPr>
              <w:t>Banks with &gt;1M customers go live</w:t>
            </w:r>
          </w:p>
        </w:tc>
        <w:tc>
          <w:tcPr>
            <w:tcW w:type="dxa" w:w="2880"/>
            <w:tcMar>
              <w:top w:w="60" w:type="dxa"/>
              <w:bottom w:w="60" w:type="dxa"/>
              <w:start w:w="100" w:type="dxa"/>
              <w:end w:w="100" w:type="dxa"/>
            </w:tcMar>
            <w:shd w:val="clear" w:color="auto" w:fill="E9ECDA"/>
          </w:tcPr>
          <w:p>
            <w:pPr>
              <w:spacing w:after="0" w:before="0"/>
            </w:pPr>
            <w:r/>
            <w:r>
              <w:rPr>
                <w:b w:val="0"/>
                <w:color w:val="4F5104"/>
                <w:sz w:val="19"/>
              </w:rPr>
              <w:t>Connect big banks</w:t>
            </w:r>
          </w:p>
        </w:tc>
      </w:tr>
      <w:tr>
        <w:tc>
          <w:tcPr>
            <w:tcW w:type="dxa" w:w="1728"/>
            <w:tcMar>
              <w:top w:w="60" w:type="dxa"/>
              <w:bottom w:w="60" w:type="dxa"/>
              <w:start w:w="100" w:type="dxa"/>
              <w:end w:w="100" w:type="dxa"/>
            </w:tcMar>
          </w:tcPr>
          <w:p>
            <w:pPr>
              <w:spacing w:after="0" w:before="0"/>
            </w:pPr>
            <w:r/>
            <w:r>
              <w:rPr>
                <w:b w:val="0"/>
                <w:color w:val="2A2A28"/>
                <w:sz w:val="19"/>
              </w:rPr>
              <w:t>1 Jan 2028</w:t>
            </w:r>
          </w:p>
        </w:tc>
        <w:tc>
          <w:tcPr>
            <w:tcW w:type="dxa" w:w="4464"/>
            <w:tcMar>
              <w:top w:w="60" w:type="dxa"/>
              <w:bottom w:w="60" w:type="dxa"/>
              <w:start w:w="100" w:type="dxa"/>
              <w:end w:w="100" w:type="dxa"/>
            </w:tcMar>
          </w:tcPr>
          <w:p>
            <w:pPr>
              <w:spacing w:after="0" w:before="0"/>
            </w:pPr>
            <w:r/>
            <w:r>
              <w:rPr>
                <w:b w:val="0"/>
                <w:color w:val="2A2A28"/>
                <w:sz w:val="19"/>
              </w:rPr>
              <w:t>Banks with &gt;100k customers</w:t>
            </w:r>
          </w:p>
        </w:tc>
        <w:tc>
          <w:tcPr>
            <w:tcW w:type="dxa" w:w="2880"/>
            <w:tcMar>
              <w:top w:w="60" w:type="dxa"/>
              <w:bottom w:w="60" w:type="dxa"/>
              <w:start w:w="100" w:type="dxa"/>
              <w:end w:w="100" w:type="dxa"/>
            </w:tcMar>
          </w:tcPr>
          <w:p>
            <w:pPr>
              <w:spacing w:after="0" w:before="0"/>
            </w:pPr>
            <w:r/>
            <w:r>
              <w:rPr>
                <w:b w:val="0"/>
                <w:color w:val="2A2A28"/>
                <w:sz w:val="19"/>
              </w:rPr>
              <w:t>More banks</w:t>
            </w:r>
          </w:p>
        </w:tc>
      </w:tr>
      <w:tr>
        <w:tc>
          <w:tcPr>
            <w:tcW w:type="dxa" w:w="1728"/>
            <w:tcMar>
              <w:top w:w="60" w:type="dxa"/>
              <w:bottom w:w="60" w:type="dxa"/>
              <w:start w:w="100" w:type="dxa"/>
              <w:end w:w="100" w:type="dxa"/>
            </w:tcMar>
            <w:shd w:val="clear" w:color="auto" w:fill="F6EBCE"/>
          </w:tcPr>
          <w:p>
            <w:pPr>
              <w:spacing w:after="0" w:before="0"/>
            </w:pPr>
            <w:r/>
            <w:r>
              <w:rPr>
                <w:b w:val="0"/>
                <w:color w:val="B2780A"/>
                <w:sz w:val="19"/>
              </w:rPr>
              <w:t>1 Jan 2029</w:t>
            </w:r>
          </w:p>
        </w:tc>
        <w:tc>
          <w:tcPr>
            <w:tcW w:type="dxa" w:w="4464"/>
            <w:tcMar>
              <w:top w:w="60" w:type="dxa"/>
              <w:bottom w:w="60" w:type="dxa"/>
              <w:start w:w="100" w:type="dxa"/>
              <w:end w:w="100" w:type="dxa"/>
            </w:tcMar>
            <w:shd w:val="clear" w:color="auto" w:fill="F6EBCE"/>
          </w:tcPr>
          <w:p>
            <w:pPr>
              <w:spacing w:after="0" w:before="0"/>
            </w:pPr>
            <w:r/>
            <w:r>
              <w:rPr>
                <w:b w:val="0"/>
                <w:color w:val="B2780A"/>
                <w:sz w:val="19"/>
              </w:rPr>
              <w:t>E-wallets / EMIs (incl. TNG)</w:t>
            </w:r>
          </w:p>
        </w:tc>
        <w:tc>
          <w:tcPr>
            <w:tcW w:type="dxa" w:w="2880"/>
            <w:tcMar>
              <w:top w:w="60" w:type="dxa"/>
              <w:bottom w:w="60" w:type="dxa"/>
              <w:start w:w="100" w:type="dxa"/>
              <w:end w:w="100" w:type="dxa"/>
            </w:tcMar>
            <w:shd w:val="clear" w:color="auto" w:fill="F6EBCE"/>
          </w:tcPr>
          <w:p>
            <w:pPr>
              <w:spacing w:after="0" w:before="0"/>
            </w:pPr>
            <w:r/>
            <w:r>
              <w:rPr>
                <w:b w:val="0"/>
                <w:color w:val="B2780A"/>
                <w:sz w:val="19"/>
              </w:rPr>
              <w:t>Connect TNG, finally</w:t>
            </w:r>
          </w:p>
        </w:tc>
      </w:tr>
    </w:tbl>
    <w:p>
      <w:pPr>
        <w:spacing w:after="120" w:before="40"/>
      </w:pPr>
      <w:r>
        <w:rPr>
          <w:b w:val="0"/>
          <w:i/>
          <w:color w:val="6B6A64"/>
          <w:sz w:val="19"/>
        </w:rPr>
        <w:t>Standards confirmed: REST APIs, JSON, OAuth2, TLS 1.2+, ISO 20022 — i.e. exactly what an aggregator like Finverse already speaks, so integration later is standard work.</w:t>
      </w:r>
    </w:p>
    <w:p>
      <w:pPr>
        <w:spacing w:before="280" w:after="120"/>
      </w:pPr>
      <w:r>
        <w:rPr>
          <w:b/>
          <w:color w:val="4F5104"/>
          <w:sz w:val="28"/>
        </w:rPr>
        <w:t>5.  What we're building — the plan</w:t>
      </w:r>
    </w:p>
    <w:p>
      <w:pPr>
        <w:spacing w:after="80" w:before="0"/>
      </w:pPr>
      <w:r>
        <w:rPr>
          <w:b w:val="0"/>
          <w:i/>
          <w:color w:val="6B6A64"/>
          <w:sz w:val="20"/>
        </w:rPr>
        <w:t>Four phases. The first two ship value now without any bank deal; the last two make us ‘open-finance-ready’ so 2027 is a plug-in, not a rebuild.</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c>
          <w:tcPr>
            <w:tcW w:type="dxa" w:w="864"/>
            <w:tcMar>
              <w:top w:w="60" w:type="dxa"/>
              <w:bottom w:w="60" w:type="dxa"/>
              <w:start w:w="100" w:type="dxa"/>
              <w:end w:w="100" w:type="dxa"/>
            </w:tcMar>
            <w:shd w:val="clear" w:color="auto" w:fill="4F5104"/>
          </w:tcPr>
          <w:p>
            <w:pPr>
              <w:spacing w:after="0" w:before="0"/>
            </w:pPr>
            <w:r/>
            <w:r>
              <w:rPr>
                <w:b/>
                <w:color w:val="FFFFFF"/>
                <w:sz w:val="17"/>
              </w:rPr>
              <w:t>Phase</w:t>
            </w:r>
          </w:p>
        </w:tc>
        <w:tc>
          <w:tcPr>
            <w:tcW w:type="dxa" w:w="4320"/>
            <w:tcMar>
              <w:top w:w="60" w:type="dxa"/>
              <w:bottom w:w="60" w:type="dxa"/>
              <w:start w:w="100" w:type="dxa"/>
              <w:end w:w="100" w:type="dxa"/>
            </w:tcMar>
            <w:shd w:val="clear" w:color="auto" w:fill="4F5104"/>
          </w:tcPr>
          <w:p>
            <w:pPr>
              <w:spacing w:after="0" w:before="0"/>
            </w:pPr>
            <w:r/>
            <w:r>
              <w:rPr>
                <w:b/>
                <w:color w:val="FFFFFF"/>
                <w:sz w:val="17"/>
              </w:rPr>
              <w:t>What</w:t>
            </w:r>
          </w:p>
        </w:tc>
        <w:tc>
          <w:tcPr>
            <w:tcW w:type="dxa" w:w="1728"/>
            <w:tcMar>
              <w:top w:w="60" w:type="dxa"/>
              <w:bottom w:w="60" w:type="dxa"/>
              <w:start w:w="100" w:type="dxa"/>
              <w:end w:w="100" w:type="dxa"/>
            </w:tcMar>
            <w:shd w:val="clear" w:color="auto" w:fill="4F5104"/>
          </w:tcPr>
          <w:p>
            <w:pPr>
              <w:spacing w:after="0" w:before="0"/>
            </w:pPr>
            <w:r/>
            <w:r>
              <w:rPr>
                <w:b/>
                <w:color w:val="FFFFFF"/>
                <w:sz w:val="17"/>
              </w:rPr>
              <w:t>Needs a bank deal?</w:t>
            </w:r>
          </w:p>
        </w:tc>
        <w:tc>
          <w:tcPr>
            <w:tcW w:type="dxa" w:w="1152"/>
            <w:tcMar>
              <w:top w:w="60" w:type="dxa"/>
              <w:bottom w:w="60" w:type="dxa"/>
              <w:start w:w="100" w:type="dxa"/>
              <w:end w:w="100" w:type="dxa"/>
            </w:tcMar>
            <w:shd w:val="clear" w:color="auto" w:fill="4F5104"/>
          </w:tcPr>
          <w:p>
            <w:pPr>
              <w:spacing w:after="0" w:before="0"/>
            </w:pPr>
            <w:r/>
            <w:r>
              <w:rPr>
                <w:b/>
                <w:color w:val="FFFFFF"/>
                <w:sz w:val="17"/>
              </w:rPr>
              <w:t>Effort</w:t>
            </w:r>
          </w:p>
        </w:tc>
        <w:tc>
          <w:tcPr>
            <w:tcW w:type="dxa" w:w="2880"/>
            <w:tcMar>
              <w:top w:w="60" w:type="dxa"/>
              <w:bottom w:w="60" w:type="dxa"/>
              <w:start w:w="100" w:type="dxa"/>
              <w:end w:w="100" w:type="dxa"/>
            </w:tcMar>
            <w:shd w:val="clear" w:color="auto" w:fill="4F5104"/>
          </w:tcPr>
          <w:p>
            <w:pPr>
              <w:spacing w:after="0" w:before="0"/>
            </w:pPr>
            <w:r/>
            <w:r>
              <w:rPr>
                <w:b/>
                <w:color w:val="FFFFFF"/>
                <w:sz w:val="17"/>
              </w:rPr>
              <w:t>Payoff</w:t>
            </w:r>
          </w:p>
        </w:tc>
      </w:tr>
      <w:tr>
        <w:tc>
          <w:tcPr>
            <w:tcW w:type="dxa" w:w="864"/>
            <w:tcMar>
              <w:top w:w="60" w:type="dxa"/>
              <w:bottom w:w="60" w:type="dxa"/>
              <w:start w:w="100" w:type="dxa"/>
              <w:end w:w="100" w:type="dxa"/>
            </w:tcMar>
            <w:shd w:val="clear" w:color="auto" w:fill="E9ECDA"/>
          </w:tcPr>
          <w:p>
            <w:pPr>
              <w:spacing w:after="0" w:before="0"/>
            </w:pPr>
            <w:r/>
            <w:r>
              <w:rPr>
                <w:b w:val="0"/>
                <w:color w:val="4F5104"/>
                <w:sz w:val="17"/>
              </w:rPr>
              <w:t>1</w:t>
            </w:r>
          </w:p>
        </w:tc>
        <w:tc>
          <w:tcPr>
            <w:tcW w:type="dxa" w:w="4320"/>
            <w:tcMar>
              <w:top w:w="60" w:type="dxa"/>
              <w:bottom w:w="60" w:type="dxa"/>
              <w:start w:w="100" w:type="dxa"/>
              <w:end w:w="100" w:type="dxa"/>
            </w:tcMar>
          </w:tcPr>
          <w:p>
            <w:pPr>
              <w:spacing w:after="0" w:before="0"/>
            </w:pPr>
            <w:r/>
            <w:r>
              <w:rPr>
                <w:b w:val="0"/>
                <w:color w:val="2A2A28"/>
                <w:sz w:val="17"/>
              </w:rPr>
              <w:t>App Intent quick-add (Back Tap / Siri / widget / Control Centre)</w:t>
            </w:r>
          </w:p>
        </w:tc>
        <w:tc>
          <w:tcPr>
            <w:tcW w:type="dxa" w:w="1728"/>
            <w:tcMar>
              <w:top w:w="60" w:type="dxa"/>
              <w:bottom w:w="60" w:type="dxa"/>
              <w:start w:w="100" w:type="dxa"/>
              <w:end w:w="100" w:type="dxa"/>
            </w:tcMar>
            <w:shd w:val="clear" w:color="auto" w:fill="E9ECDA"/>
          </w:tcPr>
          <w:p>
            <w:pPr>
              <w:spacing w:after="0" w:before="0"/>
            </w:pPr>
            <w:r/>
            <w:r>
              <w:rPr>
                <w:b w:val="0"/>
                <w:color w:val="4F5104"/>
                <w:sz w:val="17"/>
              </w:rPr>
              <w:t>No</w:t>
            </w:r>
          </w:p>
        </w:tc>
        <w:tc>
          <w:tcPr>
            <w:tcW w:type="dxa" w:w="1152"/>
            <w:tcMar>
              <w:top w:w="60" w:type="dxa"/>
              <w:bottom w:w="60" w:type="dxa"/>
              <w:start w:w="100" w:type="dxa"/>
              <w:end w:w="100" w:type="dxa"/>
            </w:tcMar>
          </w:tcPr>
          <w:p>
            <w:pPr>
              <w:spacing w:after="0" w:before="0"/>
            </w:pPr>
            <w:r/>
            <w:r>
              <w:rPr>
                <w:b w:val="0"/>
                <w:color w:val="2A2A28"/>
                <w:sz w:val="17"/>
              </w:rPr>
              <w:t>Medium</w:t>
            </w:r>
          </w:p>
        </w:tc>
        <w:tc>
          <w:tcPr>
            <w:tcW w:type="dxa" w:w="2880"/>
            <w:tcMar>
              <w:top w:w="60" w:type="dxa"/>
              <w:bottom w:w="60" w:type="dxa"/>
              <w:start w:w="100" w:type="dxa"/>
              <w:end w:w="100" w:type="dxa"/>
            </w:tcMar>
          </w:tcPr>
          <w:p>
            <w:pPr>
              <w:spacing w:after="0" w:before="0"/>
            </w:pPr>
            <w:r/>
            <w:r>
              <w:rPr>
                <w:b w:val="0"/>
                <w:color w:val="2A2A28"/>
                <w:sz w:val="17"/>
              </w:rPr>
              <w:t>Instant manual capture; also receives Apple Pay</w:t>
            </w:r>
          </w:p>
        </w:tc>
      </w:tr>
      <w:tr>
        <w:tc>
          <w:tcPr>
            <w:tcW w:type="dxa" w:w="864"/>
            <w:tcMar>
              <w:top w:w="60" w:type="dxa"/>
              <w:bottom w:w="60" w:type="dxa"/>
              <w:start w:w="100" w:type="dxa"/>
              <w:end w:w="100" w:type="dxa"/>
            </w:tcMar>
            <w:shd w:val="clear" w:color="auto" w:fill="E9ECDA"/>
          </w:tcPr>
          <w:p>
            <w:pPr>
              <w:spacing w:after="0" w:before="0"/>
            </w:pPr>
            <w:r/>
            <w:r>
              <w:rPr>
                <w:b w:val="0"/>
                <w:color w:val="4F5104"/>
                <w:sz w:val="17"/>
              </w:rPr>
              <w:t>2</w:t>
            </w:r>
          </w:p>
        </w:tc>
        <w:tc>
          <w:tcPr>
            <w:tcW w:type="dxa" w:w="4320"/>
            <w:tcMar>
              <w:top w:w="60" w:type="dxa"/>
              <w:bottom w:w="60" w:type="dxa"/>
              <w:start w:w="100" w:type="dxa"/>
              <w:end w:w="100" w:type="dxa"/>
            </w:tcMar>
            <w:shd w:val="clear" w:color="auto" w:fill="F7F6F2"/>
          </w:tcPr>
          <w:p>
            <w:pPr>
              <w:spacing w:after="0" w:before="0"/>
            </w:pPr>
            <w:r/>
            <w:r>
              <w:rPr>
                <w:b w:val="0"/>
                <w:color w:val="2A2A28"/>
                <w:sz w:val="17"/>
              </w:rPr>
              <w:t>Email parsing (Gmail/IMAP → AI → suggested transaction)</w:t>
            </w:r>
          </w:p>
        </w:tc>
        <w:tc>
          <w:tcPr>
            <w:tcW w:type="dxa" w:w="1728"/>
            <w:tcMar>
              <w:top w:w="60" w:type="dxa"/>
              <w:bottom w:w="60" w:type="dxa"/>
              <w:start w:w="100" w:type="dxa"/>
              <w:end w:w="100" w:type="dxa"/>
            </w:tcMar>
            <w:shd w:val="clear" w:color="auto" w:fill="E9ECDA"/>
          </w:tcPr>
          <w:p>
            <w:pPr>
              <w:spacing w:after="0" w:before="0"/>
            </w:pPr>
            <w:r/>
            <w:r>
              <w:rPr>
                <w:b w:val="0"/>
                <w:color w:val="4F5104"/>
                <w:sz w:val="17"/>
              </w:rPr>
              <w:t>No</w:t>
            </w:r>
          </w:p>
        </w:tc>
        <w:tc>
          <w:tcPr>
            <w:tcW w:type="dxa" w:w="1152"/>
            <w:tcMar>
              <w:top w:w="60" w:type="dxa"/>
              <w:bottom w:w="60" w:type="dxa"/>
              <w:start w:w="100" w:type="dxa"/>
              <w:end w:w="100" w:type="dxa"/>
            </w:tcMar>
            <w:shd w:val="clear" w:color="auto" w:fill="F7F6F2"/>
          </w:tcPr>
          <w:p>
            <w:pPr>
              <w:spacing w:after="0" w:before="0"/>
            </w:pPr>
            <w:r/>
            <w:r>
              <w:rPr>
                <w:b w:val="0"/>
                <w:color w:val="2A2A28"/>
                <w:sz w:val="17"/>
              </w:rPr>
              <w:t>Medium</w:t>
            </w:r>
          </w:p>
        </w:tc>
        <w:tc>
          <w:tcPr>
            <w:tcW w:type="dxa" w:w="2880"/>
            <w:tcMar>
              <w:top w:w="60" w:type="dxa"/>
              <w:bottom w:w="60" w:type="dxa"/>
              <w:start w:w="100" w:type="dxa"/>
              <w:end w:w="100" w:type="dxa"/>
            </w:tcMar>
            <w:shd w:val="clear" w:color="auto" w:fill="F7F6F2"/>
          </w:tcPr>
          <w:p>
            <w:pPr>
              <w:spacing w:after="0" w:before="0"/>
            </w:pPr>
            <w:r/>
            <w:r>
              <w:rPr>
                <w:b w:val="0"/>
                <w:color w:val="2A2A28"/>
                <w:sz w:val="17"/>
              </w:rPr>
              <w:t>Semi-auto across many banks + some e-wallets</w:t>
            </w:r>
          </w:p>
        </w:tc>
      </w:tr>
      <w:tr>
        <w:tc>
          <w:tcPr>
            <w:tcW w:type="dxa" w:w="864"/>
            <w:tcMar>
              <w:top w:w="60" w:type="dxa"/>
              <w:bottom w:w="60" w:type="dxa"/>
              <w:start w:w="100" w:type="dxa"/>
              <w:end w:w="100" w:type="dxa"/>
            </w:tcMar>
            <w:shd w:val="clear" w:color="auto" w:fill="F6EBCE"/>
          </w:tcPr>
          <w:p>
            <w:pPr>
              <w:spacing w:after="0" w:before="0"/>
            </w:pPr>
            <w:r/>
            <w:r>
              <w:rPr>
                <w:b w:val="0"/>
                <w:color w:val="B2780A"/>
                <w:sz w:val="17"/>
              </w:rPr>
              <w:t>3</w:t>
            </w:r>
          </w:p>
        </w:tc>
        <w:tc>
          <w:tcPr>
            <w:tcW w:type="dxa" w:w="4320"/>
            <w:tcMar>
              <w:top w:w="60" w:type="dxa"/>
              <w:bottom w:w="60" w:type="dxa"/>
              <w:start w:w="100" w:type="dxa"/>
              <w:end w:w="100" w:type="dxa"/>
            </w:tcMar>
          </w:tcPr>
          <w:p>
            <w:pPr>
              <w:spacing w:after="0" w:before="0"/>
            </w:pPr>
            <w:r/>
            <w:r>
              <w:rPr>
                <w:b w:val="0"/>
                <w:color w:val="2A2A28"/>
                <w:sz w:val="17"/>
              </w:rPr>
              <w:t>Connection abstraction (future-ready wallet data model)</w:t>
            </w:r>
          </w:p>
        </w:tc>
        <w:tc>
          <w:tcPr>
            <w:tcW w:type="dxa" w:w="1728"/>
            <w:tcMar>
              <w:top w:w="60" w:type="dxa"/>
              <w:bottom w:w="60" w:type="dxa"/>
              <w:start w:w="100" w:type="dxa"/>
              <w:end w:w="100" w:type="dxa"/>
            </w:tcMar>
            <w:shd w:val="clear" w:color="auto" w:fill="F6EBCE"/>
          </w:tcPr>
          <w:p>
            <w:pPr>
              <w:spacing w:after="0" w:before="0"/>
            </w:pPr>
            <w:r/>
            <w:r>
              <w:rPr>
                <w:b w:val="0"/>
                <w:color w:val="B2780A"/>
                <w:sz w:val="17"/>
              </w:rPr>
              <w:t>No</w:t>
            </w:r>
          </w:p>
        </w:tc>
        <w:tc>
          <w:tcPr>
            <w:tcW w:type="dxa" w:w="1152"/>
            <w:tcMar>
              <w:top w:w="60" w:type="dxa"/>
              <w:bottom w:w="60" w:type="dxa"/>
              <w:start w:w="100" w:type="dxa"/>
              <w:end w:w="100" w:type="dxa"/>
            </w:tcMar>
          </w:tcPr>
          <w:p>
            <w:pPr>
              <w:spacing w:after="0" w:before="0"/>
            </w:pPr>
            <w:r/>
            <w:r>
              <w:rPr>
                <w:b w:val="0"/>
                <w:color w:val="2A2A28"/>
                <w:sz w:val="17"/>
              </w:rPr>
              <w:t>Low</w:t>
            </w:r>
          </w:p>
        </w:tc>
        <w:tc>
          <w:tcPr>
            <w:tcW w:type="dxa" w:w="2880"/>
            <w:tcMar>
              <w:top w:w="60" w:type="dxa"/>
              <w:bottom w:w="60" w:type="dxa"/>
              <w:start w:w="100" w:type="dxa"/>
              <w:end w:w="100" w:type="dxa"/>
            </w:tcMar>
          </w:tcPr>
          <w:p>
            <w:pPr>
              <w:spacing w:after="0" w:before="0"/>
            </w:pPr>
            <w:r/>
            <w:r>
              <w:rPr>
                <w:b w:val="0"/>
                <w:color w:val="2A2A28"/>
                <w:sz w:val="17"/>
              </w:rPr>
              <w:t>Nothing breaks later; plug-in ready</w:t>
            </w:r>
          </w:p>
        </w:tc>
      </w:tr>
      <w:tr>
        <w:tc>
          <w:tcPr>
            <w:tcW w:type="dxa" w:w="864"/>
            <w:tcMar>
              <w:top w:w="60" w:type="dxa"/>
              <w:bottom w:w="60" w:type="dxa"/>
              <w:start w:w="100" w:type="dxa"/>
              <w:end w:w="100" w:type="dxa"/>
            </w:tcMar>
            <w:shd w:val="clear" w:color="auto" w:fill="F6EBCE"/>
          </w:tcPr>
          <w:p>
            <w:pPr>
              <w:spacing w:after="0" w:before="0"/>
            </w:pPr>
            <w:r/>
            <w:r>
              <w:rPr>
                <w:b w:val="0"/>
                <w:color w:val="B2780A"/>
                <w:sz w:val="17"/>
              </w:rPr>
              <w:t>4</w:t>
            </w:r>
          </w:p>
        </w:tc>
        <w:tc>
          <w:tcPr>
            <w:tcW w:type="dxa" w:w="4320"/>
            <w:tcMar>
              <w:top w:w="60" w:type="dxa"/>
              <w:bottom w:w="60" w:type="dxa"/>
              <w:start w:w="100" w:type="dxa"/>
              <w:end w:w="100" w:type="dxa"/>
            </w:tcMar>
            <w:shd w:val="clear" w:color="auto" w:fill="F7F6F2"/>
          </w:tcPr>
          <w:p>
            <w:pPr>
              <w:spacing w:after="0" w:before="0"/>
            </w:pPr>
            <w:r/>
            <w:r>
              <w:rPr>
                <w:b w:val="0"/>
                <w:color w:val="2A2A28"/>
                <w:sz w:val="17"/>
              </w:rPr>
              <w:t>Plug in open banking (Finverse now / PayNet 2027)</w:t>
            </w:r>
          </w:p>
        </w:tc>
        <w:tc>
          <w:tcPr>
            <w:tcW w:type="dxa" w:w="1728"/>
            <w:tcMar>
              <w:top w:w="60" w:type="dxa"/>
              <w:bottom w:w="60" w:type="dxa"/>
              <w:start w:w="100" w:type="dxa"/>
              <w:end w:w="100" w:type="dxa"/>
            </w:tcMar>
            <w:shd w:val="clear" w:color="auto" w:fill="F6EBCE"/>
          </w:tcPr>
          <w:p>
            <w:pPr>
              <w:spacing w:after="0" w:before="0"/>
            </w:pPr>
            <w:r/>
            <w:r>
              <w:rPr>
                <w:b w:val="0"/>
                <w:color w:val="B2780A"/>
                <w:sz w:val="17"/>
              </w:rPr>
              <w:t>Yes</w:t>
            </w:r>
          </w:p>
        </w:tc>
        <w:tc>
          <w:tcPr>
            <w:tcW w:type="dxa" w:w="1152"/>
            <w:tcMar>
              <w:top w:w="60" w:type="dxa"/>
              <w:bottom w:w="60" w:type="dxa"/>
              <w:start w:w="100" w:type="dxa"/>
              <w:end w:w="100" w:type="dxa"/>
            </w:tcMar>
            <w:shd w:val="clear" w:color="auto" w:fill="F7F6F2"/>
          </w:tcPr>
          <w:p>
            <w:pPr>
              <w:spacing w:after="0" w:before="0"/>
            </w:pPr>
            <w:r/>
            <w:r>
              <w:rPr>
                <w:b w:val="0"/>
                <w:color w:val="2A2A28"/>
                <w:sz w:val="17"/>
              </w:rPr>
              <w:t>High</w:t>
            </w:r>
          </w:p>
        </w:tc>
        <w:tc>
          <w:tcPr>
            <w:tcW w:type="dxa" w:w="2880"/>
            <w:tcMar>
              <w:top w:w="60" w:type="dxa"/>
              <w:bottom w:w="60" w:type="dxa"/>
              <w:start w:w="100" w:type="dxa"/>
              <w:end w:w="100" w:type="dxa"/>
            </w:tcMar>
            <w:shd w:val="clear" w:color="auto" w:fill="F7F6F2"/>
          </w:tcPr>
          <w:p>
            <w:pPr>
              <w:spacing w:after="0" w:before="0"/>
            </w:pPr>
            <w:r/>
            <w:r>
              <w:rPr>
                <w:b w:val="0"/>
                <w:color w:val="2A2A28"/>
                <w:sz w:val="17"/>
              </w:rPr>
              <w:t>True live bank sync — when worth it</w:t>
            </w:r>
          </w:p>
        </w:tc>
      </w:tr>
    </w:tbl>
    <w:p>
      <w:pPr>
        <w:spacing w:after="120" w:before="80"/>
      </w:pPr>
      <w:r>
        <w:rPr>
          <w:b w:val="0"/>
          <w:i/>
          <w:color w:val="8B7355"/>
          <w:sz w:val="20"/>
        </w:rPr>
        <w:t>Recommendation: build Phases 1–3 now. Hold Phase 4 until Open Finance is live and covers enough banks (and eventually TNG) to justify the recurring cost + compliance.</w:t>
      </w:r>
    </w:p>
    <w:p>
      <w:pPr>
        <w:spacing w:before="280" w:after="120"/>
      </w:pPr>
      <w:r>
        <w:rPr>
          <w:b/>
          <w:color w:val="4F5104"/>
          <w:sz w:val="28"/>
        </w:rPr>
        <w:t>6.  The ‘Connection’ abstraction (how we stay future-ready)</w:t>
      </w:r>
    </w:p>
    <w:p>
      <w:pPr>
        <w:spacing w:after="80" w:before="0"/>
      </w:pPr>
      <w:r>
        <w:rPr>
          <w:b w:val="0"/>
          <w:i w:val="0"/>
          <w:color w:val="2A2A28"/>
          <w:sz w:val="21"/>
        </w:rPr>
        <w:t>Today a wallet is a manual number. We add a few OPTIONAL fields so the same wallet can later be fed by a real bank connection — without changing its shape. No migration, nothing breaks for existing users.</w:t>
      </w:r>
    </w:p>
    <w:p>
      <w:pPr>
        <w:spacing w:after="60" w:before="0"/>
      </w:pPr>
      <w:r>
        <w:rPr>
          <w:b/>
          <w:i w:val="0"/>
          <w:color w:val="2A2A28"/>
          <w:sz w:val="21"/>
        </w:rPr>
        <w:t>Wallet model — today vs. upgraded:</w:t>
      </w:r>
    </w:p>
    <w:tbl>
      <w:tblPr>
        <w:tblStyle w:val="TableGrid"/>
        <w:tblW w:type="auto" w:w="0"/>
        <w:jc w:val="center"/>
        <w:tblLayout w:type="fixed"/>
        <w:tblLook w:firstColumn="1" w:firstRow="1" w:lastColumn="0" w:lastRow="0" w:noHBand="0" w:noVBand="1" w:val="04A0"/>
      </w:tblPr>
      <w:tblGrid>
        <w:gridCol w:w="2880"/>
        <w:gridCol w:w="2880"/>
        <w:gridCol w:w="2880"/>
      </w:tblGrid>
      <w:tr>
        <w:tc>
          <w:tcPr>
            <w:tcW w:type="dxa" w:w="2592"/>
            <w:tcMar>
              <w:top w:w="60" w:type="dxa"/>
              <w:bottom w:w="60" w:type="dxa"/>
              <w:start w:w="100" w:type="dxa"/>
              <w:end w:w="100" w:type="dxa"/>
            </w:tcMar>
            <w:shd w:val="clear" w:color="auto" w:fill="4F5104"/>
          </w:tcPr>
          <w:p>
            <w:pPr>
              <w:spacing w:after="0" w:before="0"/>
            </w:pPr>
            <w:r/>
            <w:r>
              <w:rPr>
                <w:b/>
                <w:color w:val="FFFFFF"/>
                <w:sz w:val="19"/>
              </w:rPr>
              <w:t>Field</w:t>
            </w:r>
          </w:p>
        </w:tc>
        <w:tc>
          <w:tcPr>
            <w:tcW w:type="dxa" w:w="3744"/>
            <w:tcMar>
              <w:top w:w="60" w:type="dxa"/>
              <w:bottom w:w="60" w:type="dxa"/>
              <w:start w:w="100" w:type="dxa"/>
              <w:end w:w="100" w:type="dxa"/>
            </w:tcMar>
            <w:shd w:val="clear" w:color="auto" w:fill="4F5104"/>
          </w:tcPr>
          <w:p>
            <w:pPr>
              <w:spacing w:after="0" w:before="0"/>
            </w:pPr>
            <w:r/>
            <w:r>
              <w:rPr>
                <w:b/>
                <w:color w:val="FFFFFF"/>
                <w:sz w:val="19"/>
              </w:rPr>
              <w:t>Today</w:t>
            </w:r>
          </w:p>
        </w:tc>
        <w:tc>
          <w:tcPr>
            <w:tcW w:type="dxa" w:w="3744"/>
            <w:tcMar>
              <w:top w:w="60" w:type="dxa"/>
              <w:bottom w:w="60" w:type="dxa"/>
              <w:start w:w="100" w:type="dxa"/>
              <w:end w:w="100" w:type="dxa"/>
            </w:tcMar>
            <w:shd w:val="clear" w:color="auto" w:fill="4F5104"/>
          </w:tcPr>
          <w:p>
            <w:pPr>
              <w:spacing w:after="0" w:before="0"/>
            </w:pPr>
            <w:r/>
            <w:r>
              <w:rPr>
                <w:b/>
                <w:color w:val="FFFFFF"/>
                <w:sz w:val="19"/>
              </w:rPr>
              <w:t>After upgrade</w:t>
            </w:r>
          </w:p>
        </w:tc>
      </w:tr>
      <w:tr>
        <w:tc>
          <w:tcPr>
            <w:tcW w:type="dxa" w:w="2592"/>
            <w:tcMar>
              <w:top w:w="60" w:type="dxa"/>
              <w:bottom w:w="60" w:type="dxa"/>
              <w:start w:w="100" w:type="dxa"/>
              <w:end w:w="100" w:type="dxa"/>
            </w:tcMar>
          </w:tcPr>
          <w:p>
            <w:pPr>
              <w:spacing w:after="0" w:before="0"/>
            </w:pPr>
            <w:r/>
            <w:r>
              <w:rPr>
                <w:b w:val="0"/>
                <w:color w:val="2A2A28"/>
                <w:sz w:val="19"/>
              </w:rPr>
              <w:t>balance</w:t>
            </w:r>
          </w:p>
        </w:tc>
        <w:tc>
          <w:tcPr>
            <w:tcW w:type="dxa" w:w="3744"/>
            <w:tcMar>
              <w:top w:w="60" w:type="dxa"/>
              <w:bottom w:w="60" w:type="dxa"/>
              <w:start w:w="100" w:type="dxa"/>
              <w:end w:w="100" w:type="dxa"/>
            </w:tcMar>
          </w:tcPr>
          <w:p>
            <w:pPr>
              <w:spacing w:after="0" w:before="0"/>
            </w:pPr>
            <w:r/>
            <w:r>
              <w:rPr>
                <w:b w:val="0"/>
                <w:color w:val="2A2A28"/>
                <w:sz w:val="19"/>
              </w:rPr>
              <w:t>Manual number</w:t>
            </w:r>
          </w:p>
        </w:tc>
        <w:tc>
          <w:tcPr>
            <w:tcW w:type="dxa" w:w="3744"/>
            <w:tcMar>
              <w:top w:w="60" w:type="dxa"/>
              <w:bottom w:w="60" w:type="dxa"/>
              <w:start w:w="100" w:type="dxa"/>
              <w:end w:w="100" w:type="dxa"/>
            </w:tcMar>
          </w:tcPr>
          <w:p>
            <w:pPr>
              <w:spacing w:after="0" w:before="0"/>
            </w:pPr>
            <w:r/>
            <w:r>
              <w:rPr>
                <w:b w:val="0"/>
                <w:color w:val="2A2A28"/>
                <w:sz w:val="19"/>
              </w:rPr>
              <w:t>Manual OR fed by sync</w:t>
            </w:r>
          </w:p>
        </w:tc>
      </w:tr>
      <w:tr>
        <w:tc>
          <w:tcPr>
            <w:tcW w:type="dxa" w:w="2592"/>
            <w:tcMar>
              <w:top w:w="60" w:type="dxa"/>
              <w:bottom w:w="60" w:type="dxa"/>
              <w:start w:w="100" w:type="dxa"/>
              <w:end w:w="100" w:type="dxa"/>
            </w:tcMar>
            <w:shd w:val="clear" w:color="auto" w:fill="F7F6F2"/>
          </w:tcPr>
          <w:p>
            <w:pPr>
              <w:spacing w:after="0" w:before="0"/>
            </w:pPr>
            <w:r/>
            <w:r>
              <w:rPr>
                <w:b w:val="0"/>
                <w:color w:val="2A2A28"/>
                <w:sz w:val="19"/>
              </w:rPr>
              <w:t>type</w:t>
            </w:r>
          </w:p>
        </w:tc>
        <w:tc>
          <w:tcPr>
            <w:tcW w:type="dxa" w:w="3744"/>
            <w:tcMar>
              <w:top w:w="60" w:type="dxa"/>
              <w:bottom w:w="60" w:type="dxa"/>
              <w:start w:w="100" w:type="dxa"/>
              <w:end w:w="100" w:type="dxa"/>
            </w:tcMar>
            <w:shd w:val="clear" w:color="auto" w:fill="F7F6F2"/>
          </w:tcPr>
          <w:p>
            <w:pPr>
              <w:spacing w:after="0" w:before="0"/>
            </w:pPr>
            <w:r/>
            <w:r>
              <w:rPr>
                <w:b w:val="0"/>
                <w:color w:val="2A2A28"/>
                <w:sz w:val="19"/>
              </w:rPr>
              <w:t>Label only (bank/ewallet/credit)</w:t>
            </w:r>
          </w:p>
        </w:tc>
        <w:tc>
          <w:tcPr>
            <w:tcW w:type="dxa" w:w="3744"/>
            <w:tcMar>
              <w:top w:w="60" w:type="dxa"/>
              <w:bottom w:w="60" w:type="dxa"/>
              <w:start w:w="100" w:type="dxa"/>
              <w:end w:w="100" w:type="dxa"/>
            </w:tcMar>
            <w:shd w:val="clear" w:color="auto" w:fill="F7F6F2"/>
          </w:tcPr>
          <w:p>
            <w:pPr>
              <w:spacing w:after="0" w:before="0"/>
            </w:pPr>
            <w:r/>
            <w:r>
              <w:rPr>
                <w:b w:val="0"/>
                <w:color w:val="2A2A28"/>
                <w:sz w:val="19"/>
              </w:rPr>
              <w:t>Same</w:t>
            </w:r>
          </w:p>
        </w:tc>
      </w:tr>
      <w:tr>
        <w:tc>
          <w:tcPr>
            <w:tcW w:type="dxa" w:w="2592"/>
            <w:tcMar>
              <w:top w:w="60" w:type="dxa"/>
              <w:bottom w:w="60" w:type="dxa"/>
              <w:start w:w="100" w:type="dxa"/>
              <w:end w:w="100" w:type="dxa"/>
            </w:tcMar>
            <w:shd w:val="clear" w:color="auto" w:fill="F6EBCE"/>
          </w:tcPr>
          <w:p>
            <w:pPr>
              <w:spacing w:after="0" w:before="0"/>
            </w:pPr>
            <w:r/>
            <w:r>
              <w:rPr>
                <w:b w:val="0"/>
                <w:color w:val="B2780A"/>
                <w:sz w:val="19"/>
              </w:rPr>
              <w:t>connectionId?</w:t>
            </w:r>
          </w:p>
        </w:tc>
        <w:tc>
          <w:tcPr>
            <w:tcW w:type="dxa" w:w="3744"/>
            <w:tcMar>
              <w:top w:w="60" w:type="dxa"/>
              <w:bottom w:w="60" w:type="dxa"/>
              <w:start w:w="100" w:type="dxa"/>
              <w:end w:w="100" w:type="dxa"/>
            </w:tcMar>
            <w:shd w:val="clear" w:color="auto" w:fill="F6EBCE"/>
          </w:tcPr>
          <w:p>
            <w:pPr>
              <w:spacing w:after="0" w:before="0"/>
            </w:pPr>
            <w:r/>
            <w:r>
              <w:rPr>
                <w:b w:val="0"/>
                <w:color w:val="B2780A"/>
                <w:sz w:val="19"/>
              </w:rPr>
              <w:t>—</w:t>
            </w:r>
          </w:p>
        </w:tc>
        <w:tc>
          <w:tcPr>
            <w:tcW w:type="dxa" w:w="3744"/>
            <w:tcMar>
              <w:top w:w="60" w:type="dxa"/>
              <w:bottom w:w="60" w:type="dxa"/>
              <w:start w:w="100" w:type="dxa"/>
              <w:end w:w="100" w:type="dxa"/>
            </w:tcMar>
            <w:shd w:val="clear" w:color="auto" w:fill="F6EBCE"/>
          </w:tcPr>
          <w:p>
            <w:pPr>
              <w:spacing w:after="0" w:before="0"/>
            </w:pPr>
            <w:r/>
            <w:r>
              <w:rPr>
                <w:b w:val="0"/>
                <w:color w:val="B2780A"/>
                <w:sz w:val="19"/>
              </w:rPr>
              <w:t>Links to a live data source</w:t>
            </w:r>
          </w:p>
        </w:tc>
      </w:tr>
      <w:tr>
        <w:tc>
          <w:tcPr>
            <w:tcW w:type="dxa" w:w="2592"/>
            <w:tcMar>
              <w:top w:w="60" w:type="dxa"/>
              <w:bottom w:w="60" w:type="dxa"/>
              <w:start w:w="100" w:type="dxa"/>
              <w:end w:w="100" w:type="dxa"/>
            </w:tcMar>
            <w:shd w:val="clear" w:color="auto" w:fill="F6EBCE"/>
          </w:tcPr>
          <w:p>
            <w:pPr>
              <w:spacing w:after="0" w:before="0"/>
            </w:pPr>
            <w:r/>
            <w:r>
              <w:rPr>
                <w:b w:val="0"/>
                <w:color w:val="B2780A"/>
                <w:sz w:val="19"/>
              </w:rPr>
              <w:t>externalAccountId?</w:t>
            </w:r>
          </w:p>
        </w:tc>
        <w:tc>
          <w:tcPr>
            <w:tcW w:type="dxa" w:w="3744"/>
            <w:tcMar>
              <w:top w:w="60" w:type="dxa"/>
              <w:bottom w:w="60" w:type="dxa"/>
              <w:start w:w="100" w:type="dxa"/>
              <w:end w:w="100" w:type="dxa"/>
            </w:tcMar>
            <w:shd w:val="clear" w:color="auto" w:fill="F6EBCE"/>
          </w:tcPr>
          <w:p>
            <w:pPr>
              <w:spacing w:after="0" w:before="0"/>
            </w:pPr>
            <w:r/>
            <w:r>
              <w:rPr>
                <w:b w:val="0"/>
                <w:color w:val="B2780A"/>
                <w:sz w:val="19"/>
              </w:rPr>
              <w:t>—</w:t>
            </w:r>
          </w:p>
        </w:tc>
        <w:tc>
          <w:tcPr>
            <w:tcW w:type="dxa" w:w="3744"/>
            <w:tcMar>
              <w:top w:w="60" w:type="dxa"/>
              <w:bottom w:w="60" w:type="dxa"/>
              <w:start w:w="100" w:type="dxa"/>
              <w:end w:w="100" w:type="dxa"/>
            </w:tcMar>
            <w:shd w:val="clear" w:color="auto" w:fill="F6EBCE"/>
          </w:tcPr>
          <w:p>
            <w:pPr>
              <w:spacing w:after="0" w:before="0"/>
            </w:pPr>
            <w:r/>
            <w:r>
              <w:rPr>
                <w:b w:val="0"/>
                <w:color w:val="B2780A"/>
                <w:sz w:val="19"/>
              </w:rPr>
              <w:t>The bank's account reference</w:t>
            </w:r>
          </w:p>
        </w:tc>
      </w:tr>
      <w:tr>
        <w:tc>
          <w:tcPr>
            <w:tcW w:type="dxa" w:w="2592"/>
            <w:tcMar>
              <w:top w:w="60" w:type="dxa"/>
              <w:bottom w:w="60" w:type="dxa"/>
              <w:start w:w="100" w:type="dxa"/>
              <w:end w:w="100" w:type="dxa"/>
            </w:tcMar>
            <w:shd w:val="clear" w:color="auto" w:fill="F6EBCE"/>
          </w:tcPr>
          <w:p>
            <w:pPr>
              <w:spacing w:after="0" w:before="0"/>
            </w:pPr>
            <w:r/>
            <w:r>
              <w:rPr>
                <w:b w:val="0"/>
                <w:color w:val="B2780A"/>
                <w:sz w:val="19"/>
              </w:rPr>
              <w:t>lastSyncedAt?</w:t>
            </w:r>
          </w:p>
        </w:tc>
        <w:tc>
          <w:tcPr>
            <w:tcW w:type="dxa" w:w="3744"/>
            <w:tcMar>
              <w:top w:w="60" w:type="dxa"/>
              <w:bottom w:w="60" w:type="dxa"/>
              <w:start w:w="100" w:type="dxa"/>
              <w:end w:w="100" w:type="dxa"/>
            </w:tcMar>
            <w:shd w:val="clear" w:color="auto" w:fill="F6EBCE"/>
          </w:tcPr>
          <w:p>
            <w:pPr>
              <w:spacing w:after="0" w:before="0"/>
            </w:pPr>
            <w:r/>
            <w:r>
              <w:rPr>
                <w:b w:val="0"/>
                <w:color w:val="B2780A"/>
                <w:sz w:val="19"/>
              </w:rPr>
              <w:t>—</w:t>
            </w:r>
          </w:p>
        </w:tc>
        <w:tc>
          <w:tcPr>
            <w:tcW w:type="dxa" w:w="3744"/>
            <w:tcMar>
              <w:top w:w="60" w:type="dxa"/>
              <w:bottom w:w="60" w:type="dxa"/>
              <w:start w:w="100" w:type="dxa"/>
              <w:end w:w="100" w:type="dxa"/>
            </w:tcMar>
            <w:shd w:val="clear" w:color="auto" w:fill="F6EBCE"/>
          </w:tcPr>
          <w:p>
            <w:pPr>
              <w:spacing w:after="0" w:before="0"/>
            </w:pPr>
            <w:r/>
            <w:r>
              <w:rPr>
                <w:b w:val="0"/>
                <w:color w:val="B2780A"/>
                <w:sz w:val="19"/>
              </w:rPr>
              <w:t>When it last auto-updated</w:t>
            </w:r>
          </w:p>
        </w:tc>
      </w:tr>
      <w:tr>
        <w:tc>
          <w:tcPr>
            <w:tcW w:type="dxa" w:w="2592"/>
            <w:tcMar>
              <w:top w:w="60" w:type="dxa"/>
              <w:bottom w:w="60" w:type="dxa"/>
              <w:start w:w="100" w:type="dxa"/>
              <w:end w:w="100" w:type="dxa"/>
            </w:tcMar>
            <w:shd w:val="clear" w:color="auto" w:fill="F6EBCE"/>
          </w:tcPr>
          <w:p>
            <w:pPr>
              <w:spacing w:after="0" w:before="0"/>
            </w:pPr>
            <w:r/>
            <w:r>
              <w:rPr>
                <w:b w:val="0"/>
                <w:color w:val="B2780A"/>
                <w:sz w:val="19"/>
              </w:rPr>
              <w:t>source?</w:t>
            </w:r>
          </w:p>
        </w:tc>
        <w:tc>
          <w:tcPr>
            <w:tcW w:type="dxa" w:w="3744"/>
            <w:tcMar>
              <w:top w:w="60" w:type="dxa"/>
              <w:bottom w:w="60" w:type="dxa"/>
              <w:start w:w="100" w:type="dxa"/>
              <w:end w:w="100" w:type="dxa"/>
            </w:tcMar>
            <w:shd w:val="clear" w:color="auto" w:fill="F6EBCE"/>
          </w:tcPr>
          <w:p>
            <w:pPr>
              <w:spacing w:after="0" w:before="0"/>
            </w:pPr>
            <w:r/>
            <w:r>
              <w:rPr>
                <w:b w:val="0"/>
                <w:color w:val="B2780A"/>
                <w:sz w:val="19"/>
              </w:rPr>
              <w:t>—</w:t>
            </w:r>
          </w:p>
        </w:tc>
        <w:tc>
          <w:tcPr>
            <w:tcW w:type="dxa" w:w="3744"/>
            <w:tcMar>
              <w:top w:w="60" w:type="dxa"/>
              <w:bottom w:w="60" w:type="dxa"/>
              <w:start w:w="100" w:type="dxa"/>
              <w:end w:w="100" w:type="dxa"/>
            </w:tcMar>
            <w:shd w:val="clear" w:color="auto" w:fill="F6EBCE"/>
          </w:tcPr>
          <w:p>
            <w:pPr>
              <w:spacing w:after="0" w:before="0"/>
            </w:pPr>
            <w:r/>
            <w:r>
              <w:rPr>
                <w:b w:val="0"/>
                <w:color w:val="B2780A"/>
                <w:sz w:val="19"/>
              </w:rPr>
              <w:t>manual / email / openbanking</w:t>
            </w:r>
          </w:p>
        </w:tc>
      </w:tr>
    </w:tbl>
    <w:p>
      <w:pPr>
        <w:spacing w:after="60" w:before="120"/>
      </w:pPr>
      <w:r>
        <w:rPr>
          <w:b/>
          <w:i w:val="0"/>
          <w:color w:val="2A2A28"/>
          <w:sz w:val="21"/>
        </w:rPr>
        <w:t>The capture flow (same for every source):</w:t>
      </w:r>
    </w:p>
    <w:p>
      <w:pPr>
        <w:spacing w:after="80" w:before="0"/>
      </w:pPr>
      <w:r>
        <w:rPr>
          <w:b w:val="0"/>
          <w:i w:val="0"/>
          <w:color w:val="2A2A28"/>
          <w:sz w:val="21"/>
        </w:rPr>
        <w:t>source (email / Apple Pay / bank API)  →  normalise into one transaction shape  →  de-duplicate against what's already logged  →  show the user a suggestion  →  user taps Confirm  →  wallet balance updates.</w:t>
      </w:r>
    </w:p>
    <w:p>
      <w:pPr>
        <w:spacing w:after="120" w:before="0"/>
      </w:pPr>
      <w:r>
        <w:rPr>
          <w:b w:val="0"/>
          <w:i/>
          <w:color w:val="8B7355"/>
          <w:sz w:val="20"/>
        </w:rPr>
        <w:t>Golden rule: auto-captured items are SUGGESTIONS the user confirms — never silent writes. This keeps the app honest, calm, and trustworthy, and avoids double-counting.</w:t>
      </w:r>
    </w:p>
    <w:p>
      <w:pPr>
        <w:spacing w:before="280" w:after="120"/>
      </w:pPr>
      <w:r>
        <w:rPr>
          <w:b/>
          <w:color w:val="4F5104"/>
          <w:sz w:val="26"/>
        </w:rPr>
        <w:t>7.  Phase 1 — App Intent quick-add (build first)</w:t>
      </w:r>
    </w:p>
    <w:p>
      <w:pPr>
        <w:pStyle w:val="ListBullet"/>
        <w:spacing w:after="60"/>
      </w:pPr>
      <w:r>
        <w:rPr>
          <w:color w:val="2A2A28"/>
          <w:sz w:val="21"/>
        </w:rPr>
        <w:t>One small native module + Expo config plugin exposes an ‘Add expense’ action to iOS.</w:t>
      </w:r>
    </w:p>
    <w:p>
      <w:pPr>
        <w:pStyle w:val="ListBullet"/>
        <w:spacing w:after="60"/>
      </w:pPr>
      <w:r>
        <w:rPr>
          <w:color w:val="2A2A28"/>
          <w:sz w:val="21"/>
        </w:rPr>
        <w:t>That single action lights up Back Tap (double-tap back of iPhone), Siri (“hey Siri, add expense”), Spotlight, Control Centre, Lock Screen, and home-screen widgets.</w:t>
      </w:r>
    </w:p>
    <w:p>
      <w:pPr>
        <w:pStyle w:val="ListBullet"/>
        <w:spacing w:after="60"/>
      </w:pPr>
      <w:r>
        <w:rPr>
          <w:color w:val="2A2A28"/>
          <w:sz w:val="21"/>
        </w:rPr>
        <w:t>Same module RECEIVES Apple Pay transactions via a Shortcuts automation the user sets up once.</w:t>
      </w:r>
    </w:p>
    <w:p>
      <w:pPr>
        <w:pStyle w:val="ListBullet"/>
        <w:spacing w:after="60"/>
      </w:pPr>
      <w:r>
        <w:rPr>
          <w:color w:val="2A2A28"/>
          <w:sz w:val="21"/>
        </w:rPr>
        <w:t>Does double duty: the only good answer for TNG (manual) + the receiver for Apple Pay (auto).</w:t>
      </w:r>
    </w:p>
    <w:p>
      <w:pPr>
        <w:pStyle w:val="ListBullet"/>
        <w:spacing w:after="60"/>
      </w:pPr>
      <w:r>
        <w:rPr>
          <w:color w:val="2A2A28"/>
          <w:sz w:val="21"/>
        </w:rPr>
        <w:t>We provide a friendly one-time ‘set up auto-capture’ guide card.</w:t>
      </w:r>
    </w:p>
    <w:p>
      <w:pPr>
        <w:spacing w:before="280" w:after="120"/>
      </w:pPr>
      <w:r>
        <w:rPr>
          <w:b/>
          <w:color w:val="4F5104"/>
          <w:sz w:val="26"/>
        </w:rPr>
        <w:t>8.  Phase 2 — Email parsing (build second)</w:t>
      </w:r>
    </w:p>
    <w:p>
      <w:pPr>
        <w:pStyle w:val="ListBullet"/>
        <w:spacing w:after="60"/>
      </w:pPr>
      <w:r>
        <w:rPr>
          <w:color w:val="2A2A28"/>
          <w:sz w:val="21"/>
        </w:rPr>
        <w:t>User connects Gmail (or any IMAP) or forwards alerts to a parse address.</w:t>
      </w:r>
    </w:p>
    <w:p>
      <w:pPr>
        <w:pStyle w:val="ListBullet"/>
        <w:spacing w:after="60"/>
      </w:pPr>
      <w:r>
        <w:rPr>
          <w:color w:val="2A2A28"/>
          <w:sz w:val="21"/>
        </w:rPr>
        <w:t>Reuse the existing AI receipt pipeline to read bank &amp; e-wallet ALERT EMAILS and e-receipts → extract merchant, amount, date → suggest a transaction.</w:t>
      </w:r>
    </w:p>
    <w:p>
      <w:pPr>
        <w:pStyle w:val="ListBullet"/>
        <w:spacing w:after="60"/>
      </w:pPr>
      <w:r>
        <w:rPr>
          <w:color w:val="2A2A28"/>
          <w:sz w:val="21"/>
        </w:rPr>
        <w:t>Cross-platform (iPhone AND Android), no bank contract, no Apple sandbox problem.</w:t>
      </w:r>
    </w:p>
    <w:p>
      <w:pPr>
        <w:pStyle w:val="ListBullet"/>
        <w:spacing w:after="60"/>
      </w:pPr>
      <w:r>
        <w:rPr>
          <w:color w:val="2A2A28"/>
          <w:sz w:val="21"/>
        </w:rPr>
        <w:t>Covers many banks plus some e-wallet emails — the broadest cheap net available today.</w:t>
      </w:r>
    </w:p>
    <w:p>
      <w:pPr>
        <w:pStyle w:val="ListBullet"/>
        <w:spacing w:after="60"/>
      </w:pPr>
      <w:r>
        <w:rPr>
          <w:color w:val="2A2A28"/>
          <w:sz w:val="21"/>
        </w:rPr>
        <w:t>Privacy: parse on-device where possible, only financial emails, never personal mail, explicit consent, full BM/EN copy, calm framing, no red.</w:t>
      </w:r>
    </w:p>
    <w:p>
      <w:pPr>
        <w:spacing w:before="280" w:after="120"/>
      </w:pPr>
      <w:r>
        <w:rPr>
          <w:b/>
          <w:color w:val="4F5104"/>
          <w:sz w:val="28"/>
        </w:rPr>
        <w:t>9.  Honest cost &amp; effort summary</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c>
          <w:tcPr>
            <w:tcW w:type="dxa" w:w="2736"/>
            <w:tcMar>
              <w:top w:w="60" w:type="dxa"/>
              <w:bottom w:w="60" w:type="dxa"/>
              <w:start w:w="100" w:type="dxa"/>
              <w:end w:w="100" w:type="dxa"/>
            </w:tcMar>
            <w:shd w:val="clear" w:color="auto" w:fill="4F5104"/>
          </w:tcPr>
          <w:p>
            <w:pPr>
              <w:spacing w:after="0" w:before="0"/>
            </w:pPr>
            <w:r/>
            <w:r>
              <w:rPr>
                <w:b/>
                <w:color w:val="FFFFFF"/>
                <w:sz w:val="17"/>
              </w:rPr>
              <w:t>Option</w:t>
            </w:r>
          </w:p>
        </w:tc>
        <w:tc>
          <w:tcPr>
            <w:tcW w:type="dxa" w:w="2448"/>
            <w:tcMar>
              <w:top w:w="60" w:type="dxa"/>
              <w:bottom w:w="60" w:type="dxa"/>
              <w:start w:w="100" w:type="dxa"/>
              <w:end w:w="100" w:type="dxa"/>
            </w:tcMar>
            <w:shd w:val="clear" w:color="auto" w:fill="4F5104"/>
          </w:tcPr>
          <w:p>
            <w:pPr>
              <w:spacing w:after="0" w:before="0"/>
            </w:pPr>
            <w:r/>
            <w:r>
              <w:rPr>
                <w:b/>
                <w:color w:val="FFFFFF"/>
                <w:sz w:val="17"/>
              </w:rPr>
              <w:t>Up-front</w:t>
            </w:r>
          </w:p>
        </w:tc>
        <w:tc>
          <w:tcPr>
            <w:tcW w:type="dxa" w:w="2160"/>
            <w:tcMar>
              <w:top w:w="60" w:type="dxa"/>
              <w:bottom w:w="60" w:type="dxa"/>
              <w:start w:w="100" w:type="dxa"/>
              <w:end w:w="100" w:type="dxa"/>
            </w:tcMar>
            <w:shd w:val="clear" w:color="auto" w:fill="4F5104"/>
          </w:tcPr>
          <w:p>
            <w:pPr>
              <w:spacing w:after="0" w:before="0"/>
            </w:pPr>
            <w:r/>
            <w:r>
              <w:rPr>
                <w:b/>
                <w:color w:val="FFFFFF"/>
                <w:sz w:val="17"/>
              </w:rPr>
              <w:t>Ongoing cost</w:t>
            </w:r>
          </w:p>
        </w:tc>
        <w:tc>
          <w:tcPr>
            <w:tcW w:type="dxa" w:w="2160"/>
            <w:tcMar>
              <w:top w:w="60" w:type="dxa"/>
              <w:bottom w:w="60" w:type="dxa"/>
              <w:start w:w="100" w:type="dxa"/>
              <w:end w:w="100" w:type="dxa"/>
            </w:tcMar>
            <w:shd w:val="clear" w:color="auto" w:fill="4F5104"/>
          </w:tcPr>
          <w:p>
            <w:pPr>
              <w:spacing w:after="0" w:before="0"/>
            </w:pPr>
            <w:r/>
            <w:r>
              <w:rPr>
                <w:b/>
                <w:color w:val="FFFFFF"/>
                <w:sz w:val="17"/>
              </w:rPr>
              <w:t>Compliance</w:t>
            </w:r>
          </w:p>
        </w:tc>
        <w:tc>
          <w:tcPr>
            <w:tcW w:type="dxa" w:w="2448"/>
            <w:tcMar>
              <w:top w:w="60" w:type="dxa"/>
              <w:bottom w:w="60" w:type="dxa"/>
              <w:start w:w="100" w:type="dxa"/>
              <w:end w:w="100" w:type="dxa"/>
            </w:tcMar>
            <w:shd w:val="clear" w:color="auto" w:fill="4F5104"/>
          </w:tcPr>
          <w:p>
            <w:pPr>
              <w:spacing w:after="0" w:before="0"/>
            </w:pPr>
            <w:r/>
            <w:r>
              <w:rPr>
                <w:b/>
                <w:color w:val="FFFFFF"/>
                <w:sz w:val="17"/>
              </w:rPr>
              <w:t>Coverage</w:t>
            </w:r>
          </w:p>
        </w:tc>
      </w:tr>
      <w:tr>
        <w:tc>
          <w:tcPr>
            <w:tcW w:type="dxa" w:w="2736"/>
            <w:tcMar>
              <w:top w:w="60" w:type="dxa"/>
              <w:bottom w:w="60" w:type="dxa"/>
              <w:start w:w="100" w:type="dxa"/>
              <w:end w:w="100" w:type="dxa"/>
            </w:tcMar>
          </w:tcPr>
          <w:p>
            <w:pPr>
              <w:spacing w:after="0" w:before="0"/>
            </w:pPr>
            <w:r/>
            <w:r>
              <w:rPr>
                <w:b w:val="0"/>
                <w:color w:val="2A2A28"/>
                <w:sz w:val="17"/>
              </w:rPr>
              <w:t>Quick-add (Phase 1)</w:t>
            </w:r>
          </w:p>
        </w:tc>
        <w:tc>
          <w:tcPr>
            <w:tcW w:type="dxa" w:w="2448"/>
            <w:tcMar>
              <w:top w:w="60" w:type="dxa"/>
              <w:bottom w:w="60" w:type="dxa"/>
              <w:start w:w="100" w:type="dxa"/>
              <w:end w:w="100" w:type="dxa"/>
            </w:tcMar>
          </w:tcPr>
          <w:p>
            <w:pPr>
              <w:spacing w:after="0" w:before="0"/>
            </w:pPr>
            <w:r/>
            <w:r>
              <w:rPr>
                <w:b w:val="0"/>
                <w:color w:val="2A2A28"/>
                <w:sz w:val="17"/>
              </w:rPr>
              <w:t>Native module work</w:t>
            </w:r>
          </w:p>
        </w:tc>
        <w:tc>
          <w:tcPr>
            <w:tcW w:type="dxa" w:w="2160"/>
            <w:tcMar>
              <w:top w:w="60" w:type="dxa"/>
              <w:bottom w:w="60" w:type="dxa"/>
              <w:start w:w="100" w:type="dxa"/>
              <w:end w:w="100" w:type="dxa"/>
            </w:tcMar>
            <w:shd w:val="clear" w:color="auto" w:fill="E9ECDA"/>
          </w:tcPr>
          <w:p>
            <w:pPr>
              <w:spacing w:after="0" w:before="0"/>
            </w:pPr>
            <w:r/>
            <w:r>
              <w:rPr>
                <w:b w:val="0"/>
                <w:color w:val="4F5104"/>
                <w:sz w:val="17"/>
              </w:rPr>
              <w:t>None</w:t>
            </w:r>
          </w:p>
        </w:tc>
        <w:tc>
          <w:tcPr>
            <w:tcW w:type="dxa" w:w="2160"/>
            <w:tcMar>
              <w:top w:w="60" w:type="dxa"/>
              <w:bottom w:w="60" w:type="dxa"/>
              <w:start w:w="100" w:type="dxa"/>
              <w:end w:w="100" w:type="dxa"/>
            </w:tcMar>
            <w:shd w:val="clear" w:color="auto" w:fill="E9ECDA"/>
          </w:tcPr>
          <w:p>
            <w:pPr>
              <w:spacing w:after="0" w:before="0"/>
            </w:pPr>
            <w:r/>
            <w:r>
              <w:rPr>
                <w:b w:val="0"/>
                <w:color w:val="4F5104"/>
                <w:sz w:val="17"/>
              </w:rPr>
              <w:t>None</w:t>
            </w:r>
          </w:p>
        </w:tc>
        <w:tc>
          <w:tcPr>
            <w:tcW w:type="dxa" w:w="2448"/>
            <w:tcMar>
              <w:top w:w="60" w:type="dxa"/>
              <w:bottom w:w="60" w:type="dxa"/>
              <w:start w:w="100" w:type="dxa"/>
              <w:end w:w="100" w:type="dxa"/>
            </w:tcMar>
          </w:tcPr>
          <w:p>
            <w:pPr>
              <w:spacing w:after="0" w:before="0"/>
            </w:pPr>
            <w:r/>
            <w:r>
              <w:rPr>
                <w:b w:val="0"/>
                <w:color w:val="2A2A28"/>
                <w:sz w:val="17"/>
              </w:rPr>
              <w:t>All rails (manual)</w:t>
            </w:r>
          </w:p>
        </w:tc>
      </w:tr>
      <w:tr>
        <w:tc>
          <w:tcPr>
            <w:tcW w:type="dxa" w:w="2736"/>
            <w:tcMar>
              <w:top w:w="60" w:type="dxa"/>
              <w:bottom w:w="60" w:type="dxa"/>
              <w:start w:w="100" w:type="dxa"/>
              <w:end w:w="100" w:type="dxa"/>
            </w:tcMar>
            <w:shd w:val="clear" w:color="auto" w:fill="F7F6F2"/>
          </w:tcPr>
          <w:p>
            <w:pPr>
              <w:spacing w:after="0" w:before="0"/>
            </w:pPr>
            <w:r/>
            <w:r>
              <w:rPr>
                <w:b w:val="0"/>
                <w:color w:val="2A2A28"/>
                <w:sz w:val="17"/>
              </w:rPr>
              <w:t>Email parsing (Phase 2)</w:t>
            </w:r>
          </w:p>
        </w:tc>
        <w:tc>
          <w:tcPr>
            <w:tcW w:type="dxa" w:w="2448"/>
            <w:tcMar>
              <w:top w:w="60" w:type="dxa"/>
              <w:bottom w:w="60" w:type="dxa"/>
              <w:start w:w="100" w:type="dxa"/>
              <w:end w:w="100" w:type="dxa"/>
            </w:tcMar>
            <w:shd w:val="clear" w:color="auto" w:fill="F7F6F2"/>
          </w:tcPr>
          <w:p>
            <w:pPr>
              <w:spacing w:after="0" w:before="0"/>
            </w:pPr>
            <w:r/>
            <w:r>
              <w:rPr>
                <w:b w:val="0"/>
                <w:color w:val="2A2A28"/>
                <w:sz w:val="17"/>
              </w:rPr>
              <w:t>Integration + AI prompts</w:t>
            </w:r>
          </w:p>
        </w:tc>
        <w:tc>
          <w:tcPr>
            <w:tcW w:type="dxa" w:w="2160"/>
            <w:tcMar>
              <w:top w:w="60" w:type="dxa"/>
              <w:bottom w:w="60" w:type="dxa"/>
              <w:start w:w="100" w:type="dxa"/>
              <w:end w:w="100" w:type="dxa"/>
            </w:tcMar>
            <w:shd w:val="clear" w:color="auto" w:fill="E9ECDA"/>
          </w:tcPr>
          <w:p>
            <w:pPr>
              <w:spacing w:after="0" w:before="0"/>
            </w:pPr>
            <w:r/>
            <w:r>
              <w:rPr>
                <w:b w:val="0"/>
                <w:color w:val="4F5104"/>
                <w:sz w:val="17"/>
              </w:rPr>
              <w:t>AI tokens (small)</w:t>
            </w:r>
          </w:p>
        </w:tc>
        <w:tc>
          <w:tcPr>
            <w:tcW w:type="dxa" w:w="2160"/>
            <w:tcMar>
              <w:top w:w="60" w:type="dxa"/>
              <w:bottom w:w="60" w:type="dxa"/>
              <w:start w:w="100" w:type="dxa"/>
              <w:end w:w="100" w:type="dxa"/>
            </w:tcMar>
            <w:shd w:val="clear" w:color="auto" w:fill="F6EBCE"/>
          </w:tcPr>
          <w:p>
            <w:pPr>
              <w:spacing w:after="0" w:before="0"/>
            </w:pPr>
            <w:r/>
            <w:r>
              <w:rPr>
                <w:b w:val="0"/>
                <w:color w:val="B2780A"/>
                <w:sz w:val="17"/>
              </w:rPr>
              <w:t>Consent / PDPA</w:t>
            </w:r>
          </w:p>
        </w:tc>
        <w:tc>
          <w:tcPr>
            <w:tcW w:type="dxa" w:w="2448"/>
            <w:tcMar>
              <w:top w:w="60" w:type="dxa"/>
              <w:bottom w:w="60" w:type="dxa"/>
              <w:start w:w="100" w:type="dxa"/>
              <w:end w:w="100" w:type="dxa"/>
            </w:tcMar>
            <w:shd w:val="clear" w:color="auto" w:fill="F7F6F2"/>
          </w:tcPr>
          <w:p>
            <w:pPr>
              <w:spacing w:after="0" w:before="0"/>
            </w:pPr>
            <w:r/>
            <w:r>
              <w:rPr>
                <w:b w:val="0"/>
                <w:color w:val="2A2A28"/>
                <w:sz w:val="17"/>
              </w:rPr>
              <w:t>Many banks + some e-wallets</w:t>
            </w:r>
          </w:p>
        </w:tc>
      </w:tr>
      <w:tr>
        <w:tc>
          <w:tcPr>
            <w:tcW w:type="dxa" w:w="2736"/>
            <w:tcMar>
              <w:top w:w="60" w:type="dxa"/>
              <w:bottom w:w="60" w:type="dxa"/>
              <w:start w:w="100" w:type="dxa"/>
              <w:end w:w="100" w:type="dxa"/>
            </w:tcMar>
          </w:tcPr>
          <w:p>
            <w:pPr>
              <w:spacing w:after="0" w:before="0"/>
            </w:pPr>
            <w:r/>
            <w:r>
              <w:rPr>
                <w:b w:val="0"/>
                <w:color w:val="2A2A28"/>
                <w:sz w:val="17"/>
              </w:rPr>
              <w:t>Bank connect now (Finverse)</w:t>
            </w:r>
          </w:p>
        </w:tc>
        <w:tc>
          <w:tcPr>
            <w:tcW w:type="dxa" w:w="2448"/>
            <w:tcMar>
              <w:top w:w="60" w:type="dxa"/>
              <w:bottom w:w="60" w:type="dxa"/>
              <w:start w:w="100" w:type="dxa"/>
              <w:end w:w="100" w:type="dxa"/>
            </w:tcMar>
          </w:tcPr>
          <w:p>
            <w:pPr>
              <w:spacing w:after="0" w:before="0"/>
            </w:pPr>
            <w:r/>
            <w:r>
              <w:rPr>
                <w:b w:val="0"/>
                <w:color w:val="2A2A28"/>
                <w:sz w:val="17"/>
              </w:rPr>
              <w:t>OAuth + ingest + dedupe</w:t>
            </w:r>
          </w:p>
        </w:tc>
        <w:tc>
          <w:tcPr>
            <w:tcW w:type="dxa" w:w="2160"/>
            <w:tcMar>
              <w:top w:w="60" w:type="dxa"/>
              <w:bottom w:w="60" w:type="dxa"/>
              <w:start w:w="100" w:type="dxa"/>
              <w:end w:w="100" w:type="dxa"/>
            </w:tcMar>
            <w:shd w:val="clear" w:color="auto" w:fill="F6EBCE"/>
          </w:tcPr>
          <w:p>
            <w:pPr>
              <w:spacing w:after="0" w:before="0"/>
            </w:pPr>
            <w:r/>
            <w:r>
              <w:rPr>
                <w:b w:val="0"/>
                <w:color w:val="B2780A"/>
                <w:sz w:val="17"/>
              </w:rPr>
              <w:t>Per-account fees</w:t>
            </w:r>
          </w:p>
        </w:tc>
        <w:tc>
          <w:tcPr>
            <w:tcW w:type="dxa" w:w="2160"/>
            <w:tcMar>
              <w:top w:w="60" w:type="dxa"/>
              <w:bottom w:w="60" w:type="dxa"/>
              <w:start w:w="100" w:type="dxa"/>
              <w:end w:w="100" w:type="dxa"/>
            </w:tcMar>
            <w:shd w:val="clear" w:color="auto" w:fill="F0E1DA"/>
          </w:tcPr>
          <w:p>
            <w:pPr>
              <w:spacing w:after="0" w:before="0"/>
            </w:pPr>
            <w:r/>
            <w:r>
              <w:rPr>
                <w:b w:val="0"/>
                <w:color w:val="C1694F"/>
                <w:sz w:val="17"/>
              </w:rPr>
              <w:t>Data-consumer duties</w:t>
            </w:r>
          </w:p>
        </w:tc>
        <w:tc>
          <w:tcPr>
            <w:tcW w:type="dxa" w:w="2448"/>
            <w:tcMar>
              <w:top w:w="60" w:type="dxa"/>
              <w:bottom w:w="60" w:type="dxa"/>
              <w:start w:w="100" w:type="dxa"/>
              <w:end w:w="100" w:type="dxa"/>
            </w:tcMar>
            <w:shd w:val="clear" w:color="auto" w:fill="F6EBCE"/>
          </w:tcPr>
          <w:p>
            <w:pPr>
              <w:spacing w:after="0" w:before="0"/>
            </w:pPr>
            <w:r/>
            <w:r>
              <w:rPr>
                <w:b w:val="0"/>
                <w:color w:val="B2780A"/>
                <w:sz w:val="17"/>
              </w:rPr>
              <w:t>Maybank + CIMB only</w:t>
            </w:r>
          </w:p>
        </w:tc>
      </w:tr>
      <w:tr>
        <w:tc>
          <w:tcPr>
            <w:tcW w:type="dxa" w:w="2736"/>
            <w:tcMar>
              <w:top w:w="60" w:type="dxa"/>
              <w:bottom w:w="60" w:type="dxa"/>
              <w:start w:w="100" w:type="dxa"/>
              <w:end w:w="100" w:type="dxa"/>
            </w:tcMar>
            <w:shd w:val="clear" w:color="auto" w:fill="F7F6F2"/>
          </w:tcPr>
          <w:p>
            <w:pPr>
              <w:spacing w:after="0" w:before="0"/>
            </w:pPr>
            <w:r/>
            <w:r>
              <w:rPr>
                <w:b w:val="0"/>
                <w:color w:val="2A2A28"/>
                <w:sz w:val="17"/>
              </w:rPr>
              <w:t>Open Finance (2027+)</w:t>
            </w:r>
          </w:p>
        </w:tc>
        <w:tc>
          <w:tcPr>
            <w:tcW w:type="dxa" w:w="2448"/>
            <w:tcMar>
              <w:top w:w="60" w:type="dxa"/>
              <w:bottom w:w="60" w:type="dxa"/>
              <w:start w:w="100" w:type="dxa"/>
              <w:end w:w="100" w:type="dxa"/>
            </w:tcMar>
            <w:shd w:val="clear" w:color="auto" w:fill="F7F6F2"/>
          </w:tcPr>
          <w:p>
            <w:pPr>
              <w:spacing w:after="0" w:before="0"/>
            </w:pPr>
            <w:r/>
            <w:r>
              <w:rPr>
                <w:b w:val="0"/>
                <w:color w:val="2A2A28"/>
                <w:sz w:val="17"/>
              </w:rPr>
              <w:t>Plug into Phase 3</w:t>
            </w:r>
          </w:p>
        </w:tc>
        <w:tc>
          <w:tcPr>
            <w:tcW w:type="dxa" w:w="2160"/>
            <w:tcMar>
              <w:top w:w="60" w:type="dxa"/>
              <w:bottom w:w="60" w:type="dxa"/>
              <w:start w:w="100" w:type="dxa"/>
              <w:end w:w="100" w:type="dxa"/>
            </w:tcMar>
            <w:shd w:val="clear" w:color="auto" w:fill="F6EBCE"/>
          </w:tcPr>
          <w:p>
            <w:pPr>
              <w:spacing w:after="0" w:before="0"/>
            </w:pPr>
            <w:r/>
            <w:r>
              <w:rPr>
                <w:b w:val="0"/>
                <w:color w:val="B2780A"/>
                <w:sz w:val="17"/>
              </w:rPr>
              <w:t>TBD by PayNet</w:t>
            </w:r>
          </w:p>
        </w:tc>
        <w:tc>
          <w:tcPr>
            <w:tcW w:type="dxa" w:w="2160"/>
            <w:tcMar>
              <w:top w:w="60" w:type="dxa"/>
              <w:bottom w:w="60" w:type="dxa"/>
              <w:start w:w="100" w:type="dxa"/>
              <w:end w:w="100" w:type="dxa"/>
            </w:tcMar>
            <w:shd w:val="clear" w:color="auto" w:fill="F6EBCE"/>
          </w:tcPr>
          <w:p>
            <w:pPr>
              <w:spacing w:after="0" w:before="0"/>
            </w:pPr>
            <w:r/>
            <w:r>
              <w:rPr>
                <w:b w:val="0"/>
                <w:color w:val="B2780A"/>
                <w:sz w:val="17"/>
              </w:rPr>
              <w:t>Registered access</w:t>
            </w:r>
          </w:p>
        </w:tc>
        <w:tc>
          <w:tcPr>
            <w:tcW w:type="dxa" w:w="2448"/>
            <w:tcMar>
              <w:top w:w="60" w:type="dxa"/>
              <w:bottom w:w="60" w:type="dxa"/>
              <w:start w:w="100" w:type="dxa"/>
              <w:end w:w="100" w:type="dxa"/>
            </w:tcMar>
            <w:shd w:val="clear" w:color="auto" w:fill="E9ECDA"/>
          </w:tcPr>
          <w:p>
            <w:pPr>
              <w:spacing w:after="0" w:before="0"/>
            </w:pPr>
            <w:r/>
            <w:r>
              <w:rPr>
                <w:b w:val="0"/>
                <w:color w:val="4F5104"/>
                <w:sz w:val="17"/>
              </w:rPr>
              <w:t>Broad, growing</w:t>
            </w:r>
          </w:p>
        </w:tc>
      </w:tr>
    </w:tbl>
    <w:p>
      <w:pPr>
        <w:spacing w:before="280" w:after="120"/>
      </w:pPr>
      <w:r>
        <w:rPr>
          <w:b/>
          <w:color w:val="4F5104"/>
          <w:sz w:val="28"/>
        </w:rPr>
        <w:t>10.  Bottom line</w:t>
      </w:r>
    </w:p>
    <w:p>
      <w:pPr>
        <w:pStyle w:val="ListBullet"/>
        <w:spacing w:after="60"/>
      </w:pPr>
      <w:r>
        <w:rPr>
          <w:b/>
          <w:color w:val="2A2A28"/>
          <w:sz w:val="21"/>
        </w:rPr>
        <w:t xml:space="preserve">Manual is correct — </w:t>
      </w:r>
      <w:r>
        <w:rPr>
          <w:color w:val="2A2A28"/>
          <w:sz w:val="21"/>
        </w:rPr>
        <w:t>Wallets are manual today because Malaysia has nothing to connect to yet — correct, not a flaw.</w:t>
      </w:r>
    </w:p>
    <w:p>
      <w:pPr>
        <w:pStyle w:val="ListBullet"/>
        <w:spacing w:after="60"/>
      </w:pPr>
      <w:r>
        <w:rPr>
          <w:b/>
          <w:color w:val="2A2A28"/>
          <w:sz w:val="21"/>
        </w:rPr>
        <w:t xml:space="preserve">Win now — </w:t>
      </w:r>
      <w:r>
        <w:rPr>
          <w:color w:val="2A2A28"/>
          <w:sz w:val="21"/>
        </w:rPr>
        <w:t>Build quick-add + email parsing now. They make the app feel automatic without a single bank deal, and they cover the TNG gap that bank connections can't.</w:t>
      </w:r>
    </w:p>
    <w:p>
      <w:pPr>
        <w:pStyle w:val="ListBullet"/>
        <w:spacing w:after="60"/>
      </w:pPr>
      <w:r>
        <w:rPr>
          <w:b/>
          <w:color w:val="2A2A28"/>
          <w:sz w:val="21"/>
        </w:rPr>
        <w:t xml:space="preserve">Future-proof — </w:t>
      </w:r>
      <w:r>
        <w:rPr>
          <w:color w:val="2A2A28"/>
          <w:sz w:val="21"/>
        </w:rPr>
        <w:t>Add the few optional wallet fields now so 2027 is a plug-in. We become ‘open-finance-ready from day one’ — the moat over SMS-scraping rivals.</w:t>
      </w:r>
    </w:p>
    <w:p>
      <w:pPr>
        <w:pStyle w:val="ListBullet"/>
        <w:spacing w:after="60"/>
      </w:pPr>
      <w:r>
        <w:rPr>
          <w:b/>
          <w:color w:val="2A2A28"/>
          <w:sz w:val="21"/>
        </w:rPr>
        <w:t xml:space="preserve">Wait on bank connect — </w:t>
      </w:r>
      <w:r>
        <w:rPr>
          <w:color w:val="2A2A28"/>
          <w:sz w:val="21"/>
        </w:rPr>
        <w:t>Don't sign an aggregator contract yet — two banks isn't worth the cost + compliance, and it still misses TNG. Revisit when Open Finance broadens coverage.</w:t>
      </w:r>
    </w:p>
    <w:p>
      <w:pPr>
        <w:spacing w:after="40"/>
        <w:pBdr>
          <w:bottom w:val="single" w:sz="6" w:space="1" w:color="D8D6CE"/>
        </w:pBdr>
      </w:pPr>
    </w:p>
    <w:p>
      <w:pPr>
        <w:spacing w:after="120" w:before="0"/>
      </w:pPr>
      <w:r>
        <w:rPr>
          <w:b w:val="0"/>
          <w:i/>
          <w:color w:val="6B6A64"/>
          <w:sz w:val="17"/>
        </w:rPr>
        <w:t>Full source research &amp; citations: docs/research/auto-capture-global-research.md</w:t>
      </w:r>
    </w:p>
    <w:p>
      <w:pPr>
        <w:spacing w:after="120" w:before="0"/>
      </w:pPr>
      <w:r>
        <w:rPr>
          <w:b w:val="0"/>
          <w:i/>
          <w:color w:val="6B6A64"/>
          <w:sz w:val="17"/>
        </w:rPr>
        <w:t>This brief is a plan, not a commitment of dates. The 2027/2029 dates are BNM's proposed timeline and may shift.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2A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