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7.png" ContentType="image/png"/>
  <Override PartName="/word/media/rId81.png" ContentType="image/png"/>
  <Override PartName="/word/media/rId89.png" ContentType="image/png"/>
  <Override PartName="/word/media/rId85.png" ContentType="image/png"/>
  <Override PartName="/word/media/rId6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9.png" ContentType="image/png"/>
  <Override PartName="/word/media/rId135.png" ContentType="image/png"/>
  <Override PartName="/word/media/rId119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4.png" ContentType="image/png"/>
  <Override PartName="/word/media/rId110.png" ContentType="image/png"/>
  <Override PartName="/word/media/rId94.png" ContentType="image/png"/>
  <Override PartName="/word/media/rId30.png" ContentType="image/png"/>
  <Override PartName="/word/media/rId34.png" ContentType="image/png"/>
  <Override PartName="/word/media/rId60.png" ContentType="image/png"/>
  <Override PartName="/word/media/rId64.png" ContentType="image/png"/>
  <Override PartName="/word/media/rId25.png" ContentType="image/png"/>
  <Override PartName="/word/media/rId21.png" ContentType="image/png"/>
  <Override PartName="/word/media/rId51.png" ContentType="image/png"/>
  <Override PartName="/word/media/rId5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домашнему заданию №1</w:t>
      </w:r>
    </w:p>
    <w:p>
      <w:pPr>
        <w:pStyle w:val="Subtitle"/>
      </w:pPr>
      <w:r>
        <w:t xml:space="preserve">Методы кодирования и модуляция сигналов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методов кодирования и модуляции сигналов с помощью высокоуровневого языка программирования Octave. Определение спектра и параметров сигнала. Демонстрация принципов модуляции сигнала на примере аналоговой амплитудной модуляции. Исследование свойства самосинхронизации сигнала.</w:t>
      </w:r>
    </w:p>
    <w:bookmarkEnd w:id="20"/>
    <w:bookmarkStart w:id="1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остроение-графиков-в-octave"/>
    <w:p>
      <w:pPr>
        <w:pStyle w:val="Heading2"/>
      </w:pPr>
      <w:r>
        <w:t xml:space="preserve">2.1 Построение графиков в Octave</w:t>
      </w:r>
    </w:p>
    <w:p>
      <w:pPr>
        <w:pStyle w:val="FirstParagraph"/>
      </w:pPr>
      <w:r>
        <w:t xml:space="preserve">Создаю сценарий</w:t>
      </w:r>
      <w:r>
        <w:t xml:space="preserve"> </w:t>
      </w:r>
      <w:r>
        <w:rPr>
          <w:rStyle w:val="VerbatimChar"/>
        </w:rPr>
        <w:t xml:space="preserve">plot_sin.m</w:t>
      </w:r>
      <w:r>
        <w:t xml:space="preserve">. Формирую массив значений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 интервале от -10 до 10 с шагом 0.1 и вычисляю функцию</w:t>
      </w:r>
      <w:r>
        <w:t xml:space="preserve"> </w:t>
      </w:r>
      <w:r>
        <w:rPr>
          <w:rStyle w:val="VerbatimChar"/>
        </w:rPr>
        <w:t xml:space="preserve">y1 = sin(x) + 1/3*sin(3*x) + 1/5*sin(5*x)</w:t>
      </w:r>
      <w:r>
        <w:t xml:space="preserve">. Для построения графика использую функцию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, включаю отображение сетки и задаю подписи осей. Результат сохраняю в файлах</w:t>
      </w:r>
      <w:r>
        <w:t xml:space="preserve"> </w:t>
      </w:r>
      <w:r>
        <w:rPr>
          <w:rStyle w:val="VerbatimChar"/>
        </w:rPr>
        <w:t xml:space="preserve">plot-sin.eps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plot-sin.png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octave/plot-sin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График функции, заданной суммой синусоид</w:t>
            </w:r>
          </w:p>
          <w:bookmarkEnd w:id="24"/>
        </w:tc>
      </w:tr>
    </w:tbl>
    <w:p>
      <w:pPr>
        <w:pStyle w:val="BodyText"/>
      </w:pPr>
      <w:r>
        <w:t xml:space="preserve">Создаю сценарий</w:t>
      </w:r>
      <w:r>
        <w:t xml:space="preserve"> </w:t>
      </w:r>
      <w:r>
        <w:rPr>
          <w:rStyle w:val="VerbatimChar"/>
        </w:rPr>
        <w:t xml:space="preserve">plot_sin_cos.m</w:t>
      </w:r>
      <w:r>
        <w:t xml:space="preserve">, в котором дополнительно вычисляю функцию</w:t>
      </w:r>
      <w:r>
        <w:t xml:space="preserve"> </w:t>
      </w:r>
      <w:r>
        <w:rPr>
          <w:rStyle w:val="VerbatimChar"/>
        </w:rPr>
        <w:t xml:space="preserve">y2 = cos(x) + 1/3*cos(3*x) + 1/5*cos(5*x)</w:t>
      </w:r>
      <w:r>
        <w:t xml:space="preserve">. С помощью команды</w:t>
      </w:r>
      <w:r>
        <w:t xml:space="preserve"> </w:t>
      </w:r>
      <w:r>
        <w:rPr>
          <w:rStyle w:val="VerbatimChar"/>
        </w:rPr>
        <w:t xml:space="preserve">hold on</w:t>
      </w:r>
      <w:r>
        <w:t xml:space="preserve"> </w:t>
      </w:r>
      <w:r>
        <w:t xml:space="preserve">размещаю оба графика в одной системе координат и задаю для них различные типы линий. Результат сохраняю в файлах</w:t>
      </w:r>
      <w:r>
        <w:t xml:space="preserve"> </w:t>
      </w:r>
      <w:r>
        <w:rPr>
          <w:rStyle w:val="VerbatimChar"/>
        </w:rPr>
        <w:t xml:space="preserve">plot-sin-cos.eps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plot-sin-cos.png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octave/plot-sin-cos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Совместный график функций, заданных суммами синусоид и косинусоид</w:t>
            </w:r>
          </w:p>
          <w:bookmarkEnd w:id="28"/>
        </w:tc>
      </w:tr>
    </w:tbl>
    <w:bookmarkEnd w:id="29"/>
    <w:bookmarkStart w:id="38" w:name="X07bef417cb4f245ff47fa8bd6db1057000948c0"/>
    <w:p>
      <w:pPr>
        <w:pStyle w:val="Heading2"/>
      </w:pPr>
      <w:r>
        <w:t xml:space="preserve">2.2 Разложение импульсного сигнала в частичный ряд Фурье</w:t>
      </w:r>
    </w:p>
    <w:p>
      <w:pPr>
        <w:pStyle w:val="FirstParagraph"/>
      </w:pPr>
      <w:r>
        <w:t xml:space="preserve">Создаю сценарий</w:t>
      </w:r>
      <w:r>
        <w:t xml:space="preserve"> </w:t>
      </w:r>
      <w:r>
        <w:rPr>
          <w:rStyle w:val="VerbatimChar"/>
        </w:rPr>
        <w:t xml:space="preserve">meandr.m</w:t>
      </w:r>
      <w:r>
        <w:t xml:space="preserve">. Задаю восемь гармоник, диапазон времени от -1 до 1 с шагом 0.01, единичную амплитуду и период, равный 1. Для формирования меандра использую нечётные гармоники косинуса. Частичные суммы последовательно вычисляются с накоплением, после чего с помощью</w:t>
      </w:r>
      <w:r>
        <w:t xml:space="preserve"> </w:t>
      </w:r>
      <w:r>
        <w:rPr>
          <w:rStyle w:val="VerbatimChar"/>
        </w:rPr>
        <w:t xml:space="preserve">subplot</w:t>
      </w:r>
      <w:r>
        <w:t xml:space="preserve"> </w:t>
      </w:r>
      <w:r>
        <w:t xml:space="preserve">в одном окне строятся восемь графиков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octave/meandr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Формирование меандра с использованием косинусоидальных гармоник</w:t>
            </w:r>
          </w:p>
          <w:bookmarkEnd w:id="33"/>
        </w:tc>
      </w:tr>
    </w:tbl>
    <w:p>
      <w:pPr>
        <w:pStyle w:val="BodyText"/>
      </w:pPr>
      <w:r>
        <w:t xml:space="preserve">По полученным графикам видно, что при увеличении количества гармоник форма сигнала всё сильнее приближается к прямоугольному импульсному сигналу. В окрестностях скачков сохраняются характерные колебания.</w:t>
      </w:r>
    </w:p>
    <w:p>
      <w:pPr>
        <w:pStyle w:val="BodyText"/>
      </w:pPr>
      <w:r>
        <w:t xml:space="preserve">Создаю сценарий</w:t>
      </w:r>
      <w:r>
        <w:t xml:space="preserve"> </w:t>
      </w:r>
      <w:r>
        <w:rPr>
          <w:rStyle w:val="VerbatimChar"/>
        </w:rPr>
        <w:t xml:space="preserve">meandr_sin.m</w:t>
      </w:r>
      <w:r>
        <w:t xml:space="preserve"> </w:t>
      </w:r>
      <w:r>
        <w:t xml:space="preserve">и изменяю построение ряда таким образом, чтобы меандр формировался с помощью нечётных синусоидальных гармоник. Аналогично строю восемь частичных сумм ряда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octave/meandr_sin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Формирование меандра с использованием синусоидальных гармоник</w:t>
            </w:r>
          </w:p>
          <w:bookmarkEnd w:id="37"/>
        </w:tc>
      </w:tr>
    </w:tbl>
    <w:p>
      <w:pPr>
        <w:pStyle w:val="BodyText"/>
      </w:pPr>
      <w:r>
        <w:t xml:space="preserve">При увеличении числа синусоидальных гармоник также наблюдается постепенное приближение результирующего сигнала к форме меандра.</w:t>
      </w:r>
    </w:p>
    <w:bookmarkEnd w:id="38"/>
    <w:bookmarkStart w:id="59" w:name="определение-спектра-и-параметров-сигнала"/>
    <w:p>
      <w:pPr>
        <w:pStyle w:val="Heading2"/>
      </w:pPr>
      <w:r>
        <w:t xml:space="preserve">2.3 Определение спектра и параметров сигнала</w:t>
      </w:r>
    </w:p>
    <w:p>
      <w:pPr>
        <w:pStyle w:val="FirstParagraph"/>
      </w:pPr>
      <w:r>
        <w:t xml:space="preserve">Создаю каталог</w:t>
      </w:r>
      <w:r>
        <w:t xml:space="preserve"> </w:t>
      </w:r>
      <w:r>
        <w:rPr>
          <w:rStyle w:val="VerbatimChar"/>
        </w:rPr>
        <w:t xml:space="preserve">spectre1</w:t>
      </w:r>
      <w:r>
        <w:t xml:space="preserve"> </w:t>
      </w:r>
      <w:r>
        <w:t xml:space="preserve">и сценарий</w:t>
      </w:r>
      <w:r>
        <w:t xml:space="preserve"> </w:t>
      </w:r>
      <w:r>
        <w:rPr>
          <w:rStyle w:val="VerbatimChar"/>
        </w:rPr>
        <w:t xml:space="preserve">spectre.m</w:t>
      </w:r>
      <w:r>
        <w:t xml:space="preserve">. В качестве исходных параметров задаю длительность сигнала 0.5 с, частоту дискретизации 512 Гц, частоты сигналов 10 Гц и 40 Гц и амплитуды 1 и 0.7 соответственно.</w:t>
      </w:r>
    </w:p>
    <w:p>
      <w:pPr>
        <w:pStyle w:val="BodyText"/>
      </w:pPr>
      <w:r>
        <w:t xml:space="preserve">Формирую два синусоидальных сигнала и вывожу их в одном окне. Сигнал с частотой 10 Гц имеет большую амплитуду и меньшую частоту, а сигнал с частотой 40 Гц имеет меньшую амплитуду и совершает большее количество колебаний за тот же промежуток времени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octave/spectre1/signal/spectr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Два синусоидальных сигнала с частотами 10 и 40 Гц</w:t>
            </w:r>
          </w:p>
          <w:bookmarkEnd w:id="42"/>
        </w:tc>
      </w:tr>
    </w:tbl>
    <w:p>
      <w:pPr>
        <w:pStyle w:val="BodyText"/>
      </w:pP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fft</w:t>
      </w:r>
      <w:r>
        <w:t xml:space="preserve"> </w:t>
      </w:r>
      <w:r>
        <w:t xml:space="preserve">выполняю быстрое преобразование Фурье для каждого из сигналов и строю первоначальный график спектров. На нём присутствуют составляющие, соответствующие как положительным, так и дублирующим отрицательным частотам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octave/spectre1/spectre/spectr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Спектры двух синусоидальных сигналов до корректировки</w:t>
            </w:r>
          </w:p>
          <w:bookmarkEnd w:id="46"/>
        </w:tc>
      </w:tr>
    </w:tbl>
    <w:p>
      <w:pPr>
        <w:pStyle w:val="BodyText"/>
      </w:pPr>
      <w:r>
        <w:t xml:space="preserve">Корректирую отображение спектра: оставляю положительную часть частотного диапазона и выполняю нормировку амплитуд. На исправленном графике основные максимумы располагаются около 10 и 40 Гц, что соответствует частотам исходных сигналов. Высота максимума второго сигнала меньше вследствие его амплитуды 0.7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octave/spectre1/spectre/spectre_fix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Исправленный спектр двух синусоидальных сигналов</w:t>
            </w:r>
          </w:p>
          <w:bookmarkEnd w:id="50"/>
        </w:tc>
      </w:tr>
    </w:tbl>
    <w:p>
      <w:pPr>
        <w:pStyle w:val="BodyText"/>
      </w:pPr>
      <w:r>
        <w:t xml:space="preserve">В используемом сценарии частота дискретизации составляет 512 Гц. Для сигнала с максимальной частотой 40 Гц частота дискретизации должна быть больше 80 Гц. При выборе частоты дискретизации меньше 80 Гц условие корректной дискретизации нарушается, вследствие чего возникает наложение спектров и исходный высокочастотный сигнал не может быть однозначно восстановлен.</w:t>
      </w:r>
    </w:p>
    <w:p>
      <w:pPr>
        <w:pStyle w:val="BodyText"/>
      </w:pPr>
      <w:r>
        <w:t xml:space="preserve">Создаю каталог</w:t>
      </w:r>
      <w:r>
        <w:t xml:space="preserve"> </w:t>
      </w:r>
      <w:r>
        <w:rPr>
          <w:rStyle w:val="VerbatimChar"/>
        </w:rPr>
        <w:t xml:space="preserve">spectr_sum</w:t>
      </w:r>
      <w:r>
        <w:t xml:space="preserve"> </w:t>
      </w:r>
      <w:r>
        <w:t xml:space="preserve">и сценарий</w:t>
      </w:r>
      <w:r>
        <w:t xml:space="preserve"> </w:t>
      </w:r>
      <w:r>
        <w:rPr>
          <w:rStyle w:val="VerbatimChar"/>
        </w:rPr>
        <w:t xml:space="preserve">spectre_sum.m</w:t>
      </w:r>
      <w:r>
        <w:t xml:space="preserve">. Складываю ранее сформированные сигналы с частотами 10 и 40 Гц и получаю суммарный сигнал сложной формы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octave/spectr_sum/signal/spectre_sum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Сумма сигналов с частотами 10 и 40 Гц</w:t>
            </w:r>
          </w:p>
          <w:bookmarkEnd w:id="54"/>
        </w:tc>
      </w:tr>
    </w:tbl>
    <w:p>
      <w:pPr>
        <w:pStyle w:val="BodyText"/>
      </w:pPr>
      <w:r>
        <w:t xml:space="preserve">Выполняю быстрое преобразование Фурье суммарного сигнала и строю его спектр. На графике сохраняются основные составляющие в областях 10 и 40 Гц. Таким образом, частотные составляющие обоих исходных сигналов присутствуют в спектре их суммы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octave/spectr_sum/spectre/spectre_sum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Спектр суммы двух сигналов</w:t>
            </w:r>
          </w:p>
          <w:bookmarkEnd w:id="58"/>
        </w:tc>
      </w:tr>
    </w:tbl>
    <w:bookmarkEnd w:id="59"/>
    <w:bookmarkStart w:id="68" w:name="амплитудная-модуляция"/>
    <w:p>
      <w:pPr>
        <w:pStyle w:val="Heading2"/>
      </w:pPr>
      <w:r>
        <w:t xml:space="preserve">2.4 Амплитудная модуляция</w:t>
      </w:r>
    </w:p>
    <w:p>
      <w:pPr>
        <w:pStyle w:val="FirstParagraph"/>
      </w:pPr>
      <w:r>
        <w:t xml:space="preserve">Создаю каталог</w:t>
      </w:r>
      <w:r>
        <w:t xml:space="preserve"> </w:t>
      </w:r>
      <w:r>
        <w:rPr>
          <w:rStyle w:val="VerbatimChar"/>
        </w:rPr>
        <w:t xml:space="preserve">modulation</w:t>
      </w:r>
      <w:r>
        <w:t xml:space="preserve"> </w:t>
      </w:r>
      <w:r>
        <w:t xml:space="preserve">и сценарий</w:t>
      </w:r>
      <w:r>
        <w:t xml:space="preserve"> </w:t>
      </w:r>
      <w:r>
        <w:rPr>
          <w:rStyle w:val="VerbatimChar"/>
        </w:rPr>
        <w:t xml:space="preserve">am.m</w:t>
      </w:r>
      <w:r>
        <w:t xml:space="preserve">. Задаю модулирующий сигнал с частотой 5 Гц и несущий сигнал с частотой 50 Гц. Амплитудно-модулированный сигнал получаю в результате перемножения двух синусоидальных сигналов.</w:t>
      </w:r>
    </w:p>
    <w:p>
      <w:pPr>
        <w:pStyle w:val="BodyText"/>
      </w:pPr>
      <w:r>
        <w:t xml:space="preserve">Строю полученный сигнал и одновременно отображаю положительную и отрицательную огибающие, определяемые низкочастотным сигналом. Полученный график демонстрирует изменение амплитуды высокочастотного колебания в соответствии с низкочастотным сигналом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octave/modulation/signal/am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Сигнал и огибающая при амплитудной модуляции</w:t>
            </w:r>
          </w:p>
          <w:bookmarkEnd w:id="63"/>
        </w:tc>
      </w:tr>
    </w:tbl>
    <w:p>
      <w:pPr>
        <w:pStyle w:val="BodyText"/>
      </w:pPr>
      <w:r>
        <w:t xml:space="preserve">Выполняю преобразование Фурье модулированного сигнала и строю его спектр. Спектральные составляющие располагаются относительно частоты несущего сигнала, в том числе в областях около 45 и 55 Гц, что связано с частотами 50 Гц и 5 Гц исходных колебаний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octave/modulation/spectre/am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Спектр сигнала при амплитудной модуляции</w:t>
            </w:r>
          </w:p>
          <w:bookmarkEnd w:id="67"/>
        </w:tc>
      </w:tr>
    </w:tbl>
    <w:bookmarkEnd w:id="68"/>
    <w:bookmarkStart w:id="144" w:name="Xacc0fd40f50c5c8b23035ae4e2cb589c13c69aa"/>
    <w:p>
      <w:pPr>
        <w:pStyle w:val="Heading2"/>
      </w:pPr>
      <w:r>
        <w:t xml:space="preserve">2.5 Кодирование сигнала и исследование свойства самосинхронизации</w:t>
      </w:r>
    </w:p>
    <w:p>
      <w:pPr>
        <w:pStyle w:val="FirstParagraph"/>
      </w:pPr>
      <w:r>
        <w:t xml:space="preserve">Создаю каталог</w:t>
      </w:r>
      <w:r>
        <w:t xml:space="preserve"> </w:t>
      </w:r>
      <w:r>
        <w:rPr>
          <w:rStyle w:val="VerbatimChar"/>
        </w:rPr>
        <w:t xml:space="preserve">coding</w:t>
      </w:r>
      <w:r>
        <w:t xml:space="preserve"> </w:t>
      </w:r>
      <w:r>
        <w:t xml:space="preserve">и файлы</w:t>
      </w:r>
      <w:r>
        <w:t xml:space="preserve"> </w:t>
      </w:r>
      <w:r>
        <w:rPr>
          <w:rStyle w:val="VerbatimChar"/>
        </w:rPr>
        <w:t xml:space="preserve">main.m</w:t>
      </w:r>
      <w:r>
        <w:t xml:space="preserve">,</w:t>
      </w:r>
      <w:r>
        <w:t xml:space="preserve"> </w:t>
      </w:r>
      <w:r>
        <w:rPr>
          <w:rStyle w:val="VerbatimChar"/>
        </w:rPr>
        <w:t xml:space="preserve">maptowave.m</w:t>
      </w:r>
      <w:r>
        <w:t xml:space="preserve">,</w:t>
      </w:r>
      <w:r>
        <w:t xml:space="preserve"> </w:t>
      </w:r>
      <w:r>
        <w:rPr>
          <w:rStyle w:val="VerbatimChar"/>
        </w:rPr>
        <w:t xml:space="preserve">unipolar.m</w:t>
      </w:r>
      <w:r>
        <w:t xml:space="preserve">,</w:t>
      </w:r>
      <w:r>
        <w:t xml:space="preserve"> </w:t>
      </w:r>
      <w:r>
        <w:rPr>
          <w:rStyle w:val="VerbatimChar"/>
        </w:rPr>
        <w:t xml:space="preserve">ami.m</w:t>
      </w:r>
      <w:r>
        <w:t xml:space="preserve">,</w:t>
      </w:r>
      <w:r>
        <w:t xml:space="preserve"> </w:t>
      </w:r>
      <w:r>
        <w:rPr>
          <w:rStyle w:val="VerbatimChar"/>
        </w:rPr>
        <w:t xml:space="preserve">bipolarnrz.m</w:t>
      </w:r>
      <w:r>
        <w:t xml:space="preserve">,</w:t>
      </w:r>
      <w:r>
        <w:t xml:space="preserve"> </w:t>
      </w:r>
      <w:r>
        <w:rPr>
          <w:rStyle w:val="VerbatimChar"/>
        </w:rPr>
        <w:t xml:space="preserve">bipolarrz.m</w:t>
      </w:r>
      <w:r>
        <w:t xml:space="preserve">,</w:t>
      </w:r>
      <w:r>
        <w:t xml:space="preserve"> </w:t>
      </w:r>
      <w:r>
        <w:rPr>
          <w:rStyle w:val="VerbatimChar"/>
        </w:rPr>
        <w:t xml:space="preserve">manchester.m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diffmanc.m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calcspectre.m</w:t>
      </w:r>
      <w:r>
        <w:t xml:space="preserve">.</w:t>
      </w:r>
    </w:p>
    <w:p>
      <w:pPr>
        <w:pStyle w:val="BodyText"/>
      </w:pPr>
      <w:r>
        <w:t xml:space="preserve">В сценарии</w:t>
      </w:r>
      <w:r>
        <w:t xml:space="preserve"> </w:t>
      </w:r>
      <w:r>
        <w:rPr>
          <w:rStyle w:val="VerbatimChar"/>
        </w:rPr>
        <w:t xml:space="preserve">main.m</w:t>
      </w:r>
      <w:r>
        <w:t xml:space="preserve"> </w:t>
      </w:r>
      <w:r>
        <w:t xml:space="preserve">подключаю пакет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и задаю три битовые последовательности. Последовательность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используется для построения кодированных сигналов,</w:t>
      </w:r>
      <w:r>
        <w:t xml:space="preserve"> </w:t>
      </w:r>
      <w:r>
        <w:rPr>
          <w:rStyle w:val="VerbatimChar"/>
        </w:rPr>
        <w:t xml:space="preserve">data_sync</w:t>
      </w:r>
      <w:r>
        <w:t xml:space="preserve"> </w:t>
      </w:r>
      <w:r>
        <w:t xml:space="preserve">— для исследования свойства самосинхронизации, а</w:t>
      </w:r>
      <w:r>
        <w:t xml:space="preserve"> </w:t>
      </w:r>
      <w:r>
        <w:rPr>
          <w:rStyle w:val="VerbatimChar"/>
        </w:rPr>
        <w:t xml:space="preserve">data_spectre</w:t>
      </w:r>
      <w:r>
        <w:t xml:space="preserve"> </w:t>
      </w:r>
      <w:r>
        <w:t xml:space="preserve">— для построения спектров.</w:t>
      </w:r>
    </w:p>
    <w:p>
      <w:pPr>
        <w:pStyle w:val="BodyText"/>
      </w:pPr>
      <w:r>
        <w:t xml:space="preserve">В функции</w:t>
      </w:r>
      <w:r>
        <w:t xml:space="preserve"> </w:t>
      </w:r>
      <w:r>
        <w:rPr>
          <w:rStyle w:val="VerbatimChar"/>
        </w:rPr>
        <w:t xml:space="preserve">maptowave.m</w:t>
      </w:r>
      <w:r>
        <w:t xml:space="preserve"> </w:t>
      </w:r>
      <w:r>
        <w:t xml:space="preserve">выполняю преобразование битовой последовательности в последовательность отсчётов сигнала. В отдельных файлах реализую униполярное кодирование, AMI, NRZ, RZ, манчестерское и дифференциальное манчестерское кодирование.</w:t>
      </w:r>
    </w:p>
    <w:bookmarkStart w:id="93" w:name="построение-кодированных-сигналов"/>
    <w:p>
      <w:pPr>
        <w:pStyle w:val="Heading3"/>
      </w:pPr>
      <w:r>
        <w:t xml:space="preserve">2.5.1 Построение кодированных сигналов</w:t>
      </w:r>
    </w:p>
    <w:p>
      <w:pPr>
        <w:pStyle w:val="FirstParagraph"/>
      </w:pPr>
      <w:r>
        <w:t xml:space="preserve">Выполняю униполярное кодирование последовательности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 Логическому нулю соответствует нулевой уровень, а логической единице — положительный уровень сигнала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ignal/unipolar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Униполярное кодирование</w:t>
            </w:r>
          </w:p>
          <w:bookmarkEnd w:id="72"/>
        </w:tc>
      </w:tr>
    </w:tbl>
    <w:p>
      <w:pPr>
        <w:pStyle w:val="BodyText"/>
      </w:pPr>
      <w:r>
        <w:t xml:space="preserve">Выполняю кодирование AMI. Нулевые биты представлены нулевым уровнем, а единичные биты — импульсами, полярность которых последовательно чередуется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ignal/ami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Кодирование AMI</w:t>
            </w:r>
          </w:p>
          <w:bookmarkEnd w:id="76"/>
        </w:tc>
      </w:tr>
    </w:tbl>
    <w:p>
      <w:pPr>
        <w:pStyle w:val="BodyText"/>
      </w:pPr>
      <w:r>
        <w:t xml:space="preserve">Выполняю кодирование NRZ. Для представления битов используются два уровня сигнала без обязательного возвращения к нулевому уровню между соседними битами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ignal/bipolarnrz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Кодирование NRZ</w:t>
            </w:r>
          </w:p>
          <w:bookmarkEnd w:id="80"/>
        </w:tc>
      </w:tr>
    </w:tbl>
    <w:p>
      <w:pPr>
        <w:pStyle w:val="BodyText"/>
      </w:pPr>
      <w:r>
        <w:t xml:space="preserve">Выполняю кодирование RZ. Каждый бит формируется импульсом соответствующей полярности с последующим возвращением сигнала к нулевому уровню внутри битового интервала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ignal/bipolarrz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Кодирование RZ</w:t>
            </w:r>
          </w:p>
          <w:bookmarkEnd w:id="84"/>
        </w:tc>
      </w:tr>
    </w:tbl>
    <w:p>
      <w:pPr>
        <w:pStyle w:val="BodyText"/>
      </w:pPr>
      <w:r>
        <w:t xml:space="preserve">Выполняю манчестерское кодирование. Для каждого битового интервала присутствует обязательный переход уровня сигнала в его середине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ignal/manchester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Манчестерское кодирование</w:t>
            </w:r>
          </w:p>
          <w:bookmarkEnd w:id="88"/>
        </w:tc>
      </w:tr>
    </w:tbl>
    <w:p>
      <w:pPr>
        <w:pStyle w:val="BodyText"/>
      </w:pPr>
      <w:r>
        <w:t xml:space="preserve">Выполняю дифференциальное манчестерское кодирование. Сигнал также имеет обязательные переходы в середине битовых интервалов, а передаваемое значение определяется изменением состояния относительно предыдущего бита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ignal/diffmanc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Дифференциальное манчестерское кодирование</w:t>
            </w:r>
          </w:p>
          <w:bookmarkEnd w:id="92"/>
        </w:tc>
      </w:tr>
    </w:tbl>
    <w:bookmarkEnd w:id="93"/>
    <w:bookmarkStart w:id="118" w:name="исследование-свойства-самосинхронизации"/>
    <w:p>
      <w:pPr>
        <w:pStyle w:val="Heading3"/>
      </w:pPr>
      <w:r>
        <w:t xml:space="preserve">2.5.2 Исследование свойства самосинхронизации</w:t>
      </w:r>
    </w:p>
    <w:p>
      <w:pPr>
        <w:pStyle w:val="FirstParagraph"/>
      </w:pPr>
      <w:r>
        <w:t xml:space="preserve">Для исследования самосинхронизации использую последовательность</w:t>
      </w:r>
      <w:r>
        <w:t xml:space="preserve"> </w:t>
      </w:r>
      <w:r>
        <w:rPr>
          <w:rStyle w:val="VerbatimChar"/>
        </w:rPr>
        <w:t xml:space="preserve">data_sync</w:t>
      </w:r>
      <w:r>
        <w:t xml:space="preserve">, содержащую длинные серии одинаковых битов.</w:t>
      </w:r>
    </w:p>
    <w:p>
      <w:pPr>
        <w:pStyle w:val="BodyText"/>
      </w:pPr>
      <w:r>
        <w:t xml:space="preserve">При униполярном кодировании длинная последовательность одинаковых битов соответствует постоянному уровню сигнала. Переходы, позволяющие восстановить тактовую частоту, отсутствуют, поэтому код не обладает свойством самосинхронизации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ync/unipolar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Проверка самосинхронизации униполярного кода</w:t>
            </w:r>
          </w:p>
          <w:bookmarkEnd w:id="97"/>
        </w:tc>
      </w:tr>
    </w:tbl>
    <w:p>
      <w:pPr>
        <w:pStyle w:val="BodyText"/>
      </w:pPr>
      <w:r>
        <w:t xml:space="preserve">При использовании AMI длинная последовательность нулей не создаёт переходов, однако при передаче единиц появляются чередующиеся положительные и отрицательные импульсы. Следовательно, возможность синхронизации для AMI зависит от наличия импульсов в передаваемой последовательности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ync/ami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Проверка самосинхронизации кода AMI</w:t>
            </w:r>
          </w:p>
          <w:bookmarkEnd w:id="101"/>
        </w:tc>
      </w:tr>
    </w:tbl>
    <w:p>
      <w:pPr>
        <w:pStyle w:val="BodyText"/>
      </w:pPr>
      <w:r>
        <w:t xml:space="preserve">Для NRZ длинные последовательности одинаковых битов приводят к длительному сохранению одного уровня сигнала. Из-за отсутствия регулярных переходов NRZ не является самосинхронизирующимся кодом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ync/bipolarnrz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Проверка самосинхронизации кода NRZ</w:t>
            </w:r>
          </w:p>
          <w:bookmarkEnd w:id="105"/>
        </w:tc>
      </w:tr>
    </w:tbl>
    <w:p>
      <w:pPr>
        <w:pStyle w:val="BodyText"/>
      </w:pPr>
      <w:r>
        <w:t xml:space="preserve">При кодировании RZ сигнал возвращается к нулевому уровню после каждого передаваемого бита, поэтому даже длинные серии одинаковых значений содержат регулярные переходы. Код обладает свойством самосинхронизации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ync/bipolarrz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Проверка самосинхронизации кода RZ</w:t>
            </w:r>
          </w:p>
          <w:bookmarkEnd w:id="109"/>
        </w:tc>
      </w:tr>
    </w:tbl>
    <w:p>
      <w:pPr>
        <w:pStyle w:val="BodyText"/>
      </w:pPr>
      <w:r>
        <w:t xml:space="preserve">При манчестерском кодировании переход сигнала происходит в середине каждого битового интервала независимо от значения бита. Благодаря этому тактовые границы можно определять по самому сигналу, то есть код обладает свойством самосинхронизации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ync/manchester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Проверка самосинхронизации манчестерского кода</w:t>
            </w:r>
          </w:p>
          <w:bookmarkEnd w:id="113"/>
        </w:tc>
      </w:tr>
    </w:tbl>
    <w:p>
      <w:pPr>
        <w:pStyle w:val="BodyText"/>
      </w:pPr>
      <w:r>
        <w:t xml:space="preserve">Дифференциальное манчестерское кодирование также содержит обязательный переход внутри каждого битового интервала. Поэтому сигнал сохраняет возможность синхронизации и при длинных последовательностях одинаковых битов 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ync/diffmanc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Проверка самосинхронизации дифференциального манчестерского кода</w:t>
            </w:r>
          </w:p>
          <w:bookmarkEnd w:id="117"/>
        </w:tc>
      </w:tr>
    </w:tbl>
    <w:bookmarkEnd w:id="118"/>
    <w:bookmarkStart w:id="143" w:name="Xb52106f956ac5a3f074a901d0f96c869850f641"/>
    <w:p>
      <w:pPr>
        <w:pStyle w:val="Heading3"/>
      </w:pPr>
      <w:r>
        <w:t xml:space="preserve">2.5.3 Построение спектров кодированных сигналов</w:t>
      </w:r>
    </w:p>
    <w:p>
      <w:pPr>
        <w:pStyle w:val="FirstParagraph"/>
      </w:pPr>
      <w:r>
        <w:t xml:space="preserve">Для исследования спектров использую последовательность</w:t>
      </w:r>
      <w:r>
        <w:t xml:space="preserve"> </w:t>
      </w:r>
      <w:r>
        <w:rPr>
          <w:rStyle w:val="VerbatimChar"/>
        </w:rPr>
        <w:t xml:space="preserve">data_spectre</w:t>
      </w:r>
      <w:r>
        <w:t xml:space="preserve"> </w:t>
      </w:r>
      <w:r>
        <w:t xml:space="preserve">с чередованием нулей и единиц. В функции</w:t>
      </w:r>
      <w:r>
        <w:t xml:space="preserve"> </w:t>
      </w:r>
      <w:r>
        <w:rPr>
          <w:rStyle w:val="VerbatimChar"/>
        </w:rPr>
        <w:t xml:space="preserve">calcspectre.m</w:t>
      </w:r>
      <w:r>
        <w:t xml:space="preserve"> </w:t>
      </w:r>
      <w:r>
        <w:t xml:space="preserve">выполняю быстрое преобразование Фурье, вычисляю спектральные составляющие и строю зависимость от частоты.</w:t>
      </w:r>
    </w:p>
    <w:p>
      <w:pPr>
        <w:pStyle w:val="BodyText"/>
      </w:pPr>
      <w:r>
        <w:t xml:space="preserve">Получаю спектр сигнала при униполярном кодировании (см. рис.</w:t>
      </w:r>
      <w:r>
        <w:t xml:space="preserve"> 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pectre/unipolar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Спектр сигнала при униполярном кодировании</w:t>
            </w:r>
          </w:p>
          <w:bookmarkEnd w:id="122"/>
        </w:tc>
      </w:tr>
    </w:tbl>
    <w:p>
      <w:pPr>
        <w:pStyle w:val="BodyText"/>
      </w:pPr>
      <w:r>
        <w:t xml:space="preserve">Получаю спектр сигнала при кодировании AMI (см. рис.</w:t>
      </w:r>
      <w:r>
        <w:t xml:space="preserve"> 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5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pectre/ami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Спектр сигнала при кодировании AMI</w:t>
            </w:r>
          </w:p>
          <w:bookmarkEnd w:id="126"/>
        </w:tc>
      </w:tr>
    </w:tbl>
    <w:p>
      <w:pPr>
        <w:pStyle w:val="BodyText"/>
      </w:pPr>
      <w:r>
        <w:t xml:space="preserve">Получаю спектр сигнала при кодировании NRZ (см. рис.</w:t>
      </w:r>
      <w:r>
        <w:t xml:space="preserve"> </w:t>
      </w:r>
      <w:hyperlink w:anchor="fig-026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pectre/bipolarnrz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Спектр сигнала при кодировании NRZ</w:t>
            </w:r>
          </w:p>
          <w:bookmarkEnd w:id="130"/>
        </w:tc>
      </w:tr>
    </w:tbl>
    <w:p>
      <w:pPr>
        <w:pStyle w:val="BodyText"/>
      </w:pPr>
      <w:r>
        <w:t xml:space="preserve">Получаю спектр сигнала при кодировании RZ (см. рис.</w:t>
      </w:r>
      <w:r>
        <w:t xml:space="preserve"> </w:t>
      </w:r>
      <w:hyperlink w:anchor="fig-027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pectre/bipolarrz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Спектр сигнала при кодировании RZ</w:t>
            </w:r>
          </w:p>
          <w:bookmarkEnd w:id="134"/>
        </w:tc>
      </w:tr>
    </w:tbl>
    <w:p>
      <w:pPr>
        <w:pStyle w:val="BodyText"/>
      </w:pPr>
      <w:r>
        <w:t xml:space="preserve">Получаю спектр сигнала при манчестерском кодировании (см. рис.</w:t>
      </w:r>
      <w:r>
        <w:t xml:space="preserve"> </w:t>
      </w:r>
      <w:hyperlink w:anchor="fig-028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pectre/manchester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Спектр сигнала при манчестерском кодировании</w:t>
            </w:r>
          </w:p>
          <w:bookmarkEnd w:id="138"/>
        </w:tc>
      </w:tr>
    </w:tbl>
    <w:p>
      <w:pPr>
        <w:pStyle w:val="BodyText"/>
      </w:pPr>
      <w:r>
        <w:t xml:space="preserve">Получаю спектр сигнала при дифференциальном манчестерском кодировании (см. рис.</w:t>
      </w:r>
      <w:r>
        <w:t xml:space="preserve"> </w:t>
      </w:r>
      <w:hyperlink w:anchor="fig-029">
        <w:r>
          <w:rPr>
            <w:rStyle w:val="Hyperlink"/>
          </w:rPr>
          <w:t xml:space="preserve">Рисунок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octave/coding/spectre/diffmanc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Спектр сигнала при дифференциальном манчестерском кодировании</w:t>
            </w:r>
          </w:p>
          <w:bookmarkEnd w:id="142"/>
        </w:tc>
      </w:tr>
    </w:tbl>
    <w:p>
      <w:pPr>
        <w:pStyle w:val="BodyText"/>
      </w:pPr>
      <w:r>
        <w:t xml:space="preserve">Полученные результаты показывают, что различные способы линейного кодирования одной и той же битовой последовательности формируют различные временные представления и различное распределение спектральных составляющих.</w:t>
      </w:r>
    </w:p>
    <w:bookmarkEnd w:id="143"/>
    <w:bookmarkEnd w:id="144"/>
    <w:bookmarkEnd w:id="145"/>
    <w:bookmarkStart w:id="14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изучены методы представления и обработки сигналов средствами Octave. Построены графики сложных периодических функций, исследовано приближение импульсного сигнала частичными рядами Фурье и показано влияние количества гармоник на форму результирующего сигнала.</w:t>
      </w:r>
    </w:p>
    <w:p>
      <w:pPr>
        <w:pStyle w:val="BodyText"/>
      </w:pPr>
      <w:r>
        <w:t xml:space="preserve">С помощью быстрого преобразования Фурье определены спектры отдельных синусоидальных сигналов и их суммы. Установлено, что в спектре суммарного сигнала сохраняются частотные составляющие исходных сигналов. Рассмотрено условие выбора частоты дискретизации: для сигнала с максимальной частотой 40 Гц она должна превышать 80 Гц, иначе возникает искажение вследствие наложения спектральных составляющих.</w:t>
      </w:r>
    </w:p>
    <w:p>
      <w:pPr>
        <w:pStyle w:val="BodyText"/>
      </w:pPr>
      <w:r>
        <w:t xml:space="preserve">На примере сигналов с частотами 5 и 50 Гц рассмотрена амплитудная модуляция и исследован спектр полученного модулированного сигнала.</w:t>
      </w:r>
    </w:p>
    <w:p>
      <w:pPr>
        <w:pStyle w:val="BodyText"/>
      </w:pPr>
      <w:r>
        <w:t xml:space="preserve">Реализованы униполярное, AMI, NRZ, RZ, манчестерское и дифференциальное манчестерское кодирование. Исследование длинных последовательностей одинаковых битов показало отсутствие самосинхронизации у униполярного кода и NRZ. Для AMI синхронизация возможна при наличии импульсов. RZ, манчестерский и дифференциальный манчестерский коды обеспечивают регулярные переходы уровня и обладают свойством самосинхронизации. Также построены и сопоставлены спектры всех рассмотренных способов кодирования.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69" Target="media/rId6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9" Target="media/rId139.png" /><Relationship Type="http://schemas.openxmlformats.org/officeDocument/2006/relationships/image" Id="rId135" Target="media/rId135.png" /><Relationship Type="http://schemas.openxmlformats.org/officeDocument/2006/relationships/image" Id="rId119" Target="media/rId119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94" Target="media/rId9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домашнему заданию №1</dc:title>
  <dc:creator>Агаева Зейнаб Фуад кызы</dc:creator>
  <dc:language>ru-RU</dc:language>
  <cp:keywords/>
  <dcterms:created xsi:type="dcterms:W3CDTF">2026-09-11T10:12:02Z</dcterms:created>
  <dcterms:modified xsi:type="dcterms:W3CDTF">2026-09-11T10:12:02Z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Методы кодирования и модуляция сигналов</vt:lpwstr>
  </property>
  <property fmtid="{D5CDD505-2E9C-101B-9397-08002B2CF9AE}" pid="17" name="toc-title">
    <vt:lpwstr>Содержание</vt:lpwstr>
  </property>
</Properties>
</file>