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575B1D3" w:rsidP="1C9FDC05" w:rsidRDefault="6575B1D3" w14:paraId="50EF9923" w14:textId="048FAC2D">
      <w:pPr>
        <w:jc w:val="both"/>
        <w:rPr>
          <w:rFonts w:ascii="Calibri" w:hAnsi="Calibri" w:eastAsia="Calibri" w:cs="Calibri" w:asciiTheme="minorAscii" w:hAnsiTheme="minorAscii" w:eastAsiaTheme="minorAscii" w:cstheme="minorAscii"/>
          <w:b w:val="1"/>
          <w:bCs w:val="1"/>
          <w:sz w:val="32"/>
          <w:szCs w:val="32"/>
        </w:rPr>
      </w:pPr>
      <w:r w:rsidRPr="1C9FDC05" w:rsidR="3C1EA6C2">
        <w:rPr>
          <w:rFonts w:ascii="Calibri" w:hAnsi="Calibri" w:eastAsia="Calibri" w:cs="Calibri" w:asciiTheme="minorAscii" w:hAnsiTheme="minorAscii" w:eastAsiaTheme="minorAscii" w:cstheme="minorAscii"/>
          <w:b w:val="1"/>
          <w:bCs w:val="1"/>
          <w:sz w:val="32"/>
          <w:szCs w:val="32"/>
        </w:rPr>
        <w:t xml:space="preserve">Iron Ore Movement, Production, Costs, and Industry Dynamics (1890-1912) </w:t>
      </w:r>
    </w:p>
    <w:p w:rsidR="6575B1D3" w:rsidP="1C9FDC05" w:rsidRDefault="6575B1D3" w14:paraId="28828FCF" w14:textId="6CAB0ED9">
      <w:pPr>
        <w:pStyle w:val="Normal"/>
        <w:bidi w:val="0"/>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1"/>
          <w:bCs w:val="1"/>
          <w:sz w:val="28"/>
          <w:szCs w:val="28"/>
        </w:rPr>
      </w:pPr>
      <w:r w:rsidRPr="1C9FDC05" w:rsidR="1C9FDC05">
        <w:rPr>
          <w:rFonts w:ascii="Calibri" w:hAnsi="Calibri" w:eastAsia="Calibri" w:cs="Calibri" w:asciiTheme="minorAscii" w:hAnsiTheme="minorAscii" w:eastAsiaTheme="minorAscii" w:cstheme="minorAscii"/>
          <w:b w:val="1"/>
          <w:bCs w:val="1"/>
          <w:sz w:val="28"/>
          <w:szCs w:val="28"/>
        </w:rPr>
        <w:t>Executive Summary</w:t>
      </w:r>
    </w:p>
    <w:p w:rsidR="6575B1D3" w:rsidP="1C9FDC05" w:rsidRDefault="6575B1D3" w14:paraId="41B7237E" w14:textId="65C8E432">
      <w:pPr>
        <w:pStyle w:val="Normal"/>
        <w:bidi w:val="0"/>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sz w:val="24"/>
          <w:szCs w:val="24"/>
        </w:rPr>
      </w:pPr>
      <w:r w:rsidRPr="1C9FDC05" w:rsidR="1C9FDC05">
        <w:rPr>
          <w:rFonts w:ascii="Calibri" w:hAnsi="Calibri" w:eastAsia="Calibri" w:cs="Calibri" w:asciiTheme="minorAscii" w:hAnsiTheme="minorAscii" w:eastAsiaTheme="minorAscii" w:cstheme="minorAscii"/>
          <w:b w:val="0"/>
          <w:bCs w:val="0"/>
          <w:sz w:val="24"/>
          <w:szCs w:val="24"/>
        </w:rPr>
        <w:t>Following the discovery of the Mesabi iron ore range in 1892, the total ore production of Minnesota grew at a rapid rate, almost doubling from 1893 to 1894 (Mineral Resources Report, 1912). Nevertheless, coal plants were not set up near Minnesota mines until almost two decades later, as coal would only reach the upper lakes region by return ships from the lower lakes (</w:t>
      </w:r>
      <w:r w:rsidRPr="1C9FDC05" w:rsidR="6575B1D3">
        <w:rPr>
          <w:rFonts w:ascii="Calibri" w:hAnsi="Calibri" w:eastAsia="Calibri" w:cs="Calibri" w:asciiTheme="minorAscii" w:hAnsiTheme="minorAscii" w:eastAsiaTheme="minorAscii" w:cstheme="minorAscii"/>
          <w:b w:val="0"/>
          <w:bCs w:val="0"/>
          <w:sz w:val="24"/>
          <w:szCs w:val="24"/>
        </w:rPr>
        <w:t>Miller 1914)</w:t>
      </w:r>
      <w:r w:rsidRPr="1C9FDC05" w:rsidR="1C9FDC05">
        <w:rPr>
          <w:rFonts w:ascii="Calibri" w:hAnsi="Calibri" w:eastAsia="Calibri" w:cs="Calibri" w:asciiTheme="minorAscii" w:hAnsiTheme="minorAscii" w:eastAsiaTheme="minorAscii" w:cstheme="minorAscii"/>
          <w:b w:val="0"/>
          <w:bCs w:val="0"/>
          <w:sz w:val="24"/>
          <w:szCs w:val="24"/>
        </w:rPr>
        <w:t xml:space="preserve">. Instead, iron ore was </w:t>
      </w:r>
      <w:bookmarkStart w:name="_Int_u2VoKYub" w:id="1676049420"/>
      <w:r w:rsidRPr="1C9FDC05" w:rsidR="1C9FDC05">
        <w:rPr>
          <w:rFonts w:ascii="Calibri" w:hAnsi="Calibri" w:eastAsia="Calibri" w:cs="Calibri" w:asciiTheme="minorAscii" w:hAnsiTheme="minorAscii" w:eastAsiaTheme="minorAscii" w:cstheme="minorAscii"/>
          <w:b w:val="0"/>
          <w:bCs w:val="0"/>
          <w:sz w:val="24"/>
          <w:szCs w:val="24"/>
        </w:rPr>
        <w:t>sent</w:t>
      </w:r>
      <w:bookmarkEnd w:id="1676049420"/>
      <w:r w:rsidRPr="1C9FDC05" w:rsidR="1C9FDC05">
        <w:rPr>
          <w:rFonts w:ascii="Calibri" w:hAnsi="Calibri" w:eastAsia="Calibri" w:cs="Calibri" w:asciiTheme="minorAscii" w:hAnsiTheme="minorAscii" w:eastAsiaTheme="minorAscii" w:cstheme="minorAscii"/>
          <w:b w:val="0"/>
          <w:bCs w:val="0"/>
          <w:sz w:val="24"/>
          <w:szCs w:val="24"/>
        </w:rPr>
        <w:t xml:space="preserve">—via rail and water—to ports lining Lake Erie, including the cities of Erie, Pennsylvania; Cleveland, Ohio; and Buffalo, New York. It was then transported by rail to other cities, such as Pittsburg, PA (Taussig 1900). Lake Superior ore only reached the Atlantic seaboard in small quantities (12th Census, 1900), in part because of the prohibitive costs of shipping iron ore over land. </w:t>
      </w:r>
    </w:p>
    <w:p w:rsidR="6575B1D3" w:rsidP="1C9FDC05" w:rsidRDefault="6575B1D3" w14:paraId="3347A171" w14:textId="6A1941EA">
      <w:pPr>
        <w:pStyle w:val="Normal"/>
        <w:bidi w:val="0"/>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sz w:val="24"/>
          <w:szCs w:val="24"/>
        </w:rPr>
      </w:pPr>
      <w:r w:rsidRPr="1C9FDC05" w:rsidR="1C9FDC05">
        <w:rPr>
          <w:rFonts w:ascii="Calibri" w:hAnsi="Calibri" w:eastAsia="Calibri" w:cs="Calibri" w:asciiTheme="minorAscii" w:hAnsiTheme="minorAscii" w:eastAsiaTheme="minorAscii" w:cstheme="minorAscii"/>
          <w:b w:val="0"/>
          <w:bCs w:val="0"/>
          <w:sz w:val="24"/>
          <w:szCs w:val="24"/>
        </w:rPr>
        <w:t>This memo estimates transit costs for three routes: [</w:t>
      </w:r>
      <w:r w:rsidRPr="1C9FDC05" w:rsidR="1C9FDC05">
        <w:rPr>
          <w:rFonts w:ascii="Calibri" w:hAnsi="Calibri" w:eastAsia="Calibri" w:cs="Calibri" w:asciiTheme="minorAscii" w:hAnsiTheme="minorAscii" w:eastAsiaTheme="minorAscii" w:cstheme="minorAscii"/>
          <w:b w:val="1"/>
          <w:bCs w:val="1"/>
          <w:sz w:val="24"/>
          <w:szCs w:val="24"/>
        </w:rPr>
        <w:t xml:space="preserve">1] Mesabi iron range to an unspecified lower Lake port, [2] Mesabi iron range to Pittsburgh, Pennsylvania, and [3] Mesabi iron range to Philadelphia, PA. </w:t>
      </w:r>
      <w:r w:rsidRPr="1C9FDC05" w:rsidR="1C9FDC05">
        <w:rPr>
          <w:rFonts w:ascii="Calibri" w:hAnsi="Calibri" w:eastAsia="Calibri" w:cs="Calibri" w:asciiTheme="minorAscii" w:hAnsiTheme="minorAscii" w:eastAsiaTheme="minorAscii" w:cstheme="minorAscii"/>
          <w:b w:val="0"/>
          <w:bCs w:val="0"/>
          <w:sz w:val="24"/>
          <w:szCs w:val="24"/>
        </w:rPr>
        <w:t xml:space="preserve">It also depicts ore prices at the lower Lake Erie ports. In line with Irwin (2017), it </w:t>
      </w:r>
      <w:r w:rsidRPr="1C9FDC05" w:rsidR="1C9FDC05">
        <w:rPr>
          <w:rFonts w:ascii="Calibri" w:hAnsi="Calibri" w:eastAsia="Calibri" w:cs="Calibri" w:asciiTheme="minorAscii" w:hAnsiTheme="minorAscii" w:eastAsiaTheme="minorAscii" w:cstheme="minorAscii"/>
          <w:b w:val="0"/>
          <w:bCs w:val="0"/>
          <w:sz w:val="24"/>
          <w:szCs w:val="24"/>
        </w:rPr>
        <w:t>indicates</w:t>
      </w:r>
      <w:r w:rsidRPr="1C9FDC05" w:rsidR="1C9FDC05">
        <w:rPr>
          <w:rFonts w:ascii="Calibri" w:hAnsi="Calibri" w:eastAsia="Calibri" w:cs="Calibri" w:asciiTheme="minorAscii" w:hAnsiTheme="minorAscii" w:eastAsiaTheme="minorAscii" w:cstheme="minorAscii"/>
          <w:b w:val="0"/>
          <w:bCs w:val="0"/>
          <w:sz w:val="24"/>
          <w:szCs w:val="24"/>
        </w:rPr>
        <w:t xml:space="preserve"> that Minnesota iron ore was unlikely to be profitable if sent farther east than cities like Pittsburgh. </w:t>
      </w:r>
      <w:r w:rsidRPr="1C9FDC05" w:rsidR="1C9FDC05">
        <w:rPr>
          <w:rFonts w:ascii="Calibri" w:hAnsi="Calibri" w:eastAsia="Calibri" w:cs="Calibri" w:asciiTheme="minorAscii" w:hAnsiTheme="minorAscii" w:eastAsiaTheme="minorAscii" w:cstheme="minorAscii"/>
          <w:b w:val="1"/>
          <w:bCs w:val="1"/>
          <w:sz w:val="24"/>
          <w:szCs w:val="24"/>
        </w:rPr>
        <w:t xml:space="preserve">Next steps may include an analysis of the micro-level geography of the Pennsylvania, Ohio, and New York regions. At what distance from Lake Erie did cities stop receiving ore? </w:t>
      </w:r>
      <w:r w:rsidRPr="1C9FDC05" w:rsidR="1C9FDC05">
        <w:rPr>
          <w:rFonts w:ascii="Calibri" w:hAnsi="Calibri" w:eastAsia="Calibri" w:cs="Calibri" w:asciiTheme="minorAscii" w:hAnsiTheme="minorAscii" w:eastAsiaTheme="minorAscii" w:cstheme="minorAscii"/>
          <w:b w:val="0"/>
          <w:bCs w:val="0"/>
          <w:sz w:val="24"/>
          <w:szCs w:val="24"/>
        </w:rPr>
        <w:t xml:space="preserve">Over the 1890-1912 period, it looks like cities within the region began to out-compete others due to their geographic positioning (see section 1). </w:t>
      </w:r>
    </w:p>
    <w:p w:rsidR="6575B1D3" w:rsidP="1C9FDC05" w:rsidRDefault="6575B1D3" w14:paraId="580B49AD" w14:textId="5FA2DEF0">
      <w:pPr>
        <w:pStyle w:val="Normal"/>
        <w:bidi w:val="0"/>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sz w:val="24"/>
          <w:szCs w:val="24"/>
        </w:rPr>
      </w:pPr>
      <w:r w:rsidRPr="1C9FDC05" w:rsidR="1C9FDC05">
        <w:rPr>
          <w:rFonts w:ascii="Calibri" w:hAnsi="Calibri" w:eastAsia="Calibri" w:cs="Calibri" w:asciiTheme="minorAscii" w:hAnsiTheme="minorAscii" w:eastAsiaTheme="minorAscii" w:cstheme="minorAscii"/>
          <w:b w:val="1"/>
          <w:bCs w:val="1"/>
          <w:sz w:val="24"/>
          <w:szCs w:val="24"/>
        </w:rPr>
        <w:t>Sections</w:t>
      </w:r>
      <w:r w:rsidRPr="1C9FDC05" w:rsidR="1C9FDC05">
        <w:rPr>
          <w:rFonts w:ascii="Calibri" w:hAnsi="Calibri" w:eastAsia="Calibri" w:cs="Calibri" w:asciiTheme="minorAscii" w:hAnsiTheme="minorAscii" w:eastAsiaTheme="minorAscii" w:cstheme="minorAscii"/>
          <w:b w:val="0"/>
          <w:bCs w:val="0"/>
          <w:sz w:val="24"/>
          <w:szCs w:val="24"/>
        </w:rPr>
        <w:t xml:space="preserve">: (1) Routes, (2) Industry Dynamics, (3) Iron Ore Production, (4) Transit Costs, and (5) Ore Prices and Profitability. </w:t>
      </w:r>
    </w:p>
    <w:p w:rsidR="6575B1D3" w:rsidP="1C9FDC05" w:rsidRDefault="6575B1D3" w14:paraId="0DB09A95" w14:textId="5671155B">
      <w:pPr>
        <w:pStyle w:val="Normal"/>
        <w:bidi w:val="0"/>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sz w:val="24"/>
          <w:szCs w:val="24"/>
        </w:rPr>
      </w:pPr>
    </w:p>
    <w:p w:rsidR="6575B1D3" w:rsidP="1C9FDC05" w:rsidRDefault="6575B1D3" w14:paraId="44C1394F" w14:textId="2EDBE1D0">
      <w:pPr>
        <w:pStyle w:val="ListParagraph"/>
        <w:numPr>
          <w:ilvl w:val="0"/>
          <w:numId w:val="3"/>
        </w:numPr>
        <w:jc w:val="both"/>
        <w:rPr>
          <w:rFonts w:ascii="Calibri" w:hAnsi="Calibri" w:eastAsia="Calibri" w:cs="Calibri" w:asciiTheme="minorAscii" w:hAnsiTheme="minorAscii" w:eastAsiaTheme="minorAscii" w:cstheme="minorAscii"/>
          <w:b w:val="1"/>
          <w:bCs w:val="1"/>
          <w:sz w:val="28"/>
          <w:szCs w:val="28"/>
        </w:rPr>
      </w:pPr>
      <w:r w:rsidRPr="1C9FDC05" w:rsidR="3C1EA6C2">
        <w:rPr>
          <w:rFonts w:ascii="Calibri" w:hAnsi="Calibri" w:eastAsia="Calibri" w:cs="Calibri" w:asciiTheme="minorAscii" w:hAnsiTheme="minorAscii" w:eastAsiaTheme="minorAscii" w:cstheme="minorAscii"/>
          <w:b w:val="1"/>
          <w:bCs w:val="1"/>
          <w:sz w:val="28"/>
          <w:szCs w:val="28"/>
        </w:rPr>
        <w:t>Routes</w:t>
      </w:r>
    </w:p>
    <w:p w:rsidR="6575B1D3" w:rsidP="1C9FDC05" w:rsidRDefault="6575B1D3" w14:paraId="525D87C4" w14:textId="6D6A565B">
      <w:pPr>
        <w:pStyle w:val="Normal"/>
        <w:jc w:val="both"/>
        <w:rPr>
          <w:rFonts w:ascii="Calibri" w:hAnsi="Calibri" w:eastAsia="Calibri" w:cs="Calibri" w:asciiTheme="minorAscii" w:hAnsiTheme="minorAscii" w:eastAsiaTheme="minorAscii" w:cstheme="minorAscii"/>
          <w:sz w:val="24"/>
          <w:szCs w:val="24"/>
        </w:rPr>
      </w:pPr>
      <w:r w:rsidRPr="1C9FDC05" w:rsidR="3C1EA6C2">
        <w:rPr>
          <w:rFonts w:ascii="Calibri" w:hAnsi="Calibri" w:eastAsia="Calibri" w:cs="Calibri" w:asciiTheme="minorAscii" w:hAnsiTheme="minorAscii" w:eastAsiaTheme="minorAscii" w:cstheme="minorAscii"/>
          <w:sz w:val="24"/>
          <w:szCs w:val="24"/>
        </w:rPr>
        <w:t xml:space="preserve">Two main iron ore ranges become increasingly important in the state of Minnesota by the mid-1890s. These were [1] </w:t>
      </w:r>
      <w:r w:rsidRPr="1C9FDC05" w:rsidR="3C1EA6C2">
        <w:rPr>
          <w:rFonts w:ascii="Calibri" w:hAnsi="Calibri" w:eastAsia="Calibri" w:cs="Calibri" w:asciiTheme="minorAscii" w:hAnsiTheme="minorAscii" w:eastAsiaTheme="minorAscii" w:cstheme="minorAscii"/>
          <w:b w:val="1"/>
          <w:bCs w:val="1"/>
          <w:sz w:val="24"/>
          <w:szCs w:val="24"/>
        </w:rPr>
        <w:t>the Mesabi range,</w:t>
      </w:r>
      <w:r w:rsidRPr="1C9FDC05" w:rsidR="3C1EA6C2">
        <w:rPr>
          <w:rFonts w:ascii="Calibri" w:hAnsi="Calibri" w:eastAsia="Calibri" w:cs="Calibri" w:asciiTheme="minorAscii" w:hAnsiTheme="minorAscii" w:eastAsiaTheme="minorAscii" w:cstheme="minorAscii"/>
          <w:sz w:val="24"/>
          <w:szCs w:val="24"/>
        </w:rPr>
        <w:t xml:space="preserve"> and [2]</w:t>
      </w:r>
      <w:r w:rsidRPr="1C9FDC05" w:rsidR="3C1EA6C2">
        <w:rPr>
          <w:rFonts w:ascii="Calibri" w:hAnsi="Calibri" w:eastAsia="Calibri" w:cs="Calibri" w:asciiTheme="minorAscii" w:hAnsiTheme="minorAscii" w:eastAsiaTheme="minorAscii" w:cstheme="minorAscii"/>
          <w:b w:val="1"/>
          <w:bCs w:val="1"/>
          <w:sz w:val="24"/>
          <w:szCs w:val="24"/>
        </w:rPr>
        <w:t xml:space="preserve"> the Vermillion</w:t>
      </w:r>
      <w:r w:rsidRPr="1C9FDC05" w:rsidR="3C1EA6C2">
        <w:rPr>
          <w:rFonts w:ascii="Calibri" w:hAnsi="Calibri" w:eastAsia="Calibri" w:cs="Calibri" w:asciiTheme="minorAscii" w:hAnsiTheme="minorAscii" w:eastAsiaTheme="minorAscii" w:cstheme="minorAscii"/>
          <w:sz w:val="24"/>
          <w:szCs w:val="24"/>
        </w:rPr>
        <w:t xml:space="preserve"> (Primmer 1934, </w:t>
      </w:r>
      <w:r w:rsidRPr="1C9FDC05" w:rsidR="3C1EA6C2">
        <w:rPr>
          <w:rFonts w:ascii="Calibri" w:hAnsi="Calibri" w:eastAsia="Calibri" w:cs="Calibri" w:asciiTheme="minorAscii" w:hAnsiTheme="minorAscii" w:eastAsiaTheme="minorAscii" w:cstheme="minorAscii"/>
          <w:sz w:val="24"/>
          <w:szCs w:val="24"/>
        </w:rPr>
        <w:t xml:space="preserve">Moersch 1901). </w:t>
      </w:r>
      <w:r w:rsidRPr="1C9FDC05" w:rsidR="3C1EA6C2">
        <w:rPr>
          <w:rFonts w:ascii="Calibri" w:hAnsi="Calibri" w:eastAsia="Calibri" w:cs="Calibri" w:asciiTheme="minorAscii" w:hAnsiTheme="minorAscii" w:eastAsiaTheme="minorAscii" w:cstheme="minorAscii"/>
          <w:sz w:val="24"/>
          <w:szCs w:val="24"/>
        </w:rPr>
        <w:t xml:space="preserve">Geographically, this is best seen on the map below (NB: these numbers are for the year 1929, Primmer 1934). </w:t>
      </w:r>
    </w:p>
    <w:p w:rsidR="6575B1D3" w:rsidP="1C9FDC05" w:rsidRDefault="6575B1D3" w14:paraId="30425A63" w14:textId="6095D772">
      <w:pPr>
        <w:jc w:val="both"/>
        <w:rPr>
          <w:rFonts w:ascii="Calibri" w:hAnsi="Calibri" w:eastAsia="Calibri" w:cs="Calibri" w:asciiTheme="minorAscii" w:hAnsiTheme="minorAscii" w:eastAsiaTheme="minorAscii" w:cstheme="minorAscii"/>
          <w:sz w:val="24"/>
          <w:szCs w:val="24"/>
        </w:rPr>
      </w:pPr>
      <w:r w:rsidRPr="1C9FDC05" w:rsidR="6575B1D3">
        <w:rPr>
          <w:rFonts w:ascii="Calibri" w:hAnsi="Calibri" w:eastAsia="Calibri" w:cs="Calibri" w:asciiTheme="minorAscii" w:hAnsiTheme="minorAscii" w:eastAsiaTheme="minorAscii" w:cstheme="minorAscii"/>
          <w:sz w:val="24"/>
          <w:szCs w:val="24"/>
        </w:rPr>
        <w:t xml:space="preserve">All </w:t>
      </w:r>
      <w:r w:rsidRPr="1C9FDC05" w:rsidR="6575B1D3">
        <w:rPr>
          <w:rFonts w:ascii="Calibri" w:hAnsi="Calibri" w:eastAsia="Calibri" w:cs="Calibri" w:asciiTheme="minorAscii" w:hAnsiTheme="minorAscii" w:eastAsiaTheme="minorAscii" w:cstheme="minorAscii"/>
          <w:sz w:val="24"/>
          <w:szCs w:val="24"/>
        </w:rPr>
        <w:t xml:space="preserve">the ore from the Vermillion range and much from the Mesabi went to three specific ports on Lake Superior for transportation, including </w:t>
      </w:r>
      <w:r w:rsidRPr="1C9FDC05" w:rsidR="6575B1D3">
        <w:rPr>
          <w:rFonts w:ascii="Calibri" w:hAnsi="Calibri" w:eastAsia="Calibri" w:cs="Calibri" w:asciiTheme="minorAscii" w:hAnsiTheme="minorAscii" w:eastAsiaTheme="minorAscii" w:cstheme="minorAscii"/>
          <w:b w:val="1"/>
          <w:bCs w:val="1"/>
          <w:sz w:val="24"/>
          <w:szCs w:val="24"/>
        </w:rPr>
        <w:t xml:space="preserve">Duluth </w:t>
      </w:r>
      <w:r w:rsidRPr="1C9FDC05" w:rsidR="6575B1D3">
        <w:rPr>
          <w:rFonts w:ascii="Calibri" w:hAnsi="Calibri" w:eastAsia="Calibri" w:cs="Calibri" w:asciiTheme="minorAscii" w:hAnsiTheme="minorAscii" w:eastAsiaTheme="minorAscii" w:cstheme="minorAscii"/>
          <w:sz w:val="24"/>
          <w:szCs w:val="24"/>
        </w:rPr>
        <w:t xml:space="preserve">and </w:t>
      </w:r>
      <w:r w:rsidRPr="1C9FDC05" w:rsidR="6575B1D3">
        <w:rPr>
          <w:rFonts w:ascii="Calibri" w:hAnsi="Calibri" w:eastAsia="Calibri" w:cs="Calibri" w:asciiTheme="minorAscii" w:hAnsiTheme="minorAscii" w:eastAsiaTheme="minorAscii" w:cstheme="minorAscii"/>
          <w:b w:val="1"/>
          <w:bCs w:val="1"/>
          <w:sz w:val="24"/>
          <w:szCs w:val="24"/>
        </w:rPr>
        <w:t xml:space="preserve">Two Harbors </w:t>
      </w:r>
      <w:r w:rsidRPr="1C9FDC05" w:rsidR="6575B1D3">
        <w:rPr>
          <w:rFonts w:ascii="Calibri" w:hAnsi="Calibri" w:eastAsia="Calibri" w:cs="Calibri" w:asciiTheme="minorAscii" w:hAnsiTheme="minorAscii" w:eastAsiaTheme="minorAscii" w:cstheme="minorAscii"/>
          <w:sz w:val="24"/>
          <w:szCs w:val="24"/>
        </w:rPr>
        <w:t xml:space="preserve">(Moersch 1929). </w:t>
      </w:r>
    </w:p>
    <w:p w:rsidR="6575B1D3" w:rsidP="1C9FDC05" w:rsidRDefault="6575B1D3" w14:paraId="1C0FEEE8" w14:textId="73CBE9FC">
      <w:pPr>
        <w:ind w:firstLine="720"/>
        <w:jc w:val="both"/>
        <w:rPr>
          <w:rFonts w:ascii="Calibri" w:hAnsi="Calibri" w:eastAsia="Calibri" w:cs="Calibri" w:asciiTheme="minorAscii" w:hAnsiTheme="minorAscii" w:eastAsiaTheme="minorAscii" w:cstheme="minorAscii"/>
          <w:sz w:val="24"/>
          <w:szCs w:val="24"/>
        </w:rPr>
      </w:pPr>
      <w:r w:rsidR="6575B1D3">
        <w:drawing>
          <wp:inline wp14:editId="2415C938" wp14:anchorId="43785ADA">
            <wp:extent cx="4988820" cy="3648075"/>
            <wp:effectExtent l="0" t="0" r="0" b="0"/>
            <wp:docPr id="1407178865" name="Picture 1407178865" title=""/>
            <wp:cNvGraphicFramePr>
              <a:graphicFrameLocks noChangeAspect="1"/>
            </wp:cNvGraphicFramePr>
            <a:graphic>
              <a:graphicData uri="http://schemas.openxmlformats.org/drawingml/2006/picture">
                <pic:pic>
                  <pic:nvPicPr>
                    <pic:cNvPr id="0" name="Picture 1407178865"/>
                    <pic:cNvPicPr/>
                  </pic:nvPicPr>
                  <pic:blipFill>
                    <a:blip r:embed="R35152124ac0e4d6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88820" cy="3648075"/>
                    </a:xfrm>
                    <a:prstGeom prst="rect">
                      <a:avLst/>
                    </a:prstGeom>
                  </pic:spPr>
                </pic:pic>
              </a:graphicData>
            </a:graphic>
          </wp:inline>
        </w:drawing>
      </w:r>
    </w:p>
    <w:p w:rsidR="6575B1D3" w:rsidP="1C9FDC05" w:rsidRDefault="6575B1D3" w14:paraId="76CACE45" w14:textId="26E77219">
      <w:pPr>
        <w:pStyle w:val="Normal"/>
        <w:jc w:val="both"/>
        <w:rPr>
          <w:rFonts w:ascii="Calibri" w:hAnsi="Calibri" w:eastAsia="Calibri" w:cs="Calibri" w:asciiTheme="minorAscii" w:hAnsiTheme="minorAscii" w:eastAsiaTheme="minorAscii" w:cstheme="minorAscii"/>
          <w:b w:val="0"/>
          <w:bCs w:val="0"/>
          <w:sz w:val="24"/>
          <w:szCs w:val="24"/>
        </w:rPr>
      </w:pPr>
      <w:r w:rsidRPr="1C9FDC05" w:rsidR="6575B1D3">
        <w:rPr>
          <w:rFonts w:ascii="Calibri" w:hAnsi="Calibri" w:eastAsia="Calibri" w:cs="Calibri" w:asciiTheme="minorAscii" w:hAnsiTheme="minorAscii" w:eastAsiaTheme="minorAscii" w:cstheme="minorAscii"/>
          <w:sz w:val="24"/>
          <w:szCs w:val="24"/>
        </w:rPr>
        <w:t xml:space="preserve">Once the ore reached Lake Superior, it would go down through a short canal at Sault Ste. Marie (the Soo), which was completed in 1855 and expanded with the Poe lock in 1895 (Martin 1911, Primmer 1934). Then it would move through Lake Huron past Detroit and proceed to various ports on Lake Erie. Finally, from ports along Lake Erie, it would be transported by rail to places like Pittsburg, Pennsylvania </w:t>
      </w:r>
      <w:r w:rsidRPr="1C9FDC05" w:rsidR="1C9FDC05">
        <w:rPr>
          <w:rFonts w:ascii="Calibri" w:hAnsi="Calibri" w:eastAsia="Calibri" w:cs="Calibri" w:asciiTheme="minorAscii" w:hAnsiTheme="minorAscii" w:eastAsiaTheme="minorAscii" w:cstheme="minorAscii"/>
          <w:b w:val="0"/>
          <w:bCs w:val="0"/>
          <w:sz w:val="24"/>
          <w:szCs w:val="24"/>
        </w:rPr>
        <w:t>(Taussig 1900).</w:t>
      </w:r>
    </w:p>
    <w:p w:rsidR="6575B1D3" w:rsidP="1C9FDC05" w:rsidRDefault="6575B1D3" w14:paraId="3B300CE8" w14:textId="3B425658">
      <w:pPr>
        <w:jc w:val="both"/>
        <w:rPr>
          <w:rFonts w:ascii="Calibri" w:hAnsi="Calibri" w:eastAsia="Calibri" w:cs="Calibri" w:asciiTheme="minorAscii" w:hAnsiTheme="minorAscii" w:eastAsiaTheme="minorAscii" w:cstheme="minorAscii"/>
          <w:b w:val="1"/>
          <w:bCs w:val="1"/>
          <w:sz w:val="24"/>
          <w:szCs w:val="24"/>
        </w:rPr>
      </w:pPr>
      <w:r w:rsidRPr="1C9FDC05" w:rsidR="6575B1D3">
        <w:rPr>
          <w:rFonts w:ascii="Calibri" w:hAnsi="Calibri" w:eastAsia="Calibri" w:cs="Calibri" w:asciiTheme="minorAscii" w:hAnsiTheme="minorAscii" w:eastAsiaTheme="minorAscii" w:cstheme="minorAscii"/>
          <w:sz w:val="24"/>
          <w:szCs w:val="24"/>
        </w:rPr>
        <w:t xml:space="preserve">As Irwin (2017) notes, there were no routes yet through Lake Ontario during this period </w:t>
      </w:r>
      <w:r w:rsidRPr="1C9FDC05" w:rsidR="6575B1D3">
        <w:rPr>
          <w:rFonts w:ascii="Calibri" w:hAnsi="Calibri" w:eastAsia="Calibri" w:cs="Calibri" w:asciiTheme="minorAscii" w:hAnsiTheme="minorAscii" w:eastAsiaTheme="minorAscii" w:cstheme="minorAscii"/>
          <w:b w:val="1"/>
          <w:bCs w:val="1"/>
          <w:sz w:val="24"/>
          <w:szCs w:val="24"/>
        </w:rPr>
        <w:t xml:space="preserve">(and, consequently, no direct waterways to the Atlantic). </w:t>
      </w:r>
    </w:p>
    <w:p w:rsidR="6575B1D3" w:rsidP="1C9FDC05" w:rsidRDefault="6575B1D3" w14:paraId="4032B47B" w14:textId="0B20B0ED">
      <w:pPr>
        <w:pStyle w:val="Normal"/>
        <w:bidi w:val="0"/>
        <w:spacing w:before="0" w:beforeAutospacing="off" w:after="160" w:afterAutospacing="off" w:line="259" w:lineRule="auto"/>
        <w:ind w:left="0" w:right="0"/>
        <w:jc w:val="both"/>
        <w:rPr>
          <w:rStyle w:val="FootnoteReference"/>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pPr>
      <w:r w:rsidRPr="1C9FDC05" w:rsidR="6575B1D3">
        <w:rPr>
          <w:rFonts w:ascii="Calibri" w:hAnsi="Calibri" w:eastAsia="Calibri" w:cs="Calibri" w:asciiTheme="minorAscii" w:hAnsiTheme="minorAscii" w:eastAsiaTheme="minorAscii" w:cstheme="minorAscii"/>
          <w:color w:val="000000" w:themeColor="text1" w:themeTint="FF" w:themeShade="FF"/>
          <w:sz w:val="24"/>
          <w:szCs w:val="24"/>
        </w:rPr>
        <w:t>Most Lake Superior ore did not reach the Atlantic seaboard. T</w:t>
      </w:r>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 xml:space="preserve">unnell (1896) suggests that some Lake Superior ore did compete with prices in Philadelphia, but this was not a common statement. </w:t>
      </w:r>
      <w:bookmarkStart w:name="_Int_rw8kQlBs" w:id="1395102998"/>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It is</w:t>
      </w:r>
      <w:bookmarkEnd w:id="1395102998"/>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 xml:space="preserve"> unclear, further, whether this was from Minnesota or from elsewhere in the Lake Superior region. Either way, it was a negligible </w:t>
      </w:r>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portion</w:t>
      </w:r>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 xml:space="preserve"> of total US iron production, as states along the Atlantic seaboard did not </w:t>
      </w:r>
      <w:bookmarkStart w:name="_Int_JFPx427e" w:id="862158058"/>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manufacture</w:t>
      </w:r>
      <w:bookmarkEnd w:id="862158058"/>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 xml:space="preserve"> much iron or steel (12</w:t>
      </w:r>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vertAlign w:val="superscript"/>
          <w:lang w:val="en-US"/>
        </w:rPr>
        <w:t>th</w:t>
      </w:r>
      <w:r w:rsidRPr="1C9FDC05" w:rsidR="1C9FDC05">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4"/>
          <w:szCs w:val="24"/>
          <w:lang w:val="en-US"/>
        </w:rPr>
        <w:t xml:space="preserve"> Census, 1900). </w:t>
      </w:r>
    </w:p>
    <w:p w:rsidR="1C9FDC05" w:rsidP="1C9FDC05" w:rsidRDefault="1C9FDC05" w14:paraId="36F47A4A" w14:textId="20D9D3DA">
      <w:pPr>
        <w:pStyle w:val="Normal"/>
        <w:jc w:val="both"/>
        <w:rPr>
          <w:rFonts w:ascii="Calibri" w:hAnsi="Calibri" w:eastAsia="Calibri" w:cs="Calibri" w:asciiTheme="minorAscii" w:hAnsiTheme="minorAscii" w:eastAsiaTheme="minorAscii" w:cstheme="minorAscii"/>
          <w:sz w:val="24"/>
          <w:szCs w:val="24"/>
        </w:rPr>
      </w:pPr>
      <w:r w:rsidRPr="1C9FDC05" w:rsidR="1C9FDC05">
        <w:rPr>
          <w:rFonts w:ascii="Calibri" w:hAnsi="Calibri" w:eastAsia="Calibri" w:cs="Calibri" w:asciiTheme="minorAscii" w:hAnsiTheme="minorAscii" w:eastAsiaTheme="minorAscii" w:cstheme="minorAscii"/>
          <w:b w:val="1"/>
          <w:bCs w:val="1"/>
          <w:sz w:val="24"/>
          <w:szCs w:val="24"/>
        </w:rPr>
        <w:t>It is also important to note that Pittsburg was not always thought to be the most ideal location for steel production.</w:t>
      </w:r>
      <w:r w:rsidRPr="1C9FDC05" w:rsidR="1C9FDC05">
        <w:rPr>
          <w:rFonts w:ascii="Calibri" w:hAnsi="Calibri" w:eastAsia="Calibri" w:cs="Calibri" w:asciiTheme="minorAscii" w:hAnsiTheme="minorAscii" w:eastAsiaTheme="minorAscii" w:cstheme="minorAscii"/>
          <w:sz w:val="24"/>
          <w:szCs w:val="24"/>
        </w:rPr>
        <w:t xml:space="preserve"> By 1834, a canal was built from Lake Erie to Pittsburg (</w:t>
      </w:r>
      <w:proofErr w:type="spellStart"/>
      <w:r w:rsidRPr="1C9FDC05" w:rsidR="1C9FDC05">
        <w:rPr>
          <w:rFonts w:ascii="Calibri" w:hAnsi="Calibri" w:eastAsia="Calibri" w:cs="Calibri" w:asciiTheme="minorAscii" w:hAnsiTheme="minorAscii" w:eastAsiaTheme="minorAscii" w:cstheme="minorAscii"/>
          <w:sz w:val="24"/>
          <w:szCs w:val="24"/>
        </w:rPr>
        <w:t>Corkan</w:t>
      </w:r>
      <w:proofErr w:type="spellEnd"/>
      <w:r w:rsidRPr="1C9FDC05" w:rsidR="1C9FDC05">
        <w:rPr>
          <w:rFonts w:ascii="Calibri" w:hAnsi="Calibri" w:eastAsia="Calibri" w:cs="Calibri" w:asciiTheme="minorAscii" w:hAnsiTheme="minorAscii" w:eastAsiaTheme="minorAscii" w:cstheme="minorAscii"/>
          <w:sz w:val="24"/>
          <w:szCs w:val="24"/>
        </w:rPr>
        <w:t xml:space="preserve"> 1934). But this closed by the 1870s as the Erie Canal company declared bankruptcy; most passengers now used rail, and their prices were unable to compete. This of course was not </w:t>
      </w:r>
      <w:r w:rsidRPr="1C9FDC05" w:rsidR="1C9FDC05">
        <w:rPr>
          <w:rFonts w:ascii="Calibri" w:hAnsi="Calibri" w:eastAsia="Calibri" w:cs="Calibri" w:asciiTheme="minorAscii" w:hAnsiTheme="minorAscii" w:eastAsiaTheme="minorAscii" w:cstheme="minorAscii"/>
          <w:sz w:val="24"/>
          <w:szCs w:val="24"/>
        </w:rPr>
        <w:t>advantageous</w:t>
      </w:r>
      <w:r w:rsidRPr="1C9FDC05" w:rsidR="1C9FDC05">
        <w:rPr>
          <w:rFonts w:ascii="Calibri" w:hAnsi="Calibri" w:eastAsia="Calibri" w:cs="Calibri" w:asciiTheme="minorAscii" w:hAnsiTheme="minorAscii" w:eastAsiaTheme="minorAscii" w:cstheme="minorAscii"/>
          <w:sz w:val="24"/>
          <w:szCs w:val="24"/>
        </w:rPr>
        <w:t xml:space="preserve"> for Pittsburg once ore from Lake Superior began to reach the region in the 1890s. In 1895, the</w:t>
      </w:r>
      <w:r w:rsidRPr="1C9FDC05" w:rsidR="1C9FDC05">
        <w:rPr>
          <w:rFonts w:ascii="Calibri" w:hAnsi="Calibri" w:eastAsia="Calibri" w:cs="Calibri" w:asciiTheme="minorAscii" w:hAnsiTheme="minorAscii" w:eastAsiaTheme="minorAscii" w:cstheme="minorAscii"/>
          <w:i w:val="1"/>
          <w:iCs w:val="1"/>
          <w:sz w:val="24"/>
          <w:szCs w:val="24"/>
        </w:rPr>
        <w:t xml:space="preserve"> New York Times </w:t>
      </w:r>
      <w:r w:rsidRPr="1C9FDC05" w:rsidR="1C9FDC05">
        <w:rPr>
          <w:rFonts w:ascii="Calibri" w:hAnsi="Calibri" w:eastAsia="Calibri" w:cs="Calibri" w:asciiTheme="minorAscii" w:hAnsiTheme="minorAscii" w:eastAsiaTheme="minorAscii" w:cstheme="minorAscii"/>
          <w:sz w:val="24"/>
          <w:szCs w:val="24"/>
        </w:rPr>
        <w:t xml:space="preserve">reported that Carnegie wanted a canal to be built from Cleveland to Pittsburg to mitigate the ore transportation costs. Otherwise, Pittsburg would cease being the most </w:t>
      </w:r>
      <w:r w:rsidRPr="1C9FDC05" w:rsidR="1C9FDC05">
        <w:rPr>
          <w:rFonts w:ascii="Calibri" w:hAnsi="Calibri" w:eastAsia="Calibri" w:cs="Calibri" w:asciiTheme="minorAscii" w:hAnsiTheme="minorAscii" w:eastAsiaTheme="minorAscii" w:cstheme="minorAscii"/>
          <w:sz w:val="24"/>
          <w:szCs w:val="24"/>
        </w:rPr>
        <w:t>advantageous</w:t>
      </w:r>
      <w:r w:rsidRPr="1C9FDC05" w:rsidR="1C9FDC05">
        <w:rPr>
          <w:rFonts w:ascii="Calibri" w:hAnsi="Calibri" w:eastAsia="Calibri" w:cs="Calibri" w:asciiTheme="minorAscii" w:hAnsiTheme="minorAscii" w:eastAsiaTheme="minorAscii" w:cstheme="minorAscii"/>
          <w:sz w:val="24"/>
          <w:szCs w:val="24"/>
        </w:rPr>
        <w:t xml:space="preserve"> spot for iron and steel mills.</w:t>
      </w:r>
    </w:p>
    <w:p w:rsidR="1C9FDC05" w:rsidP="1C9FDC05" w:rsidRDefault="1C9FDC05" w14:paraId="6DE0CE9C" w14:textId="0342D2B5">
      <w:pPr>
        <w:pStyle w:val="Normal"/>
        <w:jc w:val="both"/>
        <w:rPr>
          <w:rFonts w:ascii="Calibri" w:hAnsi="Calibri" w:eastAsia="Calibri" w:cs="Calibri" w:asciiTheme="minorAscii" w:hAnsiTheme="minorAscii" w:eastAsiaTheme="minorAscii" w:cstheme="minorAscii"/>
          <w:sz w:val="24"/>
          <w:szCs w:val="24"/>
        </w:rPr>
      </w:pPr>
    </w:p>
    <w:p w:rsidR="1C9FDC05" w:rsidP="1C9FDC05" w:rsidRDefault="1C9FDC05" w14:paraId="79151810" w14:textId="4D85B81B">
      <w:pPr>
        <w:pStyle w:val="ListParagraph"/>
        <w:numPr>
          <w:ilvl w:val="0"/>
          <w:numId w:val="3"/>
        </w:numPr>
        <w:bidi w:val="0"/>
        <w:spacing w:before="0" w:beforeAutospacing="off" w:after="160" w:afterAutospacing="off" w:line="259" w:lineRule="auto"/>
        <w:ind w:left="720" w:right="0" w:hanging="360"/>
        <w:jc w:val="both"/>
        <w:rPr>
          <w:rFonts w:ascii="Calibri" w:hAnsi="Calibri" w:eastAsia="Calibri" w:cs="Calibri" w:asciiTheme="minorAscii" w:hAnsiTheme="minorAscii" w:eastAsiaTheme="minorAscii" w:cstheme="minorAscii"/>
          <w:b w:val="1"/>
          <w:bCs w:val="1"/>
          <w:color w:val="000000" w:themeColor="text1" w:themeTint="FF" w:themeShade="FF"/>
          <w:sz w:val="28"/>
          <w:szCs w:val="28"/>
        </w:rPr>
      </w:pPr>
      <w:r w:rsidRPr="1C9FDC05" w:rsidR="1C9FDC05">
        <w:rPr>
          <w:rFonts w:ascii="Calibri" w:hAnsi="Calibri" w:eastAsia="Calibri" w:cs="Calibri" w:asciiTheme="minorAscii" w:hAnsiTheme="minorAscii" w:eastAsiaTheme="minorAscii" w:cstheme="minorAscii"/>
          <w:b w:val="1"/>
          <w:bCs w:val="1"/>
          <w:color w:val="000000" w:themeColor="text1" w:themeTint="FF" w:themeShade="FF"/>
          <w:sz w:val="28"/>
          <w:szCs w:val="28"/>
        </w:rPr>
        <w:t xml:space="preserve">Industry Dynamics </w:t>
      </w:r>
    </w:p>
    <w:p w:rsidR="6575B1D3" w:rsidP="1C9FDC05" w:rsidRDefault="6575B1D3" w14:paraId="37100061" w14:textId="16BBC7CD">
      <w:pPr>
        <w:jc w:val="both"/>
        <w:rPr>
          <w:rFonts w:ascii="Calibri" w:hAnsi="Calibri" w:eastAsia="Calibri" w:cs="Calibri" w:asciiTheme="minorAscii" w:hAnsiTheme="minorAscii" w:eastAsiaTheme="minorAscii" w:cstheme="minorAscii"/>
          <w:b w:val="1"/>
          <w:bCs w:val="1"/>
          <w:i w:val="1"/>
          <w:iCs w:val="1"/>
          <w:sz w:val="24"/>
          <w:szCs w:val="24"/>
        </w:rPr>
      </w:pPr>
      <w:r w:rsidRPr="1C9FDC05" w:rsidR="6575B1D3">
        <w:rPr>
          <w:rFonts w:ascii="Calibri" w:hAnsi="Calibri" w:eastAsia="Calibri" w:cs="Calibri" w:asciiTheme="minorAscii" w:hAnsiTheme="minorAscii" w:eastAsiaTheme="minorAscii" w:cstheme="minorAscii"/>
          <w:sz w:val="24"/>
          <w:szCs w:val="24"/>
        </w:rPr>
        <w:t xml:space="preserve">As Section 1 </w:t>
      </w:r>
      <w:r w:rsidRPr="1C9FDC05" w:rsidR="6575B1D3">
        <w:rPr>
          <w:rFonts w:ascii="Calibri" w:hAnsi="Calibri" w:eastAsia="Calibri" w:cs="Calibri" w:asciiTheme="minorAscii" w:hAnsiTheme="minorAscii" w:eastAsiaTheme="minorAscii" w:cstheme="minorAscii"/>
          <w:sz w:val="24"/>
          <w:szCs w:val="24"/>
        </w:rPr>
        <w:t>indicates</w:t>
      </w:r>
      <w:r w:rsidRPr="1C9FDC05" w:rsidR="6575B1D3">
        <w:rPr>
          <w:rFonts w:ascii="Calibri" w:hAnsi="Calibri" w:eastAsia="Calibri" w:cs="Calibri" w:asciiTheme="minorAscii" w:hAnsiTheme="minorAscii" w:eastAsiaTheme="minorAscii" w:cstheme="minorAscii"/>
          <w:sz w:val="24"/>
          <w:szCs w:val="24"/>
        </w:rPr>
        <w:t xml:space="preserve">, Minnesota iron ore was sent to manufacturing plants in Pennsylvania, Ohio, and New York, as opposed to blast furnaces being built near Mesabi following the discovery of the ore in 1892. This was likely the case since </w:t>
      </w:r>
      <w:r w:rsidRPr="1C9FDC05" w:rsidR="6575B1D3">
        <w:rPr>
          <w:rFonts w:ascii="Calibri" w:hAnsi="Calibri" w:eastAsia="Calibri" w:cs="Calibri" w:asciiTheme="minorAscii" w:hAnsiTheme="minorAscii" w:eastAsiaTheme="minorAscii" w:cstheme="minorAscii"/>
          <w:b w:val="1"/>
          <w:bCs w:val="1"/>
          <w:sz w:val="24"/>
          <w:szCs w:val="24"/>
        </w:rPr>
        <w:t>s</w:t>
      </w:r>
      <w:r w:rsidRPr="1C9FDC05" w:rsidR="6575B1D3">
        <w:rPr>
          <w:rFonts w:ascii="Calibri" w:hAnsi="Calibri" w:eastAsia="Calibri" w:cs="Calibri" w:asciiTheme="minorAscii" w:hAnsiTheme="minorAscii" w:eastAsiaTheme="minorAscii" w:cstheme="minorAscii"/>
          <w:b w:val="1"/>
          <w:bCs w:val="1"/>
          <w:sz w:val="24"/>
          <w:szCs w:val="24"/>
        </w:rPr>
        <w:t xml:space="preserve">hips would reach the lower Great Lakes with ore and only </w:t>
      </w:r>
      <w:r w:rsidRPr="1C9FDC05" w:rsidR="6575B1D3">
        <w:rPr>
          <w:rFonts w:ascii="Calibri" w:hAnsi="Calibri" w:eastAsia="Calibri" w:cs="Calibri" w:asciiTheme="minorAscii" w:hAnsiTheme="minorAscii" w:eastAsiaTheme="minorAscii" w:cstheme="minorAscii"/>
          <w:b w:val="1"/>
          <w:bCs w:val="1"/>
          <w:sz w:val="24"/>
          <w:szCs w:val="24"/>
        </w:rPr>
        <w:t xml:space="preserve">then return with coal </w:t>
      </w:r>
      <w:r w:rsidRPr="1C9FDC05" w:rsidR="6575B1D3">
        <w:rPr>
          <w:rFonts w:ascii="Calibri" w:hAnsi="Calibri" w:eastAsia="Calibri" w:cs="Calibri" w:asciiTheme="minorAscii" w:hAnsiTheme="minorAscii" w:eastAsiaTheme="minorAscii" w:cstheme="minorAscii"/>
          <w:b w:val="0"/>
          <w:bCs w:val="0"/>
          <w:sz w:val="24"/>
          <w:szCs w:val="24"/>
        </w:rPr>
        <w:t xml:space="preserve">(Miller 1914). </w:t>
      </w:r>
    </w:p>
    <w:p w:rsidR="6575B1D3" w:rsidP="1C9FDC05" w:rsidRDefault="6575B1D3" w14:paraId="5EF0996A" w14:textId="6FBD2EB6">
      <w:pPr>
        <w:pStyle w:val="Normal"/>
        <w:bidi w:val="0"/>
        <w:spacing w:before="0" w:beforeAutospacing="off" w:after="160" w:afterAutospacing="off" w:line="259" w:lineRule="auto"/>
        <w:ind w:left="0" w:right="0" w:firstLine="720"/>
        <w:jc w:val="both"/>
        <w:rPr>
          <w:rFonts w:ascii="Calibri" w:hAnsi="Calibri" w:eastAsia="Calibri" w:cs="Calibri" w:asciiTheme="minorAscii" w:hAnsiTheme="minorAscii" w:eastAsiaTheme="minorAscii" w:cstheme="minorAscii"/>
          <w:b w:val="1"/>
          <w:bCs w:val="1"/>
          <w:i w:val="1"/>
          <w:iCs w:val="1"/>
          <w:sz w:val="24"/>
          <w:szCs w:val="24"/>
        </w:rPr>
      </w:pPr>
      <w:r w:rsidRPr="1C9FDC05" w:rsidR="6575B1D3">
        <w:rPr>
          <w:rFonts w:ascii="Calibri" w:hAnsi="Calibri" w:eastAsia="Calibri" w:cs="Calibri" w:asciiTheme="minorAscii" w:hAnsiTheme="minorAscii" w:eastAsiaTheme="minorAscii" w:cstheme="minorAscii"/>
          <w:sz w:val="24"/>
          <w:szCs w:val="24"/>
        </w:rPr>
        <w:t>“</w:t>
      </w:r>
      <w:r w:rsidRPr="1C9FDC05" w:rsidR="6575B1D3">
        <w:rPr>
          <w:rFonts w:ascii="Calibri" w:hAnsi="Calibri" w:eastAsia="Calibri" w:cs="Calibri" w:asciiTheme="minorAscii" w:hAnsiTheme="minorAscii" w:eastAsiaTheme="minorAscii" w:cstheme="minorAscii"/>
          <w:b w:val="1"/>
          <w:bCs w:val="1"/>
          <w:sz w:val="24"/>
          <w:szCs w:val="24"/>
        </w:rPr>
        <w:t>Lack of coal not dependent upon returning boats and distance from market</w:t>
      </w:r>
      <w:r w:rsidRPr="1C9FDC05" w:rsidR="6575B1D3">
        <w:rPr>
          <w:rFonts w:ascii="Calibri" w:hAnsi="Calibri" w:eastAsia="Calibri" w:cs="Calibri" w:asciiTheme="minorAscii" w:hAnsiTheme="minorAscii" w:eastAsiaTheme="minorAscii" w:cstheme="minorAscii"/>
          <w:sz w:val="24"/>
          <w:szCs w:val="24"/>
        </w:rPr>
        <w:t xml:space="preserve"> have </w:t>
      </w:r>
      <w:r>
        <w:tab/>
      </w:r>
      <w:r w:rsidRPr="1C9FDC05" w:rsidR="6575B1D3">
        <w:rPr>
          <w:rFonts w:ascii="Calibri" w:hAnsi="Calibri" w:eastAsia="Calibri" w:cs="Calibri" w:asciiTheme="minorAscii" w:hAnsiTheme="minorAscii" w:eastAsiaTheme="minorAscii" w:cstheme="minorAscii"/>
          <w:sz w:val="24"/>
          <w:szCs w:val="24"/>
        </w:rPr>
        <w:t xml:space="preserve">been serious </w:t>
      </w:r>
      <w:r w:rsidRPr="1C9FDC05" w:rsidR="6575B1D3">
        <w:rPr>
          <w:rFonts w:ascii="Calibri" w:hAnsi="Calibri" w:eastAsia="Calibri" w:cs="Calibri" w:asciiTheme="minorAscii" w:hAnsiTheme="minorAscii" w:eastAsiaTheme="minorAscii" w:cstheme="minorAscii"/>
          <w:sz w:val="24"/>
          <w:szCs w:val="24"/>
        </w:rPr>
        <w:t xml:space="preserve">handicaps to the economical utilization of [Mesabi and Vermillion ore </w:t>
      </w:r>
      <w:r>
        <w:tab/>
      </w:r>
      <w:r w:rsidRPr="1C9FDC05" w:rsidR="6575B1D3">
        <w:rPr>
          <w:rFonts w:ascii="Calibri" w:hAnsi="Calibri" w:eastAsia="Calibri" w:cs="Calibri" w:asciiTheme="minorAscii" w:hAnsiTheme="minorAscii" w:eastAsiaTheme="minorAscii" w:cstheme="minorAscii"/>
          <w:sz w:val="24"/>
          <w:szCs w:val="24"/>
        </w:rPr>
        <w:t>ranges’] greatest resource</w:t>
      </w:r>
      <w:r w:rsidRPr="1C9FDC05" w:rsidR="6575B1D3">
        <w:rPr>
          <w:rFonts w:ascii="Calibri" w:hAnsi="Calibri" w:eastAsia="Calibri" w:cs="Calibri" w:asciiTheme="minorAscii" w:hAnsiTheme="minorAscii" w:eastAsiaTheme="minorAscii" w:cstheme="minorAscii"/>
          <w:sz w:val="24"/>
          <w:szCs w:val="24"/>
        </w:rPr>
        <w:t xml:space="preserve">—iron ore.” </w:t>
      </w:r>
    </w:p>
    <w:p w:rsidR="6575B1D3" w:rsidP="1C9FDC05" w:rsidRDefault="6575B1D3" w14:paraId="07C3E55C" w14:textId="6D6F56A4">
      <w:pPr>
        <w:jc w:val="both"/>
        <w:rPr>
          <w:rFonts w:ascii="Calibri" w:hAnsi="Calibri" w:eastAsia="Calibri" w:cs="Calibri" w:asciiTheme="minorAscii" w:hAnsiTheme="minorAscii" w:eastAsiaTheme="minorAscii" w:cstheme="minorAscii"/>
          <w:sz w:val="24"/>
          <w:szCs w:val="24"/>
        </w:rPr>
      </w:pPr>
      <w:r w:rsidRPr="1C9FDC05" w:rsidR="6575B1D3">
        <w:rPr>
          <w:rFonts w:ascii="Calibri" w:hAnsi="Calibri" w:eastAsia="Calibri" w:cs="Calibri" w:asciiTheme="minorAscii" w:hAnsiTheme="minorAscii" w:eastAsiaTheme="minorAscii" w:cstheme="minorAscii"/>
          <w:sz w:val="24"/>
          <w:szCs w:val="24"/>
        </w:rPr>
        <w:t xml:space="preserve">That is, because there were already coal plants in cities in Pennsylvania, Ohio, and Michigan, and coal was already there, it made sense to move it there. The shipping costs of finished steel costs are equal, if not more, to the cost of shipping ore (White and Primmer, 1937). By 1910, U.S. Steel constructed a steel mill in Duluth, MN. This was part of </w:t>
      </w:r>
      <w:r w:rsidRPr="1C9FDC05" w:rsidR="6575B1D3">
        <w:rPr>
          <w:rFonts w:ascii="Calibri" w:hAnsi="Calibri" w:eastAsia="Calibri" w:cs="Calibri" w:asciiTheme="minorAscii" w:hAnsiTheme="minorAscii" w:eastAsiaTheme="minorAscii" w:cstheme="minorAscii"/>
          <w:sz w:val="24"/>
          <w:szCs w:val="24"/>
        </w:rPr>
        <w:t>an unwritten agreement</w:t>
      </w:r>
      <w:r w:rsidRPr="1C9FDC05" w:rsidR="6575B1D3">
        <w:rPr>
          <w:rFonts w:ascii="Calibri" w:hAnsi="Calibri" w:eastAsia="Calibri" w:cs="Calibri" w:asciiTheme="minorAscii" w:hAnsiTheme="minorAscii" w:eastAsiaTheme="minorAscii" w:cstheme="minorAscii"/>
          <w:sz w:val="24"/>
          <w:szCs w:val="24"/>
        </w:rPr>
        <w:t xml:space="preserve"> between U.S. Steel and the state of Minnesota, as state officials thought that manufacturing jobs should be created for Minnesota workers. Nevertheless, it took another 5 years or more to get off the ground (ibid). </w:t>
      </w:r>
    </w:p>
    <w:p w:rsidR="6575B1D3" w:rsidP="1C9FDC05" w:rsidRDefault="6575B1D3" w14:paraId="30D57F5A" w14:textId="5BA1FCBD">
      <w:pPr>
        <w:jc w:val="both"/>
        <w:rPr>
          <w:rFonts w:ascii="Calibri" w:hAnsi="Calibri" w:eastAsia="Calibri" w:cs="Calibri" w:asciiTheme="minorAscii" w:hAnsiTheme="minorAscii" w:eastAsiaTheme="minorAscii" w:cstheme="minorAscii"/>
          <w:sz w:val="24"/>
          <w:szCs w:val="24"/>
        </w:rPr>
      </w:pPr>
      <w:r w:rsidRPr="1C9FDC05" w:rsidR="6575B1D3">
        <w:rPr>
          <w:rFonts w:ascii="Calibri" w:hAnsi="Calibri" w:eastAsia="Calibri" w:cs="Calibri" w:asciiTheme="minorAscii" w:hAnsiTheme="minorAscii" w:eastAsiaTheme="minorAscii" w:cstheme="minorAscii"/>
          <w:sz w:val="24"/>
          <w:szCs w:val="24"/>
        </w:rPr>
        <w:t>The market also became increasingly concentrated and integrated. This started in 1892, when Carnegie’s Carnegie Steel Company acquired a half interest in a mining company which owned leases to the Mesabi iron ore range. Rockefeller also entered the market in 1895, buying a fleet of ore boats to the lower Lake Erie ports. Backward integration also occurred with pig iron companies, as they bought up iron ore mining companies (Mancke 1972).</w:t>
      </w:r>
    </w:p>
    <w:p w:rsidR="1C9FDC05" w:rsidP="1C9FDC05" w:rsidRDefault="1C9FDC05" w14:paraId="41078AEA" w14:textId="228641F7">
      <w:pPr>
        <w:pStyle w:val="Normal"/>
        <w:ind w:left="0"/>
        <w:jc w:val="both"/>
        <w:rPr>
          <w:rFonts w:ascii="Calibri" w:hAnsi="Calibri" w:eastAsia="Calibri" w:cs="Calibri" w:asciiTheme="minorAscii" w:hAnsiTheme="minorAscii" w:eastAsiaTheme="minorAscii" w:cstheme="minorAscii"/>
          <w:sz w:val="24"/>
          <w:szCs w:val="24"/>
        </w:rPr>
      </w:pPr>
    </w:p>
    <w:p w:rsidR="7F6D7523" w:rsidP="1C9FDC05" w:rsidRDefault="7F6D7523" w14:paraId="05B433C2" w14:textId="45943708">
      <w:pPr>
        <w:pStyle w:val="ListParagraph"/>
        <w:numPr>
          <w:ilvl w:val="0"/>
          <w:numId w:val="3"/>
        </w:numPr>
        <w:jc w:val="both"/>
        <w:rPr>
          <w:rFonts w:ascii="Calibri" w:hAnsi="Calibri" w:eastAsia="Calibri" w:cs="Calibri" w:asciiTheme="minorAscii" w:hAnsiTheme="minorAscii" w:eastAsiaTheme="minorAscii" w:cstheme="minorAscii"/>
          <w:b w:val="1"/>
          <w:bCs w:val="1"/>
          <w:color w:val="000000" w:themeColor="text1" w:themeTint="FF" w:themeShade="FF"/>
          <w:sz w:val="28"/>
          <w:szCs w:val="28"/>
        </w:rPr>
      </w:pPr>
      <w:r w:rsidRPr="1C9FDC05" w:rsidR="7F6D7523">
        <w:rPr>
          <w:rFonts w:ascii="Calibri" w:hAnsi="Calibri" w:eastAsia="Calibri" w:cs="Calibri" w:asciiTheme="minorAscii" w:hAnsiTheme="minorAscii" w:eastAsiaTheme="minorAscii" w:cstheme="minorAscii"/>
          <w:b w:val="1"/>
          <w:bCs w:val="1"/>
          <w:color w:val="000000" w:themeColor="text1" w:themeTint="FF" w:themeShade="FF"/>
          <w:sz w:val="28"/>
          <w:szCs w:val="28"/>
        </w:rPr>
        <w:t xml:space="preserve">Iron Ore Production </w:t>
      </w:r>
    </w:p>
    <w:p w:rsidR="1C9FDC05" w:rsidP="1C9FDC05" w:rsidRDefault="1C9FDC05" w14:paraId="26243F5F" w14:textId="4BFEAB1B">
      <w:pPr>
        <w:pStyle w:val="Normal"/>
        <w:jc w:val="both"/>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1C9FDC05" w:rsidR="1C9FDC05">
        <w:rPr>
          <w:rFonts w:ascii="Calibri" w:hAnsi="Calibri" w:eastAsia="Calibri" w:cs="Calibri" w:asciiTheme="minorAscii" w:hAnsiTheme="minorAscii" w:eastAsiaTheme="minorAscii" w:cstheme="minorAscii"/>
          <w:b w:val="0"/>
          <w:bCs w:val="0"/>
          <w:color w:val="000000" w:themeColor="text1" w:themeTint="FF" w:themeShade="FF"/>
          <w:sz w:val="24"/>
          <w:szCs w:val="24"/>
        </w:rPr>
        <w:t xml:space="preserve">The following figure depicts the increase in Minnesota &amp; US total iron ore production from 1890-1912: </w:t>
      </w:r>
    </w:p>
    <w:p w:rsidR="1C9FDC05" w:rsidP="1C9FDC05" w:rsidRDefault="1C9FDC05" w14:paraId="0780DB9A" w14:textId="33278C04">
      <w:pPr>
        <w:pStyle w:val="Normal"/>
        <w:jc w:val="both"/>
        <w:rPr>
          <w:rFonts w:ascii="Calibri" w:hAnsi="Calibri" w:eastAsia="Calibri" w:cs="Calibri" w:asciiTheme="minorAscii" w:hAnsiTheme="minorAscii" w:eastAsiaTheme="minorAscii" w:cstheme="minorAscii"/>
          <w:b w:val="1"/>
          <w:bCs w:val="1"/>
          <w:color w:val="000000" w:themeColor="text1" w:themeTint="FF" w:themeShade="FF"/>
          <w:sz w:val="28"/>
          <w:szCs w:val="28"/>
        </w:rPr>
      </w:pPr>
      <w:r w:rsidR="1C9FDC05">
        <w:drawing>
          <wp:inline wp14:editId="0530CBBB" wp14:anchorId="01DE8F15">
            <wp:extent cx="4572000" cy="3133725"/>
            <wp:effectExtent l="0" t="0" r="0" b="0"/>
            <wp:docPr id="206585160" name="" title=""/>
            <wp:cNvGraphicFramePr>
              <a:graphicFrameLocks noChangeAspect="1"/>
            </wp:cNvGraphicFramePr>
            <a:graphic>
              <a:graphicData uri="http://schemas.openxmlformats.org/drawingml/2006/picture">
                <pic:pic>
                  <pic:nvPicPr>
                    <pic:cNvPr id="0" name=""/>
                    <pic:cNvPicPr/>
                  </pic:nvPicPr>
                  <pic:blipFill>
                    <a:blip r:embed="Ra8cae1eee3494483">
                      <a:extLst>
                        <a:ext xmlns:a="http://schemas.openxmlformats.org/drawingml/2006/main" uri="{28A0092B-C50C-407E-A947-70E740481C1C}">
                          <a14:useLocalDpi val="0"/>
                        </a:ext>
                      </a:extLst>
                    </a:blip>
                    <a:stretch>
                      <a:fillRect/>
                    </a:stretch>
                  </pic:blipFill>
                  <pic:spPr>
                    <a:xfrm>
                      <a:off x="0" y="0"/>
                      <a:ext cx="4572000" cy="3133725"/>
                    </a:xfrm>
                    <a:prstGeom prst="rect">
                      <a:avLst/>
                    </a:prstGeom>
                  </pic:spPr>
                </pic:pic>
              </a:graphicData>
            </a:graphic>
          </wp:inline>
        </w:drawing>
      </w:r>
    </w:p>
    <w:p w:rsidR="5108FC3D" w:rsidP="1C9FDC05" w:rsidRDefault="5108FC3D" w14:paraId="43CB4566" w14:textId="252081BB">
      <w:pPr>
        <w:pStyle w:val="Normal"/>
        <w:jc w:val="both"/>
        <w:rPr>
          <w:rFonts w:ascii="Calibri" w:hAnsi="Calibri" w:eastAsia="Calibri" w:cs="Calibri" w:asciiTheme="minorAscii" w:hAnsiTheme="minorAscii" w:eastAsiaTheme="minorAscii" w:cstheme="minorAscii"/>
          <w:b w:val="1"/>
          <w:bCs w:val="1"/>
          <w:color w:val="000000" w:themeColor="text1" w:themeTint="FF" w:themeShade="FF"/>
          <w:sz w:val="20"/>
          <w:szCs w:val="20"/>
        </w:rPr>
      </w:pPr>
      <w:r w:rsidRPr="1C9FDC05" w:rsidR="5108FC3D">
        <w:rPr>
          <w:rFonts w:ascii="Calibri" w:hAnsi="Calibri" w:eastAsia="Calibri" w:cs="Calibri" w:asciiTheme="minorAscii" w:hAnsiTheme="minorAscii" w:eastAsiaTheme="minorAscii" w:cstheme="minorAscii"/>
          <w:b w:val="1"/>
          <w:bCs w:val="1"/>
          <w:color w:val="000000" w:themeColor="text1" w:themeTint="FF" w:themeShade="FF"/>
          <w:sz w:val="20"/>
          <w:szCs w:val="20"/>
        </w:rPr>
        <w:t xml:space="preserve">Figure 1. </w:t>
      </w:r>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D</w:t>
      </w:r>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epicts Minnesota iron ore production as an increasingly </w:t>
      </w:r>
      <w:bookmarkStart w:name="_Int_imvg1nSb" w:id="2145281472"/>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substantial percentage</w:t>
      </w:r>
      <w:bookmarkEnd w:id="2145281472"/>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 of total US ore production from 1890 onward. Sourced from 1912 Mineral Resources Report, US Geological Survey. Minnesota ore production </w:t>
      </w:r>
      <w:bookmarkStart w:name="_Int_c9fZ8DSM" w:id="887215639"/>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doubled</w:t>
      </w:r>
      <w:bookmarkEnd w:id="887215639"/>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 between 1893 and 1894, coinciding with the discovery of ore at the Mesabi range. Figure 1 also shows decreases </w:t>
      </w:r>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in MN production in 1904, 1908, and 1911 by 17.19%, 35.62%, and 22.90%, respectively. The 1908 decrease may have been the result of a confluence of factors. For one, there was </w:t>
      </w:r>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a miners’ strike in July 1907 at Mesabi, in which 15,000 miners refused to work for over a month before the </w:t>
      </w:r>
      <w:bookmarkStart w:name="_Int_fOAIoypO" w:id="393816512"/>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owners</w:t>
      </w:r>
      <w:bookmarkEnd w:id="393816512"/>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 hired strikebreakers (Betten 1907). However, production fell at </w:t>
      </w:r>
      <w:r w:rsidRPr="1C9FDC05" w:rsidR="5108FC3D">
        <w:rPr>
          <w:rFonts w:ascii="Calibri" w:hAnsi="Calibri" w:eastAsia="Calibri" w:cs="Calibri" w:asciiTheme="minorAscii" w:hAnsiTheme="minorAscii" w:eastAsiaTheme="minorAscii" w:cstheme="minorAscii"/>
          <w:b w:val="0"/>
          <w:bCs w:val="0"/>
          <w:i w:val="1"/>
          <w:iCs w:val="1"/>
          <w:color w:val="000000" w:themeColor="text1" w:themeTint="FF" w:themeShade="FF"/>
          <w:sz w:val="20"/>
          <w:szCs w:val="20"/>
        </w:rPr>
        <w:t xml:space="preserve">all </w:t>
      </w:r>
      <w:r w:rsidRPr="1C9FDC05" w:rsidR="5108FC3D">
        <w:rPr>
          <w:rFonts w:ascii="Calibri" w:hAnsi="Calibri" w:eastAsia="Calibri" w:cs="Calibri" w:asciiTheme="minorAscii" w:hAnsiTheme="minorAscii" w:eastAsiaTheme="minorAscii" w:cstheme="minorAscii"/>
          <w:b w:val="0"/>
          <w:bCs w:val="0"/>
          <w:i w:val="0"/>
          <w:iCs w:val="0"/>
          <w:color w:val="000000" w:themeColor="text1" w:themeTint="FF" w:themeShade="FF"/>
          <w:sz w:val="20"/>
          <w:szCs w:val="20"/>
        </w:rPr>
        <w:t>Lake Superior mines this year (1907 Mineral Resources Report). This may have been due to the</w:t>
      </w:r>
      <w:r w:rsidRPr="1C9FDC05" w:rsidR="5108FC3D">
        <w:rPr>
          <w:rFonts w:ascii="Calibri" w:hAnsi="Calibri" w:eastAsia="Calibri" w:cs="Calibri" w:asciiTheme="minorAscii" w:hAnsiTheme="minorAscii" w:eastAsiaTheme="minorAscii" w:cstheme="minorAscii"/>
          <w:b w:val="1"/>
          <w:bCs w:val="1"/>
          <w:color w:val="000000" w:themeColor="text1" w:themeTint="FF" w:themeShade="FF"/>
          <w:sz w:val="20"/>
          <w:szCs w:val="20"/>
        </w:rPr>
        <w:t xml:space="preserve"> Bankers’ Panic of 1907, which directly </w:t>
      </w:r>
      <w:r w:rsidRPr="1C9FDC05" w:rsidR="5108FC3D">
        <w:rPr>
          <w:rFonts w:ascii="Calibri" w:hAnsi="Calibri" w:eastAsia="Calibri" w:cs="Calibri" w:asciiTheme="minorAscii" w:hAnsiTheme="minorAscii" w:eastAsiaTheme="minorAscii" w:cstheme="minorAscii"/>
          <w:b w:val="1"/>
          <w:bCs w:val="1"/>
          <w:color w:val="000000" w:themeColor="text1" w:themeTint="FF" w:themeShade="FF"/>
          <w:sz w:val="20"/>
          <w:szCs w:val="20"/>
        </w:rPr>
        <w:t>impacted</w:t>
      </w:r>
      <w:r w:rsidRPr="1C9FDC05" w:rsidR="5108FC3D">
        <w:rPr>
          <w:rFonts w:ascii="Calibri" w:hAnsi="Calibri" w:eastAsia="Calibri" w:cs="Calibri" w:asciiTheme="minorAscii" w:hAnsiTheme="minorAscii" w:eastAsiaTheme="minorAscii" w:cstheme="minorAscii"/>
          <w:b w:val="1"/>
          <w:bCs w:val="1"/>
          <w:color w:val="000000" w:themeColor="text1" w:themeTint="FF" w:themeShade="FF"/>
          <w:sz w:val="20"/>
          <w:szCs w:val="20"/>
        </w:rPr>
        <w:t xml:space="preserve"> the iron industry, as JP Morgan’s U.S. Steel Corporation engineered an emergency takeover of the Tennesse Coal and Iron industry </w:t>
      </w:r>
      <w:r w:rsidRPr="1C9FDC05" w:rsidR="5108FC3D">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(German 1972). </w:t>
      </w:r>
    </w:p>
    <w:p w:rsidR="1C9FDC05" w:rsidP="1C9FDC05" w:rsidRDefault="1C9FDC05" w14:paraId="6B6CC7F3" w14:textId="01BC5A12">
      <w:pPr>
        <w:pStyle w:val="Normal"/>
        <w:jc w:val="both"/>
        <w:rPr>
          <w:rFonts w:ascii="Calibri" w:hAnsi="Calibri" w:eastAsia="Calibri" w:cs="Calibri" w:asciiTheme="minorAscii" w:hAnsiTheme="minorAscii" w:eastAsiaTheme="minorAscii" w:cstheme="minorAscii"/>
          <w:b w:val="1"/>
          <w:bCs w:val="1"/>
          <w:color w:val="000000" w:themeColor="text1" w:themeTint="FF" w:themeShade="FF"/>
          <w:sz w:val="28"/>
          <w:szCs w:val="28"/>
        </w:rPr>
      </w:pPr>
    </w:p>
    <w:p w:rsidR="3C1EA6C2" w:rsidP="1C9FDC05" w:rsidRDefault="3C1EA6C2" w14:paraId="07B4910B" w14:textId="2DB9EF06">
      <w:pPr>
        <w:pStyle w:val="ListParagraph"/>
        <w:numPr>
          <w:ilvl w:val="0"/>
          <w:numId w:val="3"/>
        </w:numPr>
        <w:jc w:val="both"/>
        <w:rPr>
          <w:rFonts w:ascii="Calibri" w:hAnsi="Calibri" w:eastAsia="Calibri" w:cs="Calibri" w:asciiTheme="minorAscii" w:hAnsiTheme="minorAscii" w:eastAsiaTheme="minorAscii" w:cstheme="minorAscii"/>
          <w:b w:val="1"/>
          <w:bCs w:val="1"/>
          <w:color w:val="000000" w:themeColor="text1" w:themeTint="FF" w:themeShade="FF"/>
          <w:sz w:val="28"/>
          <w:szCs w:val="28"/>
        </w:rPr>
      </w:pPr>
      <w:r w:rsidRPr="1C9FDC05" w:rsidR="3C1EA6C2">
        <w:rPr>
          <w:rFonts w:ascii="Calibri" w:hAnsi="Calibri" w:eastAsia="Calibri" w:cs="Calibri" w:asciiTheme="minorAscii" w:hAnsiTheme="minorAscii" w:eastAsiaTheme="minorAscii" w:cstheme="minorAscii"/>
          <w:b w:val="1"/>
          <w:bCs w:val="1"/>
          <w:color w:val="000000" w:themeColor="text1" w:themeTint="FF" w:themeShade="FF"/>
          <w:sz w:val="28"/>
          <w:szCs w:val="28"/>
        </w:rPr>
        <w:t xml:space="preserve">Transit Costs </w:t>
      </w:r>
    </w:p>
    <w:p w:rsidR="3C1EA6C2" w:rsidP="1C9FDC05" w:rsidRDefault="3C1EA6C2" w14:paraId="251973F6" w14:textId="2844EB7C">
      <w:pPr>
        <w:pStyle w:val="Normal"/>
        <w:jc w:val="both"/>
        <w:rPr>
          <w:rFonts w:ascii="Calibri" w:hAnsi="Calibri" w:eastAsia="Calibri" w:cs="Calibri" w:asciiTheme="minorAscii" w:hAnsiTheme="minorAscii" w:eastAsiaTheme="minorAscii" w:cstheme="minorAscii"/>
          <w:sz w:val="24"/>
          <w:szCs w:val="24"/>
        </w:rPr>
      </w:pPr>
      <w:r w:rsidRPr="1C9FDC05" w:rsidR="3C1EA6C2">
        <w:rPr>
          <w:rFonts w:ascii="Calibri" w:hAnsi="Calibri" w:eastAsia="Calibri" w:cs="Calibri" w:asciiTheme="minorAscii" w:hAnsiTheme="minorAscii" w:eastAsiaTheme="minorAscii" w:cstheme="minorAscii"/>
          <w:sz w:val="24"/>
          <w:szCs w:val="24"/>
        </w:rPr>
        <w:t>Transportation of ore by water was much cheaper than transportation via rail. There were improved freighters by the end of the 19</w:t>
      </w:r>
      <w:r w:rsidRPr="1C9FDC05" w:rsidR="3C1EA6C2">
        <w:rPr>
          <w:rFonts w:ascii="Calibri" w:hAnsi="Calibri" w:eastAsia="Calibri" w:cs="Calibri" w:asciiTheme="minorAscii" w:hAnsiTheme="minorAscii" w:eastAsiaTheme="minorAscii" w:cstheme="minorAscii"/>
          <w:sz w:val="24"/>
          <w:szCs w:val="24"/>
          <w:vertAlign w:val="superscript"/>
        </w:rPr>
        <w:t>th</w:t>
      </w:r>
      <w:r w:rsidRPr="1C9FDC05" w:rsidR="3C1EA6C2">
        <w:rPr>
          <w:rFonts w:ascii="Calibri" w:hAnsi="Calibri" w:eastAsia="Calibri" w:cs="Calibri" w:asciiTheme="minorAscii" w:hAnsiTheme="minorAscii" w:eastAsiaTheme="minorAscii" w:cstheme="minorAscii"/>
          <w:sz w:val="24"/>
          <w:szCs w:val="24"/>
        </w:rPr>
        <w:t xml:space="preserve"> century; wood vessels were </w:t>
      </w:r>
      <w:bookmarkStart w:name="_Int_gXn4aRPY" w:id="204617025"/>
      <w:r w:rsidRPr="1C9FDC05" w:rsidR="3C1EA6C2">
        <w:rPr>
          <w:rFonts w:ascii="Calibri" w:hAnsi="Calibri" w:eastAsia="Calibri" w:cs="Calibri" w:asciiTheme="minorAscii" w:hAnsiTheme="minorAscii" w:eastAsiaTheme="minorAscii" w:cstheme="minorAscii"/>
          <w:sz w:val="24"/>
          <w:szCs w:val="24"/>
        </w:rPr>
        <w:t>almost fully</w:t>
      </w:r>
      <w:bookmarkEnd w:id="204617025"/>
      <w:r w:rsidRPr="1C9FDC05" w:rsidR="3C1EA6C2">
        <w:rPr>
          <w:rFonts w:ascii="Calibri" w:hAnsi="Calibri" w:eastAsia="Calibri" w:cs="Calibri" w:asciiTheme="minorAscii" w:hAnsiTheme="minorAscii" w:eastAsiaTheme="minorAscii" w:cstheme="minorAscii"/>
          <w:sz w:val="24"/>
          <w:szCs w:val="24"/>
        </w:rPr>
        <w:t xml:space="preserve"> replaced by steel, and only a few sailing ships remained, with most now using steam (Williams 1914). They also began to use larger ships once the Poe Lock was expanded in 1895, which reduced costs considerably (ibid). The following figure depicts the falling transit costs around 1895: </w:t>
      </w:r>
    </w:p>
    <w:p w:rsidR="1C9FDC05" w:rsidP="1C9FDC05" w:rsidRDefault="1C9FDC05" w14:paraId="068C1DA8" w14:textId="517795FA">
      <w:pPr>
        <w:pStyle w:val="Normal"/>
        <w:jc w:val="both"/>
        <w:rPr>
          <w:rFonts w:ascii="Calibri" w:hAnsi="Calibri" w:eastAsia="Calibri" w:cs="Calibri" w:asciiTheme="minorAscii" w:hAnsiTheme="minorAscii" w:eastAsiaTheme="minorAscii" w:cstheme="minorAscii"/>
          <w:sz w:val="24"/>
          <w:szCs w:val="24"/>
        </w:rPr>
      </w:pPr>
      <w:r w:rsidR="1C9FDC05">
        <w:drawing>
          <wp:inline wp14:editId="740AB52F" wp14:anchorId="7F0A68C2">
            <wp:extent cx="4473240" cy="2833052"/>
            <wp:effectExtent l="0" t="0" r="0" b="0"/>
            <wp:docPr id="1412958945" name="" title=""/>
            <wp:cNvGraphicFramePr>
              <a:graphicFrameLocks noChangeAspect="1"/>
            </wp:cNvGraphicFramePr>
            <a:graphic>
              <a:graphicData uri="http://schemas.openxmlformats.org/drawingml/2006/picture">
                <pic:pic>
                  <pic:nvPicPr>
                    <pic:cNvPr id="0" name=""/>
                    <pic:cNvPicPr/>
                  </pic:nvPicPr>
                  <pic:blipFill>
                    <a:blip r:embed="Rd978d018f45f4bac">
                      <a:extLst>
                        <a:ext xmlns:a="http://schemas.openxmlformats.org/drawingml/2006/main" uri="{28A0092B-C50C-407E-A947-70E740481C1C}">
                          <a14:useLocalDpi val="0"/>
                        </a:ext>
                      </a:extLst>
                    </a:blip>
                    <a:stretch>
                      <a:fillRect/>
                    </a:stretch>
                  </pic:blipFill>
                  <pic:spPr>
                    <a:xfrm>
                      <a:off x="0" y="0"/>
                      <a:ext cx="4473240" cy="2833052"/>
                    </a:xfrm>
                    <a:prstGeom prst="rect">
                      <a:avLst/>
                    </a:prstGeom>
                  </pic:spPr>
                </pic:pic>
              </a:graphicData>
            </a:graphic>
          </wp:inline>
        </w:drawing>
      </w:r>
    </w:p>
    <w:p w:rsidR="1C9FDC05" w:rsidP="1C9FDC05" w:rsidRDefault="1C9FDC05" w14:paraId="4D2DDBAF" w14:textId="30695AC0">
      <w:pPr>
        <w:pStyle w:val="Normal"/>
        <w:bidi w:val="0"/>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1"/>
          <w:bCs w:val="1"/>
          <w:sz w:val="20"/>
          <w:szCs w:val="20"/>
        </w:rPr>
      </w:pPr>
      <w:r w:rsidRPr="1C9FDC05" w:rsidR="1C9FDC05">
        <w:rPr>
          <w:rFonts w:ascii="Calibri" w:hAnsi="Calibri" w:eastAsia="Calibri" w:cs="Calibri" w:asciiTheme="minorAscii" w:hAnsiTheme="minorAscii" w:eastAsiaTheme="minorAscii" w:cstheme="minorAscii"/>
          <w:b w:val="1"/>
          <w:bCs w:val="1"/>
          <w:sz w:val="20"/>
          <w:szCs w:val="20"/>
        </w:rPr>
        <w:t xml:space="preserve">Figure 2. </w:t>
      </w:r>
      <w:r w:rsidRPr="1C9FDC05" w:rsidR="1C9FDC05">
        <w:rPr>
          <w:rFonts w:ascii="Calibri" w:hAnsi="Calibri" w:eastAsia="Calibri" w:cs="Calibri" w:asciiTheme="minorAscii" w:hAnsiTheme="minorAscii" w:eastAsiaTheme="minorAscii" w:cstheme="minorAscii"/>
          <w:b w:val="0"/>
          <w:bCs w:val="0"/>
          <w:sz w:val="20"/>
          <w:szCs w:val="20"/>
        </w:rPr>
        <w:t>The r</w:t>
      </w:r>
      <w:r w:rsidRPr="1C9FDC05" w:rsidR="1C9FDC05">
        <w:rPr>
          <w:rFonts w:ascii="Calibri" w:hAnsi="Calibri" w:eastAsia="Calibri" w:cs="Calibri" w:asciiTheme="minorAscii" w:hAnsiTheme="minorAscii" w:eastAsiaTheme="minorAscii" w:cstheme="minorAscii"/>
          <w:b w:val="0"/>
          <w:bCs w:val="0"/>
          <w:sz w:val="20"/>
          <w:szCs w:val="20"/>
        </w:rPr>
        <w:t xml:space="preserve">ailroad between Mesabi and Lake Superior opened in 1892. Figure 1 therefore starts in 1892 and estimates transit costs from Mesabi to three locations: Philadelphia (red), Pittsburg (blue), and Lake Erie ports (black). </w:t>
      </w:r>
    </w:p>
    <w:p w:rsidR="1C9FDC05" w:rsidP="1C9FDC05" w:rsidRDefault="1C9FDC05" w14:paraId="05BF750A" w14:textId="387A3674">
      <w:pPr>
        <w:pStyle w:val="Normal"/>
        <w:jc w:val="both"/>
        <w:rPr>
          <w:rFonts w:ascii="Calibri" w:hAnsi="Calibri" w:eastAsia="Calibri" w:cs="Calibri" w:asciiTheme="minorAscii" w:hAnsiTheme="minorAscii" w:eastAsiaTheme="minorAscii" w:cstheme="minorAscii"/>
          <w:b w:val="1"/>
          <w:bCs w:val="1"/>
          <w:sz w:val="20"/>
          <w:szCs w:val="20"/>
        </w:rPr>
      </w:pPr>
      <w:r w:rsidRPr="1C9FDC05" w:rsidR="1C9FDC05">
        <w:rPr>
          <w:rFonts w:ascii="Calibri" w:hAnsi="Calibri" w:eastAsia="Calibri" w:cs="Calibri" w:asciiTheme="minorAscii" w:hAnsiTheme="minorAscii" w:eastAsiaTheme="minorAscii" w:cstheme="minorAscii"/>
          <w:b w:val="1"/>
          <w:bCs w:val="1"/>
          <w:sz w:val="20"/>
          <w:szCs w:val="20"/>
        </w:rPr>
        <w:t xml:space="preserve">Key Assumptions / Calculations: </w:t>
      </w:r>
    </w:p>
    <w:p w:rsidR="1C9FDC05" w:rsidP="1C9FDC05" w:rsidRDefault="1C9FDC05" w14:paraId="2B1E9448" w14:textId="4921B55E">
      <w:pPr>
        <w:pStyle w:val="Normal"/>
        <w:ind w:left="0"/>
        <w:jc w:val="both"/>
        <w:rPr>
          <w:rFonts w:ascii="Calibri" w:hAnsi="Calibri" w:eastAsia="Calibri" w:cs="Calibri" w:asciiTheme="minorAscii" w:hAnsiTheme="minorAscii" w:eastAsiaTheme="minorAscii" w:cstheme="minorAscii"/>
          <w:i w:val="0"/>
          <w:iCs w:val="0"/>
          <w:color w:val="000000" w:themeColor="text1" w:themeTint="FF" w:themeShade="FF"/>
          <w:sz w:val="20"/>
          <w:szCs w:val="20"/>
        </w:rPr>
      </w:pPr>
      <w:r w:rsidRPr="1C9FDC05" w:rsidR="1C9FDC05">
        <w:rPr>
          <w:rFonts w:ascii="Calibri" w:hAnsi="Calibri" w:eastAsia="Calibri" w:cs="Calibri" w:asciiTheme="minorAscii" w:hAnsiTheme="minorAscii" w:eastAsiaTheme="minorAscii" w:cstheme="minorAscii"/>
          <w:i w:val="0"/>
          <w:iCs w:val="0"/>
          <w:sz w:val="20"/>
          <w:szCs w:val="20"/>
        </w:rPr>
        <w:t xml:space="preserve">[1] Cost from </w:t>
      </w:r>
      <w:r w:rsidRPr="1C9FDC05" w:rsidR="1C9FDC05">
        <w:rPr>
          <w:rFonts w:ascii="Calibri" w:hAnsi="Calibri" w:eastAsia="Calibri" w:cs="Calibri" w:asciiTheme="minorAscii" w:hAnsiTheme="minorAscii" w:eastAsiaTheme="minorAscii" w:cstheme="minorAscii"/>
          <w:b w:val="1"/>
          <w:bCs w:val="1"/>
          <w:i w:val="0"/>
          <w:iCs w:val="0"/>
          <w:sz w:val="20"/>
          <w:szCs w:val="20"/>
        </w:rPr>
        <w:t xml:space="preserve">Mesabi to head of Lake Superior. </w:t>
      </w:r>
      <w:r w:rsidRPr="1C9FDC05" w:rsidR="1C9FDC05">
        <w:rPr>
          <w:rFonts w:ascii="Calibri" w:hAnsi="Calibri" w:eastAsia="Calibri" w:cs="Calibri" w:asciiTheme="minorAscii" w:hAnsiTheme="minorAscii" w:eastAsiaTheme="minorAscii" w:cstheme="minorAscii"/>
          <w:i w:val="0"/>
          <w:iCs w:val="0"/>
          <w:sz w:val="20"/>
          <w:szCs w:val="20"/>
        </w:rPr>
        <w:t xml:space="preserve">100 miles via rail from Mesabi to port (Hofsommer 1996). Total cost of the trip was $0.80 per ton from 1892-1911, or $0.008/mile/ton </w:t>
      </w:r>
      <w:r w:rsidRPr="1C9FDC05" w:rsidR="1C9FDC05">
        <w:rPr>
          <w:rFonts w:ascii="Calibri" w:hAnsi="Calibri" w:eastAsia="Calibri" w:cs="Calibri" w:asciiTheme="minorAscii" w:hAnsiTheme="minorAscii" w:eastAsiaTheme="minorAscii" w:cstheme="minorAscii"/>
          <w:i w:val="0"/>
          <w:iCs w:val="0"/>
          <w:sz w:val="20"/>
          <w:szCs w:val="20"/>
        </w:rPr>
        <w:t>(Crowell &amp; Murray)</w:t>
      </w:r>
      <w:r w:rsidRPr="1C9FDC05" w:rsidR="1C9FDC05">
        <w:rPr>
          <w:rFonts w:ascii="Calibri" w:hAnsi="Calibri" w:eastAsia="Calibri" w:cs="Calibri" w:asciiTheme="minorAscii" w:hAnsiTheme="minorAscii" w:eastAsiaTheme="minorAscii" w:cstheme="minorAscii"/>
          <w:i w:val="0"/>
          <w:iCs w:val="0"/>
          <w:sz w:val="20"/>
          <w:szCs w:val="20"/>
        </w:rPr>
        <w:t xml:space="preserve">. </w:t>
      </w:r>
      <w:r w:rsidRPr="1C9FDC05" w:rsidR="1C9FDC05">
        <w:rPr>
          <w:rFonts w:ascii="Calibri" w:hAnsi="Calibri" w:eastAsia="Calibri" w:cs="Calibri" w:asciiTheme="minorAscii" w:hAnsiTheme="minorAscii" w:eastAsiaTheme="minorAscii" w:cstheme="minorAscii"/>
          <w:i w:val="0"/>
          <w:iCs w:val="0"/>
          <w:sz w:val="20"/>
          <w:szCs w:val="20"/>
        </w:rPr>
        <w:t xml:space="preserve">The cost of rail transit between Mesabi to Lake Superior fell to $0.60 per ton in 1912. This may have been due in part to antitrust measures taken by the Roosevelt and Taft administrations, including the Elkins Act and the Mann-Ekins Act, which allowed the Interstate Commerce Commission to contest railroad freight rates. </w:t>
      </w:r>
    </w:p>
    <w:p w:rsidR="1C9FDC05" w:rsidP="1C9FDC05" w:rsidRDefault="1C9FDC05" w14:paraId="1901CCE6" w14:textId="4955A996">
      <w:pPr>
        <w:pStyle w:val="Normal"/>
        <w:ind w:left="0"/>
        <w:jc w:val="both"/>
        <w:rPr>
          <w:rFonts w:ascii="Calibri" w:hAnsi="Calibri" w:eastAsia="Calibri" w:cs="Calibri" w:asciiTheme="minorAscii" w:hAnsiTheme="minorAscii" w:eastAsiaTheme="minorAscii" w:cstheme="minorAscii"/>
          <w:i w:val="0"/>
          <w:iCs w:val="0"/>
          <w:color w:val="000000" w:themeColor="text1" w:themeTint="FF" w:themeShade="FF"/>
          <w:sz w:val="20"/>
          <w:szCs w:val="20"/>
        </w:rPr>
      </w:pPr>
      <w:r w:rsidRPr="1C9FDC05" w:rsidR="1C9FDC05">
        <w:rPr>
          <w:rFonts w:ascii="Calibri" w:hAnsi="Calibri" w:eastAsia="Calibri" w:cs="Calibri" w:asciiTheme="minorAscii" w:hAnsiTheme="minorAscii" w:eastAsiaTheme="minorAscii" w:cstheme="minorAscii"/>
          <w:i w:val="0"/>
          <w:iCs w:val="0"/>
          <w:sz w:val="20"/>
          <w:szCs w:val="20"/>
        </w:rPr>
        <w:t xml:space="preserve">[2] Cost from </w:t>
      </w:r>
      <w:r w:rsidRPr="1C9FDC05" w:rsidR="1C9FDC05">
        <w:rPr>
          <w:rFonts w:ascii="Calibri" w:hAnsi="Calibri" w:eastAsia="Calibri" w:cs="Calibri" w:asciiTheme="minorAscii" w:hAnsiTheme="minorAscii" w:eastAsiaTheme="minorAscii" w:cstheme="minorAscii"/>
          <w:b w:val="1"/>
          <w:bCs w:val="1"/>
          <w:i w:val="0"/>
          <w:iCs w:val="0"/>
          <w:sz w:val="20"/>
          <w:szCs w:val="20"/>
        </w:rPr>
        <w:t>Lake Superior port to Lake Erie ports.</w:t>
      </w:r>
      <w:r w:rsidRPr="1C9FDC05" w:rsidR="1C9FDC05">
        <w:rPr>
          <w:rFonts w:ascii="Calibri" w:hAnsi="Calibri" w:eastAsia="Calibri" w:cs="Calibri" w:asciiTheme="minorAscii" w:hAnsiTheme="minorAscii" w:eastAsiaTheme="minorAscii" w:cstheme="minorAscii"/>
          <w:i w:val="0"/>
          <w:iCs w:val="0"/>
          <w:color w:val="auto"/>
          <w:sz w:val="20"/>
          <w:szCs w:val="20"/>
        </w:rPr>
        <w:t xml:space="preserve"> Crowell &amp; Murray.</w:t>
      </w:r>
      <w:r w:rsidRPr="1C9FDC05" w:rsidR="1C9FDC05">
        <w:rPr>
          <w:rFonts w:ascii="Calibri" w:hAnsi="Calibri" w:eastAsia="Calibri" w:cs="Calibri" w:asciiTheme="minorAscii" w:hAnsiTheme="minorAscii" w:eastAsiaTheme="minorAscii" w:cstheme="minorAscii"/>
          <w:i w:val="0"/>
          <w:iCs w:val="0"/>
          <w:color w:val="FF0000"/>
          <w:sz w:val="20"/>
          <w:szCs w:val="20"/>
        </w:rPr>
        <w:t xml:space="preserve"> </w:t>
      </w:r>
      <w:r w:rsidRPr="1C9FDC05" w:rsidR="1C9FDC05">
        <w:rPr>
          <w:rFonts w:ascii="Calibri" w:hAnsi="Calibri" w:eastAsia="Calibri" w:cs="Calibri" w:asciiTheme="minorAscii" w:hAnsiTheme="minorAscii" w:eastAsiaTheme="minorAscii" w:cstheme="minorAscii"/>
          <w:i w:val="0"/>
          <w:iCs w:val="0"/>
          <w:color w:val="000000" w:themeColor="text1" w:themeTint="FF" w:themeShade="FF"/>
          <w:sz w:val="20"/>
          <w:szCs w:val="20"/>
        </w:rPr>
        <w:t xml:space="preserve">Note that these are the most comprehensive numbers available, and yet they do not specify an exact Lake Erie port. Assumed that the cost between ports along Lake Erie were not substantial. </w:t>
      </w:r>
    </w:p>
    <w:p w:rsidR="1C9FDC05" w:rsidP="1C9FDC05" w:rsidRDefault="1C9FDC05" w14:paraId="100EFE32" w14:textId="14E7FB38">
      <w:pPr>
        <w:pStyle w:val="Normal"/>
        <w:ind w:left="0"/>
        <w:jc w:val="both"/>
        <w:rPr>
          <w:rFonts w:ascii="Calibri" w:hAnsi="Calibri" w:eastAsia="Calibri" w:cs="Calibri" w:asciiTheme="minorAscii" w:hAnsiTheme="minorAscii" w:eastAsiaTheme="minorAscii" w:cstheme="minorAscii"/>
          <w:i w:val="0"/>
          <w:iCs w:val="0"/>
          <w:sz w:val="20"/>
          <w:szCs w:val="20"/>
          <w:u w:val="none"/>
        </w:rPr>
      </w:pPr>
      <w:r w:rsidRPr="1C9FDC05" w:rsidR="1C9FDC05">
        <w:rPr>
          <w:rFonts w:ascii="Calibri" w:hAnsi="Calibri" w:eastAsia="Calibri" w:cs="Calibri" w:asciiTheme="minorAscii" w:hAnsiTheme="minorAscii" w:eastAsiaTheme="minorAscii" w:cstheme="minorAscii"/>
          <w:i w:val="0"/>
          <w:iCs w:val="0"/>
          <w:sz w:val="20"/>
          <w:szCs w:val="20"/>
          <w:u w:val="none"/>
        </w:rPr>
        <w:t xml:space="preserve">[3] Cost from </w:t>
      </w:r>
      <w:r w:rsidRPr="1C9FDC05" w:rsidR="1C9FDC05">
        <w:rPr>
          <w:rFonts w:ascii="Calibri" w:hAnsi="Calibri" w:eastAsia="Calibri" w:cs="Calibri" w:asciiTheme="minorAscii" w:hAnsiTheme="minorAscii" w:eastAsiaTheme="minorAscii" w:cstheme="minorAscii"/>
          <w:b w:val="1"/>
          <w:bCs w:val="1"/>
          <w:i w:val="0"/>
          <w:iCs w:val="0"/>
          <w:sz w:val="20"/>
          <w:szCs w:val="20"/>
          <w:u w:val="none"/>
        </w:rPr>
        <w:t>Mesabi to City of Erie</w:t>
      </w:r>
      <w:r w:rsidRPr="1C9FDC05" w:rsidR="1C9FDC05">
        <w:rPr>
          <w:rFonts w:ascii="Calibri" w:hAnsi="Calibri" w:eastAsia="Calibri" w:cs="Calibri" w:asciiTheme="minorAscii" w:hAnsiTheme="minorAscii" w:eastAsiaTheme="minorAscii" w:cstheme="minorAscii"/>
          <w:i w:val="0"/>
          <w:iCs w:val="0"/>
          <w:sz w:val="20"/>
          <w:szCs w:val="20"/>
          <w:u w:val="none"/>
        </w:rPr>
        <w:t xml:space="preserve">. [3] = [1] + [2]. </w:t>
      </w:r>
    </w:p>
    <w:p w:rsidR="1C9FDC05" w:rsidP="1C9FDC05" w:rsidRDefault="1C9FDC05" w14:paraId="507F1149" w14:textId="605D6951">
      <w:pPr>
        <w:pStyle w:val="Normal"/>
        <w:ind w:left="0"/>
        <w:jc w:val="both"/>
        <w:rPr>
          <w:rFonts w:ascii="Calibri" w:hAnsi="Calibri" w:eastAsia="Calibri" w:cs="Calibri" w:asciiTheme="minorAscii" w:hAnsiTheme="minorAscii" w:eastAsiaTheme="minorAscii" w:cstheme="minorAscii"/>
          <w:i w:val="0"/>
          <w:iCs w:val="0"/>
          <w:sz w:val="20"/>
          <w:szCs w:val="20"/>
          <w:u w:val="none"/>
        </w:rPr>
      </w:pPr>
      <w:r w:rsidRPr="1C9FDC05" w:rsidR="1C9FDC05">
        <w:rPr>
          <w:rFonts w:ascii="Calibri" w:hAnsi="Calibri" w:eastAsia="Calibri" w:cs="Calibri" w:asciiTheme="minorAscii" w:hAnsiTheme="minorAscii" w:eastAsiaTheme="minorAscii" w:cstheme="minorAscii"/>
          <w:i w:val="0"/>
          <w:iCs w:val="0"/>
          <w:sz w:val="20"/>
          <w:szCs w:val="20"/>
          <w:u w:val="none"/>
        </w:rPr>
        <w:t xml:space="preserve">[4] Cost from </w:t>
      </w:r>
      <w:r w:rsidRPr="1C9FDC05" w:rsidR="1C9FDC05">
        <w:rPr>
          <w:rFonts w:ascii="Calibri" w:hAnsi="Calibri" w:eastAsia="Calibri" w:cs="Calibri" w:asciiTheme="minorAscii" w:hAnsiTheme="minorAscii" w:eastAsiaTheme="minorAscii" w:cstheme="minorAscii"/>
          <w:b w:val="1"/>
          <w:bCs w:val="1"/>
          <w:i w:val="0"/>
          <w:iCs w:val="0"/>
          <w:sz w:val="20"/>
          <w:szCs w:val="20"/>
          <w:u w:val="none"/>
        </w:rPr>
        <w:t>Mesabi to Pittsburgh, PA.</w:t>
      </w:r>
      <w:r w:rsidRPr="1C9FDC05" w:rsidR="1C9FDC05">
        <w:rPr>
          <w:rFonts w:ascii="Calibri" w:hAnsi="Calibri" w:eastAsia="Calibri" w:cs="Calibri" w:asciiTheme="minorAscii" w:hAnsiTheme="minorAscii" w:eastAsiaTheme="minorAscii" w:cstheme="minorAscii"/>
          <w:b w:val="1"/>
          <w:bCs w:val="1"/>
          <w:i w:val="0"/>
          <w:iCs w:val="0"/>
          <w:color w:val="000000" w:themeColor="text1" w:themeTint="FF" w:themeShade="FF"/>
          <w:sz w:val="20"/>
          <w:szCs w:val="20"/>
          <w:u w:val="none"/>
        </w:rPr>
        <w:t xml:space="preserve"> </w:t>
      </w:r>
      <w:r w:rsidRPr="1C9FDC05" w:rsidR="1C9FDC05">
        <w:rPr>
          <w:rFonts w:ascii="Calibri" w:hAnsi="Calibri" w:eastAsia="Calibri" w:cs="Calibri" w:asciiTheme="minorAscii" w:hAnsiTheme="minorAscii" w:eastAsiaTheme="minorAscii" w:cstheme="minorAscii"/>
          <w:i w:val="0"/>
          <w:iCs w:val="0"/>
          <w:color w:val="000000" w:themeColor="text1" w:themeTint="FF" w:themeShade="FF"/>
          <w:sz w:val="20"/>
          <w:szCs w:val="20"/>
          <w:u w:val="none"/>
        </w:rPr>
        <w:t>Assumed that rail prices remain constant between MN and PA. Rail linking the Erie to Pittsburg is approximately 125 miles. Therefore, [4] = [</w:t>
      </w:r>
      <w:r w:rsidRPr="1C9FDC05" w:rsidR="1C9FDC05">
        <w:rPr>
          <w:rFonts w:ascii="Calibri" w:hAnsi="Calibri" w:eastAsia="Calibri" w:cs="Calibri" w:asciiTheme="minorAscii" w:hAnsiTheme="minorAscii" w:eastAsiaTheme="minorAscii" w:cstheme="minorAscii"/>
          <w:i w:val="0"/>
          <w:iCs w:val="0"/>
          <w:sz w:val="20"/>
          <w:szCs w:val="20"/>
          <w:u w:val="none"/>
        </w:rPr>
        <w:t>3] + $0.008/mile/ton*(approximately 125 miles).</w:t>
      </w:r>
    </w:p>
    <w:p w:rsidR="1C9FDC05" w:rsidP="1C9FDC05" w:rsidRDefault="1C9FDC05" w14:paraId="4551062A" w14:textId="0500707C">
      <w:pPr>
        <w:pStyle w:val="Normal"/>
        <w:ind w:left="0"/>
        <w:jc w:val="both"/>
        <w:rPr>
          <w:rFonts w:ascii="Calibri" w:hAnsi="Calibri" w:eastAsia="Calibri" w:cs="Calibri" w:asciiTheme="minorAscii" w:hAnsiTheme="minorAscii" w:eastAsiaTheme="minorAscii" w:cstheme="minorAscii"/>
          <w:i w:val="0"/>
          <w:iCs w:val="0"/>
          <w:sz w:val="20"/>
          <w:szCs w:val="20"/>
        </w:rPr>
      </w:pPr>
      <w:r w:rsidRPr="1C9FDC05" w:rsidR="1C9FDC05">
        <w:rPr>
          <w:rFonts w:ascii="Calibri" w:hAnsi="Calibri" w:eastAsia="Calibri" w:cs="Calibri" w:asciiTheme="minorAscii" w:hAnsiTheme="minorAscii" w:eastAsiaTheme="minorAscii" w:cstheme="minorAscii"/>
          <w:i w:val="0"/>
          <w:iCs w:val="0"/>
          <w:sz w:val="20"/>
          <w:szCs w:val="20"/>
        </w:rPr>
        <w:t xml:space="preserve">[5] Cost from </w:t>
      </w:r>
      <w:r w:rsidRPr="1C9FDC05" w:rsidR="1C9FDC05">
        <w:rPr>
          <w:rFonts w:ascii="Calibri" w:hAnsi="Calibri" w:eastAsia="Calibri" w:cs="Calibri" w:asciiTheme="minorAscii" w:hAnsiTheme="minorAscii" w:eastAsiaTheme="minorAscii" w:cstheme="minorAscii"/>
          <w:b w:val="1"/>
          <w:bCs w:val="1"/>
          <w:i w:val="0"/>
          <w:iCs w:val="0"/>
          <w:sz w:val="20"/>
          <w:szCs w:val="20"/>
        </w:rPr>
        <w:t xml:space="preserve">City of Erie to Philadelphia, PA. </w:t>
      </w:r>
      <w:r w:rsidRPr="1C9FDC05" w:rsidR="1C9FDC05">
        <w:rPr>
          <w:rFonts w:ascii="Calibri" w:hAnsi="Calibri" w:eastAsia="Calibri" w:cs="Calibri" w:asciiTheme="minorAscii" w:hAnsiTheme="minorAscii" w:eastAsiaTheme="minorAscii" w:cstheme="minorAscii"/>
          <w:i w:val="0"/>
          <w:iCs w:val="0"/>
          <w:sz w:val="20"/>
          <w:szCs w:val="20"/>
        </w:rPr>
        <w:t>Assumed that this is the fastest route to the Atlantic and that the ore would have to travel around 300 miles. [5] = [3] + (cost per mile per ton*300 miles)</w:t>
      </w:r>
    </w:p>
    <w:p w:rsidR="1C9FDC05" w:rsidP="1C9FDC05" w:rsidRDefault="1C9FDC05" w14:paraId="62DFFD10" w14:textId="37E2D3D6">
      <w:pPr>
        <w:pStyle w:val="Normal"/>
        <w:ind w:left="0"/>
        <w:jc w:val="both"/>
        <w:rPr>
          <w:rFonts w:ascii="Calibri" w:hAnsi="Calibri" w:eastAsia="Calibri" w:cs="Calibri" w:asciiTheme="minorAscii" w:hAnsiTheme="minorAscii" w:eastAsiaTheme="minorAscii" w:cstheme="minorAscii"/>
          <w:i w:val="0"/>
          <w:iCs w:val="0"/>
          <w:sz w:val="20"/>
          <w:szCs w:val="20"/>
        </w:rPr>
      </w:pPr>
      <w:r w:rsidRPr="1C9FDC05" w:rsidR="1C9FDC05">
        <w:rPr>
          <w:rFonts w:ascii="Calibri" w:hAnsi="Calibri" w:eastAsia="Calibri" w:cs="Calibri" w:asciiTheme="minorAscii" w:hAnsiTheme="minorAscii" w:eastAsiaTheme="minorAscii" w:cstheme="minorAscii"/>
          <w:i w:val="0"/>
          <w:iCs w:val="0"/>
          <w:sz w:val="20"/>
          <w:szCs w:val="20"/>
        </w:rPr>
        <w:t xml:space="preserve">[6] Cost from </w:t>
      </w:r>
      <w:r w:rsidRPr="1C9FDC05" w:rsidR="1C9FDC05">
        <w:rPr>
          <w:rFonts w:ascii="Calibri" w:hAnsi="Calibri" w:eastAsia="Calibri" w:cs="Calibri" w:asciiTheme="minorAscii" w:hAnsiTheme="minorAscii" w:eastAsiaTheme="minorAscii" w:cstheme="minorAscii"/>
          <w:b w:val="1"/>
          <w:bCs w:val="1"/>
          <w:i w:val="0"/>
          <w:iCs w:val="0"/>
          <w:sz w:val="20"/>
          <w:szCs w:val="20"/>
        </w:rPr>
        <w:t>Mesabi to Philadelphia.</w:t>
      </w:r>
      <w:r w:rsidRPr="1C9FDC05" w:rsidR="1C9FDC05">
        <w:rPr>
          <w:rFonts w:ascii="Calibri" w:hAnsi="Calibri" w:eastAsia="Calibri" w:cs="Calibri" w:asciiTheme="minorAscii" w:hAnsiTheme="minorAscii" w:eastAsiaTheme="minorAscii" w:cstheme="minorAscii"/>
          <w:i w:val="0"/>
          <w:iCs w:val="0"/>
          <w:sz w:val="20"/>
          <w:szCs w:val="20"/>
        </w:rPr>
        <w:t xml:space="preserve"> [6] = [3] + [5]. </w:t>
      </w:r>
    </w:p>
    <w:p w:rsidR="3C1EA6C2" w:rsidP="1C9FDC05" w:rsidRDefault="3C1EA6C2" w14:paraId="150516AA" w14:textId="6F910EFD">
      <w:pPr>
        <w:jc w:val="both"/>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3371D4D5" w:rsidR="3C1EA6C2">
        <w:rPr>
          <w:rFonts w:ascii="Calibri" w:hAnsi="Calibri" w:eastAsia="Calibri" w:cs="Calibri" w:asciiTheme="minorAscii" w:hAnsiTheme="minorAscii" w:eastAsiaTheme="minorAscii" w:cstheme="minorAscii"/>
          <w:color w:val="000000" w:themeColor="text1" w:themeTint="FF" w:themeShade="FF"/>
          <w:sz w:val="24"/>
          <w:szCs w:val="24"/>
        </w:rPr>
        <w:t xml:space="preserve">In addition, figure 1 only takes the immediate shipping costs into account; a full analysis of the cost would need to include insurance, </w:t>
      </w:r>
      <w:bookmarkStart w:name="_Int_wquR11Kv" w:id="1208954699"/>
      <w:r w:rsidRPr="3371D4D5" w:rsidR="3C1EA6C2">
        <w:rPr>
          <w:rFonts w:ascii="Calibri" w:hAnsi="Calibri" w:eastAsia="Calibri" w:cs="Calibri" w:asciiTheme="minorAscii" w:hAnsiTheme="minorAscii" w:eastAsiaTheme="minorAscii" w:cstheme="minorAscii"/>
          <w:color w:val="000000" w:themeColor="text1" w:themeTint="FF" w:themeShade="FF"/>
          <w:sz w:val="24"/>
          <w:szCs w:val="24"/>
        </w:rPr>
        <w:t>wharfage,</w:t>
      </w:r>
      <w:bookmarkEnd w:id="1208954699"/>
      <w:r w:rsidRPr="3371D4D5" w:rsidR="3C1EA6C2">
        <w:rPr>
          <w:rFonts w:ascii="Calibri" w:hAnsi="Calibri" w:eastAsia="Calibri" w:cs="Calibri" w:asciiTheme="minorAscii" w:hAnsiTheme="minorAscii" w:eastAsiaTheme="minorAscii" w:cstheme="minorAscii"/>
          <w:color w:val="000000" w:themeColor="text1" w:themeTint="FF" w:themeShade="FF"/>
          <w:sz w:val="24"/>
          <w:szCs w:val="24"/>
        </w:rPr>
        <w:t xml:space="preserve"> and brokerage fees, etc. (Inwood and Keay, 2015).</w:t>
      </w:r>
    </w:p>
    <w:p w:rsidR="3371D4D5" w:rsidP="3371D4D5" w:rsidRDefault="3371D4D5" w14:paraId="37C6406C" w14:textId="2CC40813">
      <w:pPr>
        <w:pStyle w:val="Normal"/>
        <w:bidi w:val="0"/>
        <w:spacing w:before="0" w:beforeAutospacing="off" w:after="160" w:afterAutospacing="off" w:line="259" w:lineRule="auto"/>
        <w:ind w:left="0" w:right="0"/>
        <w:jc w:val="both"/>
      </w:pPr>
      <w:r w:rsidRPr="3371D4D5" w:rsidR="3371D4D5">
        <w:rPr>
          <w:rFonts w:ascii="Calibri" w:hAnsi="Calibri" w:eastAsia="Calibri" w:cs="Calibri" w:asciiTheme="minorAscii" w:hAnsiTheme="minorAscii" w:eastAsiaTheme="minorAscii" w:cstheme="minorAscii"/>
          <w:color w:val="000000" w:themeColor="text1" w:themeTint="FF" w:themeShade="FF"/>
          <w:sz w:val="24"/>
          <w:szCs w:val="24"/>
        </w:rPr>
        <w:t xml:space="preserve">In addition, </w:t>
      </w:r>
      <w:r w:rsidRPr="3371D4D5" w:rsidR="3371D4D5">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if the ore had </w:t>
      </w:r>
      <w:r w:rsidRPr="3371D4D5" w:rsidR="3371D4D5">
        <w:rPr>
          <w:rFonts w:ascii="Calibri" w:hAnsi="Calibri" w:eastAsia="Calibri" w:cs="Calibri" w:asciiTheme="minorAscii" w:hAnsiTheme="minorAscii" w:eastAsiaTheme="minorAscii" w:cstheme="minorAscii"/>
          <w:b w:val="1"/>
          <w:bCs w:val="1"/>
          <w:i w:val="1"/>
          <w:iCs w:val="1"/>
          <w:color w:val="000000" w:themeColor="text1" w:themeTint="FF" w:themeShade="FF"/>
          <w:sz w:val="24"/>
          <w:szCs w:val="24"/>
        </w:rPr>
        <w:t xml:space="preserve">not </w:t>
      </w:r>
      <w:r w:rsidRPr="3371D4D5" w:rsidR="3371D4D5">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been shipped from Minnesota, and had instead been manufactured in Duluth and then shipped elsewhere (such as Detroit for the automobile industry), transit costs could be even greater </w:t>
      </w:r>
      <w:r w:rsidRPr="3371D4D5" w:rsidR="3371D4D5">
        <w:rPr>
          <w:rFonts w:ascii="Calibri" w:hAnsi="Calibri" w:eastAsia="Calibri" w:cs="Calibri" w:asciiTheme="minorAscii" w:hAnsiTheme="minorAscii" w:eastAsiaTheme="minorAscii" w:cstheme="minorAscii"/>
          <w:color w:val="000000" w:themeColor="text1" w:themeTint="FF" w:themeShade="FF"/>
          <w:sz w:val="24"/>
          <w:szCs w:val="24"/>
        </w:rPr>
        <w:t>(</w:t>
      </w:r>
      <w:r w:rsidRPr="3371D4D5" w:rsidR="3371D4D5">
        <w:rPr>
          <w:rFonts w:ascii="Calibri" w:hAnsi="Calibri" w:eastAsia="Calibri" w:cs="Calibri" w:asciiTheme="minorAscii" w:hAnsiTheme="minorAscii" w:eastAsiaTheme="minorAscii" w:cstheme="minorAscii"/>
          <w:color w:val="000000" w:themeColor="text1" w:themeTint="FF" w:themeShade="FF"/>
          <w:sz w:val="24"/>
          <w:szCs w:val="24"/>
        </w:rPr>
        <w:t>see Section 2; finished iron and steel products could be even heavier).</w:t>
      </w:r>
    </w:p>
    <w:p w:rsidR="1C9FDC05" w:rsidP="1C9FDC05" w:rsidRDefault="1C9FDC05" w14:paraId="4BE5BB2B" w14:textId="6869F9F0">
      <w:pPr>
        <w:pStyle w:val="Normal"/>
        <w:jc w:val="both"/>
        <w:rPr>
          <w:rFonts w:ascii="Calibri" w:hAnsi="Calibri" w:eastAsia="Calibri" w:cs="Calibri" w:asciiTheme="minorAscii" w:hAnsiTheme="minorAscii" w:eastAsiaTheme="minorAscii" w:cstheme="minorAscii"/>
          <w:color w:val="000000" w:themeColor="text1" w:themeTint="FF" w:themeShade="FF"/>
          <w:sz w:val="24"/>
          <w:szCs w:val="24"/>
        </w:rPr>
      </w:pPr>
    </w:p>
    <w:p w:rsidR="1C9FDC05" w:rsidP="1C9FDC05" w:rsidRDefault="1C9FDC05" w14:paraId="54F64ACA" w14:textId="392210D4">
      <w:pPr>
        <w:pStyle w:val="ListParagraph"/>
        <w:numPr>
          <w:ilvl w:val="0"/>
          <w:numId w:val="3"/>
        </w:numPr>
        <w:bidi w:val="0"/>
        <w:spacing w:before="0" w:beforeAutospacing="off" w:after="160" w:afterAutospacing="off" w:line="259" w:lineRule="auto"/>
        <w:ind w:left="720" w:right="0" w:hanging="360"/>
        <w:jc w:val="both"/>
        <w:rPr>
          <w:rFonts w:ascii="Calibri" w:hAnsi="Calibri" w:eastAsia="Calibri" w:cs="Calibri" w:asciiTheme="minorAscii" w:hAnsiTheme="minorAscii" w:eastAsiaTheme="minorAscii" w:cstheme="minorAscii"/>
          <w:b w:val="1"/>
          <w:bCs w:val="1"/>
          <w:color w:val="000000" w:themeColor="text1" w:themeTint="FF" w:themeShade="FF"/>
          <w:sz w:val="28"/>
          <w:szCs w:val="28"/>
        </w:rPr>
      </w:pPr>
      <w:r w:rsidRPr="1C9FDC05" w:rsidR="1C9FDC05">
        <w:rPr>
          <w:rFonts w:ascii="Calibri" w:hAnsi="Calibri" w:eastAsia="Calibri" w:cs="Calibri" w:asciiTheme="minorAscii" w:hAnsiTheme="minorAscii" w:eastAsiaTheme="minorAscii" w:cstheme="minorAscii"/>
          <w:b w:val="1"/>
          <w:bCs w:val="1"/>
          <w:color w:val="000000" w:themeColor="text1" w:themeTint="FF" w:themeShade="FF"/>
          <w:sz w:val="28"/>
          <w:szCs w:val="28"/>
        </w:rPr>
        <w:t xml:space="preserve">Ore Prices and Profitability </w:t>
      </w:r>
    </w:p>
    <w:p w:rsidR="1C9FDC05" w:rsidP="1C9FDC05" w:rsidRDefault="1C9FDC05" w14:paraId="11B5CD40" w14:textId="6018503D">
      <w:pPr>
        <w:pStyle w:val="Normal"/>
        <w:jc w:val="both"/>
        <w:rPr>
          <w:rFonts w:ascii="Calibri" w:hAnsi="Calibri" w:eastAsia="Calibri" w:cs="Calibri" w:asciiTheme="minorAscii" w:hAnsiTheme="minorAscii" w:eastAsiaTheme="minorAscii" w:cstheme="minorAscii"/>
          <w:b w:val="1"/>
          <w:bCs w:val="1"/>
          <w:color w:val="000000" w:themeColor="text1" w:themeTint="FF" w:themeShade="FF"/>
          <w:sz w:val="28"/>
          <w:szCs w:val="28"/>
        </w:rPr>
      </w:pPr>
    </w:p>
    <w:p w:rsidR="1C9FDC05" w:rsidP="1C9FDC05" w:rsidRDefault="1C9FDC05" w14:paraId="5331EA29" w14:textId="4FD0C78A">
      <w:pPr>
        <w:pStyle w:val="Normal"/>
        <w:jc w:val="both"/>
        <w:rPr>
          <w:rFonts w:ascii="Calibri" w:hAnsi="Calibri" w:eastAsia="Calibri" w:cs="Calibri" w:asciiTheme="minorAscii" w:hAnsiTheme="minorAscii" w:eastAsiaTheme="minorAscii" w:cstheme="minorAscii"/>
          <w:b w:val="0"/>
          <w:bCs w:val="0"/>
          <w:color w:val="000000" w:themeColor="text1" w:themeTint="FF" w:themeShade="FF"/>
          <w:sz w:val="24"/>
          <w:szCs w:val="24"/>
        </w:rPr>
      </w:pPr>
      <w:r w:rsidRPr="1C9FDC05" w:rsidR="1C9FDC05">
        <w:rPr>
          <w:rFonts w:ascii="Calibri" w:hAnsi="Calibri" w:eastAsia="Calibri" w:cs="Calibri" w:asciiTheme="minorAscii" w:hAnsiTheme="minorAscii" w:eastAsiaTheme="minorAscii" w:cstheme="minorAscii"/>
          <w:b w:val="0"/>
          <w:bCs w:val="0"/>
          <w:color w:val="000000" w:themeColor="text1" w:themeTint="FF" w:themeShade="FF"/>
          <w:sz w:val="24"/>
          <w:szCs w:val="24"/>
        </w:rPr>
        <w:t xml:space="preserve">The following figure shows the price of ore at the lower lake ports from 1895-1912: </w:t>
      </w:r>
    </w:p>
    <w:p w:rsidR="1C9FDC05" w:rsidP="1C9FDC05" w:rsidRDefault="1C9FDC05" w14:paraId="3A20BBE0" w14:textId="5D3154CA">
      <w:pPr>
        <w:pStyle w:val="Normal"/>
        <w:jc w:val="both"/>
      </w:pPr>
      <w:r w:rsidR="1C9FDC05">
        <w:drawing>
          <wp:inline wp14:editId="3088CC3D" wp14:anchorId="62B43B58">
            <wp:extent cx="4219575" cy="3050401"/>
            <wp:effectExtent l="0" t="0" r="0" b="0"/>
            <wp:docPr id="739994542" name="" title=""/>
            <wp:cNvGraphicFramePr>
              <a:graphicFrameLocks noChangeAspect="1"/>
            </wp:cNvGraphicFramePr>
            <a:graphic>
              <a:graphicData uri="http://schemas.openxmlformats.org/drawingml/2006/picture">
                <pic:pic>
                  <pic:nvPicPr>
                    <pic:cNvPr id="0" name=""/>
                    <pic:cNvPicPr/>
                  </pic:nvPicPr>
                  <pic:blipFill>
                    <a:blip r:embed="R8e6bab06dc364202">
                      <a:extLst>
                        <a:ext xmlns:a="http://schemas.openxmlformats.org/drawingml/2006/main" uri="{28A0092B-C50C-407E-A947-70E740481C1C}">
                          <a14:useLocalDpi val="0"/>
                        </a:ext>
                      </a:extLst>
                    </a:blip>
                    <a:stretch>
                      <a:fillRect/>
                    </a:stretch>
                  </pic:blipFill>
                  <pic:spPr>
                    <a:xfrm>
                      <a:off x="0" y="0"/>
                      <a:ext cx="4219575" cy="3050401"/>
                    </a:xfrm>
                    <a:prstGeom prst="rect">
                      <a:avLst/>
                    </a:prstGeom>
                  </pic:spPr>
                </pic:pic>
              </a:graphicData>
            </a:graphic>
          </wp:inline>
        </w:drawing>
      </w:r>
    </w:p>
    <w:p w:rsidR="1C9FDC05" w:rsidP="1C9FDC05" w:rsidRDefault="1C9FDC05" w14:paraId="7842F2F4" w14:textId="5D8FB919">
      <w:pPr>
        <w:pStyle w:val="Normal"/>
        <w:bidi w:val="0"/>
        <w:spacing w:before="0" w:beforeAutospacing="off" w:after="160" w:afterAutospacing="off" w:line="259" w:lineRule="auto"/>
        <w:ind w:left="0" w:right="0"/>
        <w:jc w:val="both"/>
        <w:rPr>
          <w:rFonts w:ascii="Calibri" w:hAnsi="Calibri" w:eastAsia="Calibri" w:cs="Calibri" w:asciiTheme="minorAscii" w:hAnsiTheme="minorAscii" w:eastAsiaTheme="minorAscii" w:cstheme="minorAscii"/>
          <w:b w:val="0"/>
          <w:bCs w:val="0"/>
          <w:color w:val="000000" w:themeColor="text1" w:themeTint="FF" w:themeShade="FF"/>
          <w:sz w:val="20"/>
          <w:szCs w:val="20"/>
        </w:rPr>
      </w:pPr>
      <w:r w:rsidRPr="1C9FDC05" w:rsidR="1C9FDC05">
        <w:rPr>
          <w:rFonts w:ascii="Calibri" w:hAnsi="Calibri" w:eastAsia="Calibri" w:cs="Calibri" w:asciiTheme="minorAscii" w:hAnsiTheme="minorAscii" w:eastAsiaTheme="minorAscii" w:cstheme="minorAscii"/>
          <w:b w:val="1"/>
          <w:bCs w:val="1"/>
          <w:color w:val="000000" w:themeColor="text1" w:themeTint="FF" w:themeShade="FF"/>
          <w:sz w:val="20"/>
          <w:szCs w:val="20"/>
        </w:rPr>
        <w:t xml:space="preserve">Figure 3. </w:t>
      </w:r>
      <w:r w:rsidRPr="1C9FDC05" w:rsidR="1C9FDC05">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Price of ore at lower lake ports; only available from 1895-onward. Crowell &amp; Murray 1923. Note that the main difference between Bessemer and </w:t>
      </w:r>
      <w:proofErr w:type="spellStart"/>
      <w:r w:rsidRPr="1C9FDC05" w:rsidR="1C9FDC05">
        <w:rPr>
          <w:rFonts w:ascii="Calibri" w:hAnsi="Calibri" w:eastAsia="Calibri" w:cs="Calibri" w:asciiTheme="minorAscii" w:hAnsiTheme="minorAscii" w:eastAsiaTheme="minorAscii" w:cstheme="minorAscii"/>
          <w:b w:val="0"/>
          <w:bCs w:val="0"/>
          <w:color w:val="000000" w:themeColor="text1" w:themeTint="FF" w:themeShade="FF"/>
          <w:sz w:val="20"/>
          <w:szCs w:val="20"/>
        </w:rPr>
        <w:t>Nonbessemer</w:t>
      </w:r>
      <w:proofErr w:type="spellEnd"/>
      <w:r w:rsidRPr="1C9FDC05" w:rsidR="1C9FDC05">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 ore is its phosphorus content and that the two types </w:t>
      </w:r>
      <w:bookmarkStart w:name="_Int_Nt7gK04B" w:id="921108616"/>
      <w:r w:rsidRPr="1C9FDC05" w:rsidR="1C9FDC05">
        <w:rPr>
          <w:rFonts w:ascii="Calibri" w:hAnsi="Calibri" w:eastAsia="Calibri" w:cs="Calibri" w:asciiTheme="minorAscii" w:hAnsiTheme="minorAscii" w:eastAsiaTheme="minorAscii" w:cstheme="minorAscii"/>
          <w:b w:val="0"/>
          <w:bCs w:val="0"/>
          <w:color w:val="000000" w:themeColor="text1" w:themeTint="FF" w:themeShade="FF"/>
          <w:sz w:val="20"/>
          <w:szCs w:val="20"/>
        </w:rPr>
        <w:t>end</w:t>
      </w:r>
      <w:bookmarkEnd w:id="921108616"/>
      <w:r w:rsidRPr="1C9FDC05" w:rsidR="1C9FDC05">
        <w:rPr>
          <w:rFonts w:ascii="Calibri" w:hAnsi="Calibri" w:eastAsia="Calibri" w:cs="Calibri" w:asciiTheme="minorAscii" w:hAnsiTheme="minorAscii" w:eastAsiaTheme="minorAscii" w:cstheme="minorAscii"/>
          <w:b w:val="0"/>
          <w:bCs w:val="0"/>
          <w:color w:val="000000" w:themeColor="text1" w:themeTint="FF" w:themeShade="FF"/>
          <w:sz w:val="20"/>
          <w:szCs w:val="20"/>
        </w:rPr>
        <w:t xml:space="preserve"> up in different iron products. </w:t>
      </w:r>
    </w:p>
    <w:p w:rsidR="3C1EA6C2" w:rsidP="1C9FDC05" w:rsidRDefault="3C1EA6C2" w14:paraId="7316CDCF" w14:textId="3CF94014">
      <w:pPr>
        <w:pStyle w:val="Normal"/>
        <w:jc w:val="both"/>
        <w:rPr>
          <w:rFonts w:ascii="Calibri" w:hAnsi="Calibri" w:eastAsia="Calibri" w:cs="Calibri" w:asciiTheme="minorAscii" w:hAnsiTheme="minorAscii" w:eastAsiaTheme="minorAscii" w:cstheme="minorAscii"/>
          <w:color w:val="000000" w:themeColor="text1" w:themeTint="FF" w:themeShade="FF"/>
          <w:sz w:val="24"/>
          <w:szCs w:val="24"/>
        </w:rPr>
      </w:pPr>
      <w:r w:rsidRPr="3371D4D5" w:rsidR="3C1EA6C2">
        <w:rPr>
          <w:rFonts w:ascii="Calibri" w:hAnsi="Calibri" w:eastAsia="Calibri" w:cs="Calibri" w:asciiTheme="minorAscii" w:hAnsiTheme="minorAscii" w:eastAsiaTheme="minorAscii" w:cstheme="minorAscii"/>
          <w:b w:val="0"/>
          <w:bCs w:val="0"/>
          <w:color w:val="000000" w:themeColor="text1" w:themeTint="FF" w:themeShade="FF"/>
          <w:sz w:val="24"/>
          <w:szCs w:val="24"/>
        </w:rPr>
        <w:t>Based</w:t>
      </w:r>
      <w:r w:rsidRPr="3371D4D5" w:rsidR="3C1EA6C2">
        <w:rPr>
          <w:rFonts w:ascii="Calibri" w:hAnsi="Calibri" w:eastAsia="Calibri" w:cs="Calibri" w:asciiTheme="minorAscii" w:hAnsiTheme="minorAscii" w:eastAsiaTheme="minorAscii" w:cstheme="minorAscii"/>
          <w:b w:val="0"/>
          <w:bCs w:val="0"/>
          <w:color w:val="000000" w:themeColor="text1" w:themeTint="FF" w:themeShade="FF"/>
          <w:sz w:val="24"/>
          <w:szCs w:val="24"/>
        </w:rPr>
        <w:t xml:space="preserve"> on a comparison of Figure 2 and Figure 3, </w:t>
      </w:r>
      <w:r w:rsidRPr="3371D4D5" w:rsidR="3C1EA6C2">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it is unlikely that there was a route to the Atlantic seaboard that would allow Minnesota ore to </w:t>
      </w:r>
      <w:r w:rsidRPr="3371D4D5" w:rsidR="3C1EA6C2">
        <w:rPr>
          <w:rFonts w:ascii="Calibri" w:hAnsi="Calibri" w:eastAsia="Calibri" w:cs="Calibri" w:asciiTheme="minorAscii" w:hAnsiTheme="minorAscii" w:eastAsiaTheme="minorAscii" w:cstheme="minorAscii"/>
          <w:b w:val="1"/>
          <w:bCs w:val="1"/>
          <w:color w:val="000000" w:themeColor="text1" w:themeTint="FF" w:themeShade="FF"/>
          <w:sz w:val="24"/>
          <w:szCs w:val="24"/>
        </w:rPr>
        <w:t>maintain</w:t>
      </w:r>
      <w:r w:rsidRPr="3371D4D5" w:rsidR="3C1EA6C2">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competitive prices. As Irwin (2017) notes, there was not a direct water route and shipping across land required costly rail travel. </w:t>
      </w:r>
      <w:r w:rsidRPr="3371D4D5" w:rsidR="3C1EA6C2">
        <w:rPr>
          <w:rFonts w:ascii="Calibri" w:hAnsi="Calibri" w:eastAsia="Calibri" w:cs="Calibri" w:asciiTheme="minorAscii" w:hAnsiTheme="minorAscii" w:eastAsiaTheme="minorAscii" w:cstheme="minorAscii"/>
          <w:b w:val="0"/>
          <w:bCs w:val="0"/>
          <w:color w:val="000000" w:themeColor="text1" w:themeTint="FF" w:themeShade="FF"/>
          <w:sz w:val="24"/>
          <w:szCs w:val="24"/>
        </w:rPr>
        <w:t>It could travel large distances via the Great Lakes, but not much farther.</w:t>
      </w:r>
    </w:p>
    <w:sectPr w:rsidR="6575B1D3">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0A8C" w:rsidRDefault="00900A8C" w14:paraId="4F229902" w14:textId="77777777">
      <w:pPr>
        <w:spacing w:after="0" w:line="240" w:lineRule="auto"/>
      </w:pPr>
      <w:r>
        <w:separator/>
      </w:r>
    </w:p>
  </w:endnote>
  <w:endnote w:type="continuationSeparator" w:id="0">
    <w:p w:rsidR="00900A8C" w:rsidRDefault="00900A8C" w14:paraId="2FABCA14" w14:textId="77777777">
      <w:pPr>
        <w:spacing w:after="0" w:line="240" w:lineRule="auto"/>
      </w:pPr>
      <w:r>
        <w:continuationSeparator/>
      </w:r>
    </w:p>
  </w:endnote>
  <w:endnote w:type="continuationNotice" w:id="1">
    <w:p w:rsidR="00D579C8" w:rsidRDefault="00D579C8" w14:paraId="51B7D77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575B1D3" w:rsidTr="6575B1D3" w14:paraId="52B3EFF8" w14:textId="77777777">
      <w:tc>
        <w:tcPr>
          <w:tcW w:w="3120" w:type="dxa"/>
        </w:tcPr>
        <w:p w:rsidR="6575B1D3" w:rsidP="6575B1D3" w:rsidRDefault="6575B1D3" w14:paraId="692506A3" w14:textId="30EEDA17">
          <w:pPr>
            <w:pStyle w:val="Header"/>
            <w:ind w:left="-115"/>
          </w:pPr>
        </w:p>
      </w:tc>
      <w:tc>
        <w:tcPr>
          <w:tcW w:w="3120" w:type="dxa"/>
        </w:tcPr>
        <w:p w:rsidR="6575B1D3" w:rsidP="6575B1D3" w:rsidRDefault="6575B1D3" w14:paraId="3E7AC31A" w14:textId="6B126CAE">
          <w:pPr>
            <w:pStyle w:val="Header"/>
            <w:jc w:val="center"/>
          </w:pPr>
        </w:p>
      </w:tc>
      <w:tc>
        <w:tcPr>
          <w:tcW w:w="3120" w:type="dxa"/>
        </w:tcPr>
        <w:p w:rsidR="6575B1D3" w:rsidP="6575B1D3" w:rsidRDefault="6575B1D3" w14:paraId="1EDD8670" w14:textId="76DE1254">
          <w:pPr>
            <w:pStyle w:val="Header"/>
            <w:ind w:right="-115"/>
            <w:jc w:val="right"/>
          </w:pPr>
        </w:p>
      </w:tc>
    </w:tr>
  </w:tbl>
  <w:p w:rsidR="6575B1D3" w:rsidP="6575B1D3" w:rsidRDefault="6575B1D3" w14:paraId="225DCBE1" w14:textId="7D2D9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0A8C" w:rsidRDefault="00900A8C" w14:paraId="0840C53D" w14:textId="77777777">
      <w:pPr>
        <w:spacing w:after="0" w:line="240" w:lineRule="auto"/>
      </w:pPr>
      <w:r>
        <w:separator/>
      </w:r>
    </w:p>
  </w:footnote>
  <w:footnote w:type="continuationSeparator" w:id="0">
    <w:p w:rsidR="00900A8C" w:rsidRDefault="00900A8C" w14:paraId="0569D374" w14:textId="77777777">
      <w:pPr>
        <w:spacing w:after="0" w:line="240" w:lineRule="auto"/>
      </w:pPr>
      <w:r>
        <w:continuationSeparator/>
      </w:r>
    </w:p>
  </w:footnote>
  <w:footnote w:type="continuationNotice" w:id="1">
    <w:p w:rsidR="00D579C8" w:rsidRDefault="00D579C8" w14:paraId="7A29617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575B1D3" w:rsidTr="6575B1D3" w14:paraId="409047CA" w14:textId="77777777">
      <w:tc>
        <w:tcPr>
          <w:tcW w:w="3120" w:type="dxa"/>
        </w:tcPr>
        <w:p w:rsidR="6575B1D3" w:rsidP="6575B1D3" w:rsidRDefault="6575B1D3" w14:paraId="7A5BF24C" w14:textId="546050DD">
          <w:pPr>
            <w:pStyle w:val="Header"/>
            <w:ind w:left="-115"/>
          </w:pPr>
        </w:p>
      </w:tc>
      <w:tc>
        <w:tcPr>
          <w:tcW w:w="3120" w:type="dxa"/>
        </w:tcPr>
        <w:p w:rsidR="6575B1D3" w:rsidP="6575B1D3" w:rsidRDefault="6575B1D3" w14:paraId="34E2D51E" w14:textId="19733584">
          <w:pPr>
            <w:pStyle w:val="Header"/>
            <w:jc w:val="center"/>
          </w:pPr>
        </w:p>
      </w:tc>
      <w:tc>
        <w:tcPr>
          <w:tcW w:w="3120" w:type="dxa"/>
        </w:tcPr>
        <w:p w:rsidR="6575B1D3" w:rsidP="6575B1D3" w:rsidRDefault="6575B1D3" w14:paraId="446D372C" w14:textId="079B7017">
          <w:pPr>
            <w:pStyle w:val="Header"/>
            <w:ind w:right="-115"/>
            <w:jc w:val="right"/>
          </w:pPr>
        </w:p>
      </w:tc>
    </w:tr>
  </w:tbl>
  <w:p w:rsidR="6575B1D3" w:rsidP="6575B1D3" w:rsidRDefault="6575B1D3" w14:paraId="3B259DE4" w14:textId="436BA16E">
    <w:pPr>
      <w:pStyle w:val="Header"/>
    </w:pPr>
  </w:p>
</w:hdr>
</file>

<file path=word/intelligence2.xml><?xml version="1.0" encoding="utf-8"?>
<int2:intelligence xmlns:int2="http://schemas.microsoft.com/office/intelligence/2020/intelligence" xmlns:oel="http://schemas.microsoft.com/office/2019/extlst">
  <int2:observations>
    <int2:textHash int2:hashCode="lwz9iYsU3AWlgn" int2:id="v3VLezvw">
      <int2:state int2:type="LegacyProofing" int2:value="Rejected"/>
    </int2:textHash>
    <int2:textHash int2:hashCode="2lg3xczwlsaaGn" int2:id="xK0ryHvw">
      <int2:state int2:type="LegacyProofing" int2:value="Rejected"/>
    </int2:textHash>
    <int2:textHash int2:hashCode="PESpmMI1YLRMoy" int2:id="7jx9VSeA">
      <int2:state int2:type="LegacyProofing" int2:value="Rejected"/>
    </int2:textHash>
    <int2:textHash int2:hashCode="UWzaRyVElJkBYL" int2:id="x2F8ddoq">
      <int2:state int2:type="LegacyProofing" int2:value="Rejected"/>
    </int2:textHash>
    <int2:bookmark int2:bookmarkName="_Int_wquR11Kv" int2:invalidationBookmarkName="" int2:hashCode="/f4/6KiGo8dNbH" int2:id="LqWJr3lb"/>
    <int2:bookmark int2:bookmarkName="_Int_T4SNDndj" int2:invalidationBookmarkName="" int2:hashCode="hp/LIAHzKtHHuv" int2:id="9s8Fx5eA"/>
    <int2:bookmark int2:bookmarkName="_Int_imvg1nSb" int2:invalidationBookmarkName="" int2:hashCode="FdMjqeJikh9Yu0" int2:id="KkEIuK5T"/>
    <int2:bookmark int2:bookmarkName="_Int_rw8kQlBs" int2:invalidationBookmarkName="" int2:hashCode="KlBhJpMIAPgHzj" int2:id="sbKabKGN"/>
    <int2:bookmark int2:bookmarkName="_Int_u2VoKYub" int2:invalidationBookmarkName="" int2:hashCode="ENH1X4r5LOieeP" int2:id="meIlXe3J"/>
    <int2:bookmark int2:bookmarkName="_Int_JFPx427e" int2:invalidationBookmarkName="" int2:hashCode="ENQyeY2++2qtz+" int2:id="WHMZSORr"/>
    <int2:bookmark int2:bookmarkName="_Int_Nt7gK04B" int2:invalidationBookmarkName="" int2:hashCode="ql1oIJltDmCzqF" int2:id="ayexK5Bo"/>
    <int2:bookmark int2:bookmarkName="_Int_gXn4aRPY" int2:invalidationBookmarkName="" int2:hashCode="bH/KgqdKEwH4mg" int2:id="xOUX5ly9">
      <int2:state int2:type="AugLoop_Text_Critique" int2:value="Rejected"/>
    </int2:bookmark>
    <int2:bookmark int2:bookmarkName="_Int_c9fZ8DSM" int2:invalidationBookmarkName="" int2:hashCode="AXw2pm3PmAYcYn" int2:id="fpP4NLSS"/>
    <int2:bookmark int2:bookmarkName="_Int_fOAIoypO" int2:invalidationBookmarkName="" int2:hashCode="x0uzMnlZUXEvat" int2:id="Ak5y4RoY">
      <int2:state int2:type="LegacyProofing" int2:value="Rejected"/>
    </int2:bookmark>
    <int2:bookmark int2:bookmarkName="_Int_Cq5zlFNT" int2:invalidationBookmarkName="" int2:hashCode="4YXV7rmwkC7W3i" int2:id="iy8MjCwS">
      <int2:state int2:type="LegacyProofing" int2:value="Rejected"/>
    </int2:bookmark>
    <int2:bookmark int2:bookmarkName="_Int_hBpEcbor" int2:invalidationBookmarkName="" int2:hashCode="4YXV7rmwkC7W3i" int2:id="88GPGUTe">
      <int2:state int2:type="LegacyProofing" int2:value="Rejected"/>
    </int2:bookmark>
    <int2:bookmark int2:bookmarkName="_Int_UEQfSMOl" int2:invalidationBookmarkName="" int2:hashCode="i5uDKDRlFHnIQw" int2:id="E5BLBvf5">
      <int2:state int2:type="LegacyProofing" int2:value="Rejected"/>
    </int2:bookmark>
    <int2:bookmark int2:bookmarkName="_Int_aC6h0gln" int2:invalidationBookmarkName="" int2:hashCode="4YXV7rmwkC7W3i" int2:id="hRVPvhNU">
      <int2:state int2:type="LegacyProofing"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f4012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6ae69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e9248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C62FE24"/>
    <w:multiLevelType w:val="hybridMultilevel"/>
    <w:tmpl w:val="FFFFFFFF"/>
    <w:lvl w:ilvl="0" w:tplc="B984B3E8">
      <w:start w:val="1"/>
      <w:numFmt w:val="decimal"/>
      <w:lvlText w:val="%1."/>
      <w:lvlJc w:val="left"/>
      <w:pPr>
        <w:ind w:left="720" w:hanging="360"/>
      </w:pPr>
    </w:lvl>
    <w:lvl w:ilvl="1" w:tplc="4DA41D54">
      <w:start w:val="1"/>
      <w:numFmt w:val="lowerLetter"/>
      <w:lvlText w:val="%2."/>
      <w:lvlJc w:val="left"/>
      <w:pPr>
        <w:ind w:left="1440" w:hanging="360"/>
      </w:pPr>
    </w:lvl>
    <w:lvl w:ilvl="2" w:tplc="730637DE">
      <w:start w:val="1"/>
      <w:numFmt w:val="lowerRoman"/>
      <w:lvlText w:val="%3."/>
      <w:lvlJc w:val="right"/>
      <w:pPr>
        <w:ind w:left="2160" w:hanging="180"/>
      </w:pPr>
    </w:lvl>
    <w:lvl w:ilvl="3" w:tplc="C75801B4">
      <w:start w:val="1"/>
      <w:numFmt w:val="decimal"/>
      <w:lvlText w:val="%4."/>
      <w:lvlJc w:val="left"/>
      <w:pPr>
        <w:ind w:left="2880" w:hanging="360"/>
      </w:pPr>
    </w:lvl>
    <w:lvl w:ilvl="4" w:tplc="9FF64D8A">
      <w:start w:val="1"/>
      <w:numFmt w:val="lowerLetter"/>
      <w:lvlText w:val="%5."/>
      <w:lvlJc w:val="left"/>
      <w:pPr>
        <w:ind w:left="3600" w:hanging="360"/>
      </w:pPr>
    </w:lvl>
    <w:lvl w:ilvl="5" w:tplc="3D6E129C">
      <w:start w:val="1"/>
      <w:numFmt w:val="lowerRoman"/>
      <w:lvlText w:val="%6."/>
      <w:lvlJc w:val="right"/>
      <w:pPr>
        <w:ind w:left="4320" w:hanging="180"/>
      </w:pPr>
    </w:lvl>
    <w:lvl w:ilvl="6" w:tplc="3866FDDE">
      <w:start w:val="1"/>
      <w:numFmt w:val="decimal"/>
      <w:lvlText w:val="%7."/>
      <w:lvlJc w:val="left"/>
      <w:pPr>
        <w:ind w:left="5040" w:hanging="360"/>
      </w:pPr>
    </w:lvl>
    <w:lvl w:ilvl="7" w:tplc="C05AD09C">
      <w:start w:val="1"/>
      <w:numFmt w:val="lowerLetter"/>
      <w:lvlText w:val="%8."/>
      <w:lvlJc w:val="left"/>
      <w:pPr>
        <w:ind w:left="5760" w:hanging="360"/>
      </w:pPr>
    </w:lvl>
    <w:lvl w:ilvl="8" w:tplc="6C3EF9DC">
      <w:start w:val="1"/>
      <w:numFmt w:val="lowerRoman"/>
      <w:lvlText w:val="%9."/>
      <w:lvlJc w:val="right"/>
      <w:pPr>
        <w:ind w:left="6480" w:hanging="180"/>
      </w:pPr>
    </w:lvl>
  </w:abstractNum>
  <w:num w:numId="4">
    <w:abstractNumId w:val="3"/>
  </w:num>
  <w:num w:numId="3">
    <w:abstractNumId w:val="2"/>
  </w:num>
  <w:num w:numId="2">
    <w:abstractNumId w:val="1"/>
  </w:num>
  <w:num w:numId="1" w16cid:durableId="50832648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8927C6"/>
    <w:rsid w:val="00311861"/>
    <w:rsid w:val="00317C47"/>
    <w:rsid w:val="00477032"/>
    <w:rsid w:val="00702088"/>
    <w:rsid w:val="00900A8C"/>
    <w:rsid w:val="00C98E82"/>
    <w:rsid w:val="00D579C8"/>
    <w:rsid w:val="00FF4B50"/>
    <w:rsid w:val="0117AD9F"/>
    <w:rsid w:val="011F9B25"/>
    <w:rsid w:val="017D966E"/>
    <w:rsid w:val="01CEA3B0"/>
    <w:rsid w:val="0206CDD0"/>
    <w:rsid w:val="020B8DE8"/>
    <w:rsid w:val="02256CD5"/>
    <w:rsid w:val="02397A93"/>
    <w:rsid w:val="0292133F"/>
    <w:rsid w:val="029E51CB"/>
    <w:rsid w:val="02DC185A"/>
    <w:rsid w:val="03003E72"/>
    <w:rsid w:val="03B48B4E"/>
    <w:rsid w:val="03CE5A5E"/>
    <w:rsid w:val="042B86BB"/>
    <w:rsid w:val="04808340"/>
    <w:rsid w:val="04DF5327"/>
    <w:rsid w:val="04EDF3B0"/>
    <w:rsid w:val="04FD5117"/>
    <w:rsid w:val="05A273DE"/>
    <w:rsid w:val="05AAF556"/>
    <w:rsid w:val="05B30CA5"/>
    <w:rsid w:val="05BFCA20"/>
    <w:rsid w:val="05CC6734"/>
    <w:rsid w:val="05D43D24"/>
    <w:rsid w:val="0689C411"/>
    <w:rsid w:val="06984BB5"/>
    <w:rsid w:val="06A5557D"/>
    <w:rsid w:val="06FDF219"/>
    <w:rsid w:val="070CEBB6"/>
    <w:rsid w:val="074EDD06"/>
    <w:rsid w:val="07610279"/>
    <w:rsid w:val="07700D85"/>
    <w:rsid w:val="078EF9FF"/>
    <w:rsid w:val="07C8F77D"/>
    <w:rsid w:val="081EF725"/>
    <w:rsid w:val="08381F82"/>
    <w:rsid w:val="08762EEF"/>
    <w:rsid w:val="0882368D"/>
    <w:rsid w:val="08A8BC17"/>
    <w:rsid w:val="09186866"/>
    <w:rsid w:val="0975F064"/>
    <w:rsid w:val="099BAC87"/>
    <w:rsid w:val="09D7C8D1"/>
    <w:rsid w:val="0A3592DB"/>
    <w:rsid w:val="0A4B4DF5"/>
    <w:rsid w:val="0A79C7AA"/>
    <w:rsid w:val="0A8927C6"/>
    <w:rsid w:val="0A9E6C84"/>
    <w:rsid w:val="0B6E5596"/>
    <w:rsid w:val="0BD2BBC8"/>
    <w:rsid w:val="0BF51272"/>
    <w:rsid w:val="0C6631BF"/>
    <w:rsid w:val="0C727E0D"/>
    <w:rsid w:val="0CB1A0E9"/>
    <w:rsid w:val="0CB25792"/>
    <w:rsid w:val="0CE0309F"/>
    <w:rsid w:val="0CF26848"/>
    <w:rsid w:val="0D0BCACE"/>
    <w:rsid w:val="0DADD2AF"/>
    <w:rsid w:val="0DC92FB8"/>
    <w:rsid w:val="0DD52147"/>
    <w:rsid w:val="0DE73C8F"/>
    <w:rsid w:val="0E020220"/>
    <w:rsid w:val="0E14B26C"/>
    <w:rsid w:val="0E8C3683"/>
    <w:rsid w:val="0E8C8F5C"/>
    <w:rsid w:val="0EA79B2F"/>
    <w:rsid w:val="0EF27D25"/>
    <w:rsid w:val="0EF5C513"/>
    <w:rsid w:val="0F031B15"/>
    <w:rsid w:val="0F41EAE6"/>
    <w:rsid w:val="0F9C7D62"/>
    <w:rsid w:val="0FA4EB69"/>
    <w:rsid w:val="102FF46A"/>
    <w:rsid w:val="10436B90"/>
    <w:rsid w:val="108E4D86"/>
    <w:rsid w:val="109535F8"/>
    <w:rsid w:val="10E3730D"/>
    <w:rsid w:val="113ABBAA"/>
    <w:rsid w:val="113E0B7E"/>
    <w:rsid w:val="11701DD4"/>
    <w:rsid w:val="11C5C3B5"/>
    <w:rsid w:val="11DF3BF1"/>
    <w:rsid w:val="1215C10B"/>
    <w:rsid w:val="122D64E2"/>
    <w:rsid w:val="12369E39"/>
    <w:rsid w:val="12671610"/>
    <w:rsid w:val="126C4139"/>
    <w:rsid w:val="12B866F3"/>
    <w:rsid w:val="12B99C5E"/>
    <w:rsid w:val="13106DEF"/>
    <w:rsid w:val="1315574F"/>
    <w:rsid w:val="13660420"/>
    <w:rsid w:val="138D5AC2"/>
    <w:rsid w:val="13C5EE48"/>
    <w:rsid w:val="13CAAF18"/>
    <w:rsid w:val="14078193"/>
    <w:rsid w:val="140A252F"/>
    <w:rsid w:val="1417825C"/>
    <w:rsid w:val="142028CD"/>
    <w:rsid w:val="145B3271"/>
    <w:rsid w:val="14989132"/>
    <w:rsid w:val="14F58BB4"/>
    <w:rsid w:val="14FBD0E0"/>
    <w:rsid w:val="150567B3"/>
    <w:rsid w:val="150B2D65"/>
    <w:rsid w:val="15292B23"/>
    <w:rsid w:val="153FAE95"/>
    <w:rsid w:val="154D571C"/>
    <w:rsid w:val="1573C409"/>
    <w:rsid w:val="15A3E23E"/>
    <w:rsid w:val="15EE51C6"/>
    <w:rsid w:val="1682EF98"/>
    <w:rsid w:val="16BD0EF9"/>
    <w:rsid w:val="16D64DF1"/>
    <w:rsid w:val="16DB7EF6"/>
    <w:rsid w:val="171DACFC"/>
    <w:rsid w:val="173FB29F"/>
    <w:rsid w:val="174F231E"/>
    <w:rsid w:val="17CAFD53"/>
    <w:rsid w:val="17D63552"/>
    <w:rsid w:val="17F499EB"/>
    <w:rsid w:val="18130935"/>
    <w:rsid w:val="181E173F"/>
    <w:rsid w:val="183F5EF8"/>
    <w:rsid w:val="187BC327"/>
    <w:rsid w:val="18AD2F21"/>
    <w:rsid w:val="18B413E6"/>
    <w:rsid w:val="18CBED86"/>
    <w:rsid w:val="1959F84F"/>
    <w:rsid w:val="196245C0"/>
    <w:rsid w:val="19959641"/>
    <w:rsid w:val="19BA89B0"/>
    <w:rsid w:val="19DC901F"/>
    <w:rsid w:val="1A1B88C0"/>
    <w:rsid w:val="1A20C83F"/>
    <w:rsid w:val="1A2E0CCF"/>
    <w:rsid w:val="1A3C2561"/>
    <w:rsid w:val="1A554DBE"/>
    <w:rsid w:val="1B0E25F8"/>
    <w:rsid w:val="1B415BAB"/>
    <w:rsid w:val="1B6328CE"/>
    <w:rsid w:val="1BA648F5"/>
    <w:rsid w:val="1BB63323"/>
    <w:rsid w:val="1BB846B8"/>
    <w:rsid w:val="1BDB6103"/>
    <w:rsid w:val="1C985EB9"/>
    <w:rsid w:val="1C9FDC05"/>
    <w:rsid w:val="1CF2311C"/>
    <w:rsid w:val="1E00A959"/>
    <w:rsid w:val="1E193EB2"/>
    <w:rsid w:val="1E1956CB"/>
    <w:rsid w:val="1E211C18"/>
    <w:rsid w:val="1EEEDC8D"/>
    <w:rsid w:val="1EEEF9E3"/>
    <w:rsid w:val="1EF2BF8D"/>
    <w:rsid w:val="1F1C140B"/>
    <w:rsid w:val="1F9138C6"/>
    <w:rsid w:val="1F93F9D4"/>
    <w:rsid w:val="200752FB"/>
    <w:rsid w:val="2028FF5B"/>
    <w:rsid w:val="20569E67"/>
    <w:rsid w:val="205C392B"/>
    <w:rsid w:val="20617CE0"/>
    <w:rsid w:val="20650A07"/>
    <w:rsid w:val="21A92918"/>
    <w:rsid w:val="21C2BF22"/>
    <w:rsid w:val="21E7A204"/>
    <w:rsid w:val="21F8098C"/>
    <w:rsid w:val="2204F38A"/>
    <w:rsid w:val="22733DC1"/>
    <w:rsid w:val="22D2A061"/>
    <w:rsid w:val="22F41EAC"/>
    <w:rsid w:val="22F49D5B"/>
    <w:rsid w:val="234D64E2"/>
    <w:rsid w:val="234D877D"/>
    <w:rsid w:val="235E8F83"/>
    <w:rsid w:val="23649099"/>
    <w:rsid w:val="236C5871"/>
    <w:rsid w:val="23C2E9B5"/>
    <w:rsid w:val="240CAAEC"/>
    <w:rsid w:val="2444AD9F"/>
    <w:rsid w:val="24808D9D"/>
    <w:rsid w:val="252E9B8A"/>
    <w:rsid w:val="256C93EF"/>
    <w:rsid w:val="25AADE83"/>
    <w:rsid w:val="25FBD461"/>
    <w:rsid w:val="26499552"/>
    <w:rsid w:val="26D1DD8B"/>
    <w:rsid w:val="26EF5CB6"/>
    <w:rsid w:val="272D8687"/>
    <w:rsid w:val="27A59A73"/>
    <w:rsid w:val="27B0E483"/>
    <w:rsid w:val="27ECA8BD"/>
    <w:rsid w:val="28457355"/>
    <w:rsid w:val="2884512B"/>
    <w:rsid w:val="28ACAFDB"/>
    <w:rsid w:val="28AFA5E6"/>
    <w:rsid w:val="28DEE3A7"/>
    <w:rsid w:val="2917DF97"/>
    <w:rsid w:val="29416AD4"/>
    <w:rsid w:val="29CAEBFE"/>
    <w:rsid w:val="2A08924E"/>
    <w:rsid w:val="2A62D558"/>
    <w:rsid w:val="2A8F3E46"/>
    <w:rsid w:val="2AAB57C0"/>
    <w:rsid w:val="2AB6C7FC"/>
    <w:rsid w:val="2B171A7B"/>
    <w:rsid w:val="2B1E2357"/>
    <w:rsid w:val="2B25EE2C"/>
    <w:rsid w:val="2B2AAEFC"/>
    <w:rsid w:val="2B592FDF"/>
    <w:rsid w:val="2B5F6CFB"/>
    <w:rsid w:val="2B8CB4DC"/>
    <w:rsid w:val="2BA462AF"/>
    <w:rsid w:val="2BCD5F95"/>
    <w:rsid w:val="2BF2596B"/>
    <w:rsid w:val="2BFEFB4F"/>
    <w:rsid w:val="2C00F7AA"/>
    <w:rsid w:val="2C1E7CA0"/>
    <w:rsid w:val="2C5BD0C4"/>
    <w:rsid w:val="2CEF2C89"/>
    <w:rsid w:val="2D713AD2"/>
    <w:rsid w:val="2D8F2CD6"/>
    <w:rsid w:val="2DF934BC"/>
    <w:rsid w:val="2E14872D"/>
    <w:rsid w:val="2E1BB9BE"/>
    <w:rsid w:val="2E202607"/>
    <w:rsid w:val="2E5FDD5E"/>
    <w:rsid w:val="2E656487"/>
    <w:rsid w:val="2E79F9B4"/>
    <w:rsid w:val="2EE39596"/>
    <w:rsid w:val="2EEE1EB9"/>
    <w:rsid w:val="2F0D4CE6"/>
    <w:rsid w:val="2F800CD6"/>
    <w:rsid w:val="2F8BFE65"/>
    <w:rsid w:val="2F97FB0C"/>
    <w:rsid w:val="2FD32063"/>
    <w:rsid w:val="2FFBADBF"/>
    <w:rsid w:val="301365D3"/>
    <w:rsid w:val="303B9DF8"/>
    <w:rsid w:val="3089EF1A"/>
    <w:rsid w:val="30A96B56"/>
    <w:rsid w:val="30BD9FE2"/>
    <w:rsid w:val="3133CB6D"/>
    <w:rsid w:val="315098DB"/>
    <w:rsid w:val="316EF0C4"/>
    <w:rsid w:val="318FAA4B"/>
    <w:rsid w:val="319C1822"/>
    <w:rsid w:val="319D0549"/>
    <w:rsid w:val="31C76E9C"/>
    <w:rsid w:val="31D96697"/>
    <w:rsid w:val="31F9D096"/>
    <w:rsid w:val="321B3658"/>
    <w:rsid w:val="3244ABF5"/>
    <w:rsid w:val="32999093"/>
    <w:rsid w:val="32B5B7E5"/>
    <w:rsid w:val="32F198C8"/>
    <w:rsid w:val="33076726"/>
    <w:rsid w:val="3371D4D5"/>
    <w:rsid w:val="337323A6"/>
    <w:rsid w:val="33B1EB3D"/>
    <w:rsid w:val="33C7BABB"/>
    <w:rsid w:val="3409A659"/>
    <w:rsid w:val="3466E699"/>
    <w:rsid w:val="34A69186"/>
    <w:rsid w:val="34B30C10"/>
    <w:rsid w:val="3549C3D9"/>
    <w:rsid w:val="3552D71A"/>
    <w:rsid w:val="3577CDC9"/>
    <w:rsid w:val="357956AF"/>
    <w:rsid w:val="35977FE1"/>
    <w:rsid w:val="359A3EBB"/>
    <w:rsid w:val="35D4D904"/>
    <w:rsid w:val="35E46F5E"/>
    <w:rsid w:val="3626C6E7"/>
    <w:rsid w:val="364261E7"/>
    <w:rsid w:val="364EDC71"/>
    <w:rsid w:val="36E3114D"/>
    <w:rsid w:val="36FAE607"/>
    <w:rsid w:val="371261A5"/>
    <w:rsid w:val="372939B7"/>
    <w:rsid w:val="3743AA51"/>
    <w:rsid w:val="3782CFFB"/>
    <w:rsid w:val="3786EEA5"/>
    <w:rsid w:val="37BDD5DB"/>
    <w:rsid w:val="37DE3248"/>
    <w:rsid w:val="3803D52F"/>
    <w:rsid w:val="3807B922"/>
    <w:rsid w:val="382D6C6C"/>
    <w:rsid w:val="389500FF"/>
    <w:rsid w:val="38A599F0"/>
    <w:rsid w:val="38D5B584"/>
    <w:rsid w:val="3994F311"/>
    <w:rsid w:val="39A8FC59"/>
    <w:rsid w:val="3A522F58"/>
    <w:rsid w:val="3A861A0B"/>
    <w:rsid w:val="3A9652F8"/>
    <w:rsid w:val="3B1AEBF8"/>
    <w:rsid w:val="3B224D94"/>
    <w:rsid w:val="3B5A8655"/>
    <w:rsid w:val="3B89B049"/>
    <w:rsid w:val="3C1EA6C2"/>
    <w:rsid w:val="3C4FF2DB"/>
    <w:rsid w:val="3C7787F5"/>
    <w:rsid w:val="3C7DD75D"/>
    <w:rsid w:val="3CABF1B0"/>
    <w:rsid w:val="3CFD4332"/>
    <w:rsid w:val="3D4C8F24"/>
    <w:rsid w:val="3D632C6E"/>
    <w:rsid w:val="3D80BA4E"/>
    <w:rsid w:val="3E0109D2"/>
    <w:rsid w:val="3E32987D"/>
    <w:rsid w:val="3E625FF4"/>
    <w:rsid w:val="3EBE409D"/>
    <w:rsid w:val="3F1E6DEA"/>
    <w:rsid w:val="3F5A5627"/>
    <w:rsid w:val="3F92008A"/>
    <w:rsid w:val="3F9B151A"/>
    <w:rsid w:val="3FA99940"/>
    <w:rsid w:val="3FE33CDC"/>
    <w:rsid w:val="40043495"/>
    <w:rsid w:val="405903EA"/>
    <w:rsid w:val="407CEFD6"/>
    <w:rsid w:val="4096D121"/>
    <w:rsid w:val="4133C538"/>
    <w:rsid w:val="4138AA94"/>
    <w:rsid w:val="419AE5E1"/>
    <w:rsid w:val="419ED973"/>
    <w:rsid w:val="420C051A"/>
    <w:rsid w:val="4231B583"/>
    <w:rsid w:val="426FE0E3"/>
    <w:rsid w:val="43603A6A"/>
    <w:rsid w:val="4399C1D2"/>
    <w:rsid w:val="4441DC63"/>
    <w:rsid w:val="444D55BE"/>
    <w:rsid w:val="4480EEB5"/>
    <w:rsid w:val="4526DEEC"/>
    <w:rsid w:val="45748711"/>
    <w:rsid w:val="45B8096D"/>
    <w:rsid w:val="45BBEA25"/>
    <w:rsid w:val="45BD7324"/>
    <w:rsid w:val="45D711AB"/>
    <w:rsid w:val="45D9F998"/>
    <w:rsid w:val="4618DAC4"/>
    <w:rsid w:val="4665003B"/>
    <w:rsid w:val="46BCF787"/>
    <w:rsid w:val="46D01DA6"/>
    <w:rsid w:val="4716309A"/>
    <w:rsid w:val="47614CF9"/>
    <w:rsid w:val="478EBAB5"/>
    <w:rsid w:val="47A4FFF5"/>
    <w:rsid w:val="47BAD148"/>
    <w:rsid w:val="47DC1901"/>
    <w:rsid w:val="47EB3945"/>
    <w:rsid w:val="47FB1F67"/>
    <w:rsid w:val="480A2765"/>
    <w:rsid w:val="48530E79"/>
    <w:rsid w:val="492A8B16"/>
    <w:rsid w:val="493EF0CB"/>
    <w:rsid w:val="497EEB9C"/>
    <w:rsid w:val="49F49849"/>
    <w:rsid w:val="4AB11DE7"/>
    <w:rsid w:val="4ADEDB1A"/>
    <w:rsid w:val="4B01F3BA"/>
    <w:rsid w:val="4B17950F"/>
    <w:rsid w:val="4B5E83FC"/>
    <w:rsid w:val="4B8531D0"/>
    <w:rsid w:val="4B8983B8"/>
    <w:rsid w:val="4B9068AA"/>
    <w:rsid w:val="4C21A295"/>
    <w:rsid w:val="4C5F097A"/>
    <w:rsid w:val="4C6378D1"/>
    <w:rsid w:val="4CCBFF5B"/>
    <w:rsid w:val="4D424A81"/>
    <w:rsid w:val="4DDAABE2"/>
    <w:rsid w:val="4DFDFC39"/>
    <w:rsid w:val="4DFE053F"/>
    <w:rsid w:val="4E0CD79E"/>
    <w:rsid w:val="4E4FEEBF"/>
    <w:rsid w:val="4EDF625B"/>
    <w:rsid w:val="4F4B3E95"/>
    <w:rsid w:val="4F592294"/>
    <w:rsid w:val="4F82E577"/>
    <w:rsid w:val="4F843E03"/>
    <w:rsid w:val="4FEBBF20"/>
    <w:rsid w:val="5003A01D"/>
    <w:rsid w:val="500704B4"/>
    <w:rsid w:val="505125A7"/>
    <w:rsid w:val="505A827B"/>
    <w:rsid w:val="506EBAE4"/>
    <w:rsid w:val="50ED792F"/>
    <w:rsid w:val="5108FC3D"/>
    <w:rsid w:val="51200E64"/>
    <w:rsid w:val="51249F4A"/>
    <w:rsid w:val="5170C51D"/>
    <w:rsid w:val="518A115F"/>
    <w:rsid w:val="51AFA068"/>
    <w:rsid w:val="51B0AB55"/>
    <w:rsid w:val="51E29155"/>
    <w:rsid w:val="51EE7F07"/>
    <w:rsid w:val="51FAECDE"/>
    <w:rsid w:val="52557681"/>
    <w:rsid w:val="5295C4A0"/>
    <w:rsid w:val="5295C4A0"/>
    <w:rsid w:val="52D16D5C"/>
    <w:rsid w:val="52D48B55"/>
    <w:rsid w:val="52ECE23E"/>
    <w:rsid w:val="53235FE2"/>
    <w:rsid w:val="53394389"/>
    <w:rsid w:val="53771B58"/>
    <w:rsid w:val="537E4BBA"/>
    <w:rsid w:val="53AFF2BF"/>
    <w:rsid w:val="53BABD81"/>
    <w:rsid w:val="53CCCCF6"/>
    <w:rsid w:val="53D9891F"/>
    <w:rsid w:val="53F8930B"/>
    <w:rsid w:val="540CA5B2"/>
    <w:rsid w:val="54268F77"/>
    <w:rsid w:val="542B6834"/>
    <w:rsid w:val="542C93B7"/>
    <w:rsid w:val="54506DB1"/>
    <w:rsid w:val="549FA50A"/>
    <w:rsid w:val="54CE3623"/>
    <w:rsid w:val="54D1819A"/>
    <w:rsid w:val="55568DE2"/>
    <w:rsid w:val="55624DA9"/>
    <w:rsid w:val="55A87613"/>
    <w:rsid w:val="55C2E6AD"/>
    <w:rsid w:val="55F226FB"/>
    <w:rsid w:val="5672A58A"/>
    <w:rsid w:val="5703B848"/>
    <w:rsid w:val="57132C07"/>
    <w:rsid w:val="57F6D105"/>
    <w:rsid w:val="58341066"/>
    <w:rsid w:val="5899EE6B"/>
    <w:rsid w:val="58B65C42"/>
    <w:rsid w:val="58CC042E"/>
    <w:rsid w:val="58DF62B7"/>
    <w:rsid w:val="58F3D5BB"/>
    <w:rsid w:val="59E65CDC"/>
    <w:rsid w:val="5A05FEC3"/>
    <w:rsid w:val="5A8D0131"/>
    <w:rsid w:val="5AB25933"/>
    <w:rsid w:val="5AB5F9B7"/>
    <w:rsid w:val="5AC5981E"/>
    <w:rsid w:val="5B625427"/>
    <w:rsid w:val="5BCD259E"/>
    <w:rsid w:val="5C784FA2"/>
    <w:rsid w:val="5C9C75BA"/>
    <w:rsid w:val="5C9DF7F8"/>
    <w:rsid w:val="5CB0DA79"/>
    <w:rsid w:val="5D25EB24"/>
    <w:rsid w:val="5D8D0999"/>
    <w:rsid w:val="5DAE1E81"/>
    <w:rsid w:val="5DB8E242"/>
    <w:rsid w:val="5DE41083"/>
    <w:rsid w:val="5DED9A79"/>
    <w:rsid w:val="5E01B08D"/>
    <w:rsid w:val="5E0FB568"/>
    <w:rsid w:val="5E7D47A2"/>
    <w:rsid w:val="5E966FFF"/>
    <w:rsid w:val="5F188F5B"/>
    <w:rsid w:val="5F262B72"/>
    <w:rsid w:val="5F37976C"/>
    <w:rsid w:val="5F68BE06"/>
    <w:rsid w:val="5F6E1ADB"/>
    <w:rsid w:val="5F85CA56"/>
    <w:rsid w:val="5F8A32F2"/>
    <w:rsid w:val="600BE214"/>
    <w:rsid w:val="60324060"/>
    <w:rsid w:val="60AE3FFB"/>
    <w:rsid w:val="60B3FB15"/>
    <w:rsid w:val="60E0798F"/>
    <w:rsid w:val="61042E4D"/>
    <w:rsid w:val="6154CFE4"/>
    <w:rsid w:val="619B4630"/>
    <w:rsid w:val="61A53A39"/>
    <w:rsid w:val="61AC9BD5"/>
    <w:rsid w:val="621BE88D"/>
    <w:rsid w:val="623881F1"/>
    <w:rsid w:val="62A441C8"/>
    <w:rsid w:val="62C118BF"/>
    <w:rsid w:val="62CE68C9"/>
    <w:rsid w:val="62FC46BF"/>
    <w:rsid w:val="630EDFFE"/>
    <w:rsid w:val="6318E9AF"/>
    <w:rsid w:val="6323FD68"/>
    <w:rsid w:val="6328DEB8"/>
    <w:rsid w:val="6349A1A1"/>
    <w:rsid w:val="634F6753"/>
    <w:rsid w:val="63500450"/>
    <w:rsid w:val="63931956"/>
    <w:rsid w:val="63D45252"/>
    <w:rsid w:val="640DBB66"/>
    <w:rsid w:val="64181A51"/>
    <w:rsid w:val="6426BE01"/>
    <w:rsid w:val="648AA653"/>
    <w:rsid w:val="654DA18B"/>
    <w:rsid w:val="65555C40"/>
    <w:rsid w:val="655A546E"/>
    <w:rsid w:val="6575B1D3"/>
    <w:rsid w:val="65956CF6"/>
    <w:rsid w:val="659F3466"/>
    <w:rsid w:val="65D644B5"/>
    <w:rsid w:val="669C7F1E"/>
    <w:rsid w:val="66A3B1AF"/>
    <w:rsid w:val="66CC4695"/>
    <w:rsid w:val="66CCCD6A"/>
    <w:rsid w:val="6701F1A5"/>
    <w:rsid w:val="671803E7"/>
    <w:rsid w:val="673007EC"/>
    <w:rsid w:val="674FBB13"/>
    <w:rsid w:val="67C6A395"/>
    <w:rsid w:val="68176433"/>
    <w:rsid w:val="682EBD09"/>
    <w:rsid w:val="6937832F"/>
    <w:rsid w:val="696B9BB4"/>
    <w:rsid w:val="69ABCFB8"/>
    <w:rsid w:val="69E2DF3B"/>
    <w:rsid w:val="6A8273C7"/>
    <w:rsid w:val="6A8FEA89"/>
    <w:rsid w:val="6A9ABC22"/>
    <w:rsid w:val="6B057662"/>
    <w:rsid w:val="6B0AD337"/>
    <w:rsid w:val="6B3E51E6"/>
    <w:rsid w:val="6B76BC21"/>
    <w:rsid w:val="6B797AFB"/>
    <w:rsid w:val="6C754B0F"/>
    <w:rsid w:val="6CA801D3"/>
    <w:rsid w:val="6CCDE3BB"/>
    <w:rsid w:val="6CDA2247"/>
    <w:rsid w:val="6CFA4B17"/>
    <w:rsid w:val="6D39FB59"/>
    <w:rsid w:val="6D3BA006"/>
    <w:rsid w:val="6D85478F"/>
    <w:rsid w:val="6DC78B4B"/>
    <w:rsid w:val="6DCA6969"/>
    <w:rsid w:val="6DFDB3F8"/>
    <w:rsid w:val="6E417BF7"/>
    <w:rsid w:val="6E6C674F"/>
    <w:rsid w:val="6F55B1C2"/>
    <w:rsid w:val="6F64B0CB"/>
    <w:rsid w:val="6FB1BCC1"/>
    <w:rsid w:val="6FC1A16A"/>
    <w:rsid w:val="70165C26"/>
    <w:rsid w:val="704A2D44"/>
    <w:rsid w:val="704CEC1E"/>
    <w:rsid w:val="71135095"/>
    <w:rsid w:val="7122BD0D"/>
    <w:rsid w:val="717A14BB"/>
    <w:rsid w:val="71A154DE"/>
    <w:rsid w:val="71A92360"/>
    <w:rsid w:val="71AACCAD"/>
    <w:rsid w:val="71B86881"/>
    <w:rsid w:val="71BDE1D2"/>
    <w:rsid w:val="71C65E32"/>
    <w:rsid w:val="71E54FAE"/>
    <w:rsid w:val="72259802"/>
    <w:rsid w:val="723C7F25"/>
    <w:rsid w:val="7266DC91"/>
    <w:rsid w:val="72A652A8"/>
    <w:rsid w:val="72BE8D6E"/>
    <w:rsid w:val="72D64487"/>
    <w:rsid w:val="733FD872"/>
    <w:rsid w:val="73497D47"/>
    <w:rsid w:val="7418C6BB"/>
    <w:rsid w:val="74422309"/>
    <w:rsid w:val="745BA9BC"/>
    <w:rsid w:val="74DCBEDE"/>
    <w:rsid w:val="750A9A76"/>
    <w:rsid w:val="75DBF614"/>
    <w:rsid w:val="7609DA6C"/>
    <w:rsid w:val="76740315"/>
    <w:rsid w:val="76857642"/>
    <w:rsid w:val="76862B56"/>
    <w:rsid w:val="768BF108"/>
    <w:rsid w:val="76997A8B"/>
    <w:rsid w:val="76C8687E"/>
    <w:rsid w:val="76FC0525"/>
    <w:rsid w:val="770B7D84"/>
    <w:rsid w:val="772F4A18"/>
    <w:rsid w:val="775E497D"/>
    <w:rsid w:val="776DCC63"/>
    <w:rsid w:val="776FFE9D"/>
    <w:rsid w:val="7795C52E"/>
    <w:rsid w:val="77ACAD47"/>
    <w:rsid w:val="77BF4282"/>
    <w:rsid w:val="77C30935"/>
    <w:rsid w:val="77FF3C87"/>
    <w:rsid w:val="78882901"/>
    <w:rsid w:val="7892984C"/>
    <w:rsid w:val="791545DA"/>
    <w:rsid w:val="79309C11"/>
    <w:rsid w:val="79C1F382"/>
    <w:rsid w:val="79C41B24"/>
    <w:rsid w:val="79D1A990"/>
    <w:rsid w:val="79DE0B99"/>
    <w:rsid w:val="79EAED84"/>
    <w:rsid w:val="7A342992"/>
    <w:rsid w:val="7A431E46"/>
    <w:rsid w:val="7A534E76"/>
    <w:rsid w:val="7B250F9D"/>
    <w:rsid w:val="7B3870E0"/>
    <w:rsid w:val="7B3AAB43"/>
    <w:rsid w:val="7B79DBFA"/>
    <w:rsid w:val="7B940C44"/>
    <w:rsid w:val="7BAED072"/>
    <w:rsid w:val="7BDEEEA7"/>
    <w:rsid w:val="7C7A3402"/>
    <w:rsid w:val="7D7ABF08"/>
    <w:rsid w:val="7DA680A4"/>
    <w:rsid w:val="7DEBDE55"/>
    <w:rsid w:val="7E01BEC4"/>
    <w:rsid w:val="7E158E7A"/>
    <w:rsid w:val="7E4B7316"/>
    <w:rsid w:val="7E9702ED"/>
    <w:rsid w:val="7E9CACAE"/>
    <w:rsid w:val="7EAE2CE8"/>
    <w:rsid w:val="7EAFBAF7"/>
    <w:rsid w:val="7EDC599A"/>
    <w:rsid w:val="7EEE7258"/>
    <w:rsid w:val="7F26A379"/>
    <w:rsid w:val="7F5ECA2C"/>
    <w:rsid w:val="7F6D7523"/>
    <w:rsid w:val="7FC4D603"/>
    <w:rsid w:val="7FECFC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27C6"/>
  <w15:chartTrackingRefBased/>
  <w15:docId w15:val="{1DF6EFFD-C154-4289-9D9D-E002223658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microsoft.com/office/2020/10/relationships/intelligence" Target="intelligence2.xml" Id="rId14" /><Relationship Type="http://schemas.openxmlformats.org/officeDocument/2006/relationships/image" Target="/media/image5.png" Id="R35152124ac0e4d6a" /><Relationship Type="http://schemas.openxmlformats.org/officeDocument/2006/relationships/image" Target="/media/image6.png" Id="Ra8cae1eee3494483" /><Relationship Type="http://schemas.openxmlformats.org/officeDocument/2006/relationships/image" Target="/media/imagea.png" Id="Rd978d018f45f4bac" /><Relationship Type="http://schemas.openxmlformats.org/officeDocument/2006/relationships/image" Target="/media/imageb.png" Id="R8e6bab06dc3642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White, Sydney</dc:creator>
  <keywords/>
  <dc:description/>
  <lastModifiedBy>White, Sydney</lastModifiedBy>
  <revision>6</revision>
  <dcterms:created xsi:type="dcterms:W3CDTF">2022-06-27T18:15:00.0000000Z</dcterms:created>
  <dcterms:modified xsi:type="dcterms:W3CDTF">2022-07-07T15:14:32.1419636Z</dcterms:modified>
</coreProperties>
</file>