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240"/>
        <w:jc w:val="center"/>
      </w:pPr>
      <w:r>
        <w:rPr>
          <w:rFonts w:ascii="Arial" w:cs="Arial" w:eastAsia="Arial" w:hAnsi="Arial"/>
          <w:b/>
          <w:bCs/>
          <w:color w:val="01696F"/>
          <w:sz w:val="36"/>
          <w:szCs w:val="36"/>
          <w:rtl/>
        </w:rPr>
        <w:t xml:space="preserve">הגדרות אי-ביצוע נסיעה וקנסות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i/>
          <w:iCs/>
          <w:color w:val="7A7974"/>
          <w:sz w:val="22"/>
          <w:szCs w:val="22"/>
          <w:rtl/>
        </w:rPr>
        <w:t xml:space="preserve">תחבורה ציבורית באוטובוסים – משרד התחבורה והבטיחות בדרכים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המסמך מסכם את ההגדרות והקנסות (פיצויים מוסכמים) המעוגנים בנספח כ"ו למכרזי הפעלת אוטובוסים ובהסכם ההפעלה הסטנדרטי של הרשות הארצית לתחבורה ציבורית. הסכומים מוצמדים למדד המחירים לצרכן (בסיס: פברואר 2012) ומקוזזים מהסובסידיה למפעיל.</w:t>
      </w:r>
    </w:p>
    <w:p>
      <w:pPr>
        <w:spacing w:after="120"/>
      </w:pPr>
      <w:r>
        <w:t xml:space="preserve"/>
      </w:r>
    </w:p>
    <w:p>
      <w:pPr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1. ההגדרה הרשמית של "אי-ביצוע נסיעה"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לפי סעיף 2.1 לנספח כ"ו, נסיעה תסווג כ"אי-ביצוע" באחד מארבעת המצבים הבאים מתוך מערכת "כל נתון":</w:t>
      </w:r>
    </w:p>
    <w:p>
      <w:pPr>
        <w:spacing w:after="120"/>
      </w:pPr>
      <w:r>
        <w:t xml:space="preserve"/>
      </w:r>
    </w:p>
    <w:tbl>
      <w:tblPr>
        <w:bidiVisual/>
        <w:tblW w:type="pct" w:w="100%"/>
        <w:tblBorders>
          <w:top w:val="single" w:color="D4D1CA" w:sz="4"/>
          <w:left w:val="single" w:color="D4D1CA" w:sz="4"/>
          <w:bottom w:val="single" w:color="D4D1CA" w:sz="4"/>
          <w:right w:val="single" w:color="D4D1CA" w:sz="4"/>
          <w:insideH w:val="single" w:color="D4D1CA" w:sz="4"/>
          <w:insideV w:val="single" w:color="D4D1C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סעיף</w:t>
            </w:r>
          </w:p>
        </w:tc>
        <w:tc>
          <w:tcPr>
            <w:tcW w:type="pct" w:w="22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סוג ההפרה</w:t>
            </w:r>
          </w:p>
        </w:tc>
        <w:tc>
          <w:tcPr>
            <w:tcW w:type="pct" w:w="68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ההגדרה הרשמית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2.1.1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אי-יציאה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נסיעה שלא תופיע במערכת "כל נתון" כיציאה מתחנת מוצא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2.1.2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איחור חמור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יציאה מתחנת המוצא באיחור שמעל 20 דקות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2.1.3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הקדמה חמורה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יציאה מתחנת המוצא בהקדמה של 10 דקות ומעלה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2.1.4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חפיפת נסיעות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הגיע זמן היציאה של הנסיעה העוקבת ברישיון לפני שיצאה הנוכחית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8251D"/>
          <w:sz w:val="22"/>
          <w:szCs w:val="22"/>
          <w:rtl/>
        </w:rPr>
        <w:t xml:space="preserve">הגדרות נלוות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אי דיוק – איחור: יציאה מהמוצא באיחור של 10 דקות או יותר אחרי השעה ברישיון (סעיף 2.5.1)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אי דיוק – הקדמה: יציאה מהמוצא בהקדמה של 2 דקות ומעלה (סעיף 2.5.2)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נסיעה לא תדירה: נסיעה שהנסיעה הבאה אחריה ברישוי היא בטווח של 59 דקות או יותר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קו בתדירות נמוכה: קו שביום נתון 100% מנסיעותיו לכיוון מסוים הן בתדירות 59 דקות ומעלה</w:t>
      </w:r>
    </w:p>
    <w:p>
      <w:pPr>
        <w:spacing w:after="120"/>
      </w:pPr>
      <w:r>
        <w:t xml:space="preserve"/>
      </w:r>
    </w:p>
    <w:p>
      <w:pPr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2. ספי רמת שירות מינימלית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לפי סעיף 4.9 להסכם ההפעלה, חריגה בממוצע במהלך שתי תקופות בקרה עוקבות מהמדדים הבאים נחשבת חריגה מרמת שירות:</w:t>
      </w:r>
    </w:p>
    <w:p>
      <w:pPr>
        <w:spacing w:after="120"/>
      </w:pPr>
      <w:r>
        <w:t xml:space="preserve"/>
      </w:r>
    </w:p>
    <w:tbl>
      <w:tblPr>
        <w:bidiVisual/>
        <w:tblW w:type="pct" w:w="100%"/>
        <w:tblBorders>
          <w:top w:val="single" w:color="D4D1CA" w:sz="4"/>
          <w:left w:val="single" w:color="D4D1CA" w:sz="4"/>
          <w:bottom w:val="single" w:color="D4D1CA" w:sz="4"/>
          <w:right w:val="single" w:color="D4D1CA" w:sz="4"/>
          <w:insideH w:val="single" w:color="D4D1CA" w:sz="4"/>
          <w:insideV w:val="single" w:color="D4D1C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מדד</w:t>
            </w:r>
          </w:p>
        </w:tc>
        <w:tc>
          <w:tcPr>
            <w:tcW w:type="pct" w:w="18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סף</w:t>
            </w:r>
          </w:p>
        </w:tc>
        <w:tc>
          <w:tcPr>
            <w:tcW w:type="pct" w:w="57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משמעות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שיעור אי ביצוע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מעל 2.1%</w:t>
            </w:r>
          </w:p>
        </w:tc>
        <w:tc>
          <w:tcPr>
            <w:tcW w:type="pct" w:w="5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חריגה מרמת שירות מינימלית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שיעור אי דיוק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מעל 4.5%</w:t>
            </w:r>
          </w:p>
        </w:tc>
        <w:tc>
          <w:tcPr>
            <w:tcW w:type="pct" w:w="5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חריגה מרמת שירות מינימלית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שיעור אי ביצוע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מעל 2.5%</w:t>
            </w:r>
          </w:p>
        </w:tc>
        <w:tc>
          <w:tcPr>
            <w:tcW w:type="pct" w:w="5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הפרה יסודית – זכות הממשלה לבטל ההסכם ולהעביר קווים</w:t>
            </w:r>
          </w:p>
        </w:tc>
      </w:tr>
      <w:tr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שיעור איחורים/הקדמות</w:t>
            </w:r>
          </w:p>
        </w:tc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מעל 6%</w:t>
            </w:r>
          </w:p>
        </w:tc>
        <w:tc>
          <w:tcPr>
            <w:tcW w:type="pct" w:w="57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הפרה יסודית – זכות הממשלה לבטל ההסכם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3. קנסות אי-ביצוע נסיעה – בקרה אלקטרונית</w:t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8251D"/>
          <w:sz w:val="22"/>
          <w:szCs w:val="22"/>
          <w:rtl/>
        </w:rPr>
        <w:t xml:space="preserve">3.1 קנס מדורג לפי שיעור אי-ביצוע יומי באשכול</w:t>
      </w:r>
    </w:p>
    <w:tbl>
      <w:tblPr>
        <w:bidiVisual/>
        <w:tblW w:type="pct" w:w="100%"/>
        <w:tblBorders>
          <w:top w:val="single" w:color="D4D1CA" w:sz="4"/>
          <w:left w:val="single" w:color="D4D1CA" w:sz="4"/>
          <w:bottom w:val="single" w:color="D4D1CA" w:sz="4"/>
          <w:right w:val="single" w:color="D4D1CA" w:sz="4"/>
          <w:insideH w:val="single" w:color="D4D1CA" w:sz="4"/>
          <w:insideV w:val="single" w:color="D4D1C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שיעור אי-ביצוע מ-</w:t>
            </w:r>
          </w:p>
        </w:tc>
        <w:tc>
          <w:tcPr>
            <w:tcW w:type="pct" w:w="33.333333333333336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עד-</w:t>
            </w:r>
          </w:p>
        </w:tc>
        <w:tc>
          <w:tcPr>
            <w:tcW w:type="pct" w:w="33.333333333333336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פיצוי מוסכם לכל הפרה (₪)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1.0%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1.0%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1.5%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63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1.5%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2.5%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93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2.5%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3.0%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118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3.0%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3.5%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143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3.5%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100%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173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8251D"/>
          <w:sz w:val="22"/>
          <w:szCs w:val="22"/>
          <w:rtl/>
        </w:rPr>
        <w:t xml:space="preserve">3.2 קנסות קבועים – אי-ביצוע</w:t>
      </w:r>
    </w:p>
    <w:tbl>
      <w:tblPr>
        <w:bidiVisual/>
        <w:tblW w:type="pct" w:w="100%"/>
        <w:tblBorders>
          <w:top w:val="single" w:color="D4D1CA" w:sz="4"/>
          <w:left w:val="single" w:color="D4D1CA" w:sz="4"/>
          <w:bottom w:val="single" w:color="D4D1CA" w:sz="4"/>
          <w:right w:val="single" w:color="D4D1CA" w:sz="4"/>
          <w:insideH w:val="single" w:color="D4D1CA" w:sz="4"/>
          <w:insideV w:val="single" w:color="D4D1C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סעיף</w:t>
            </w:r>
          </w:p>
        </w:tc>
        <w:tc>
          <w:tcPr>
            <w:tcW w:type="pct" w:w="60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ההפרה</w:t>
            </w:r>
          </w:p>
        </w:tc>
        <w:tc>
          <w:tcPr>
            <w:tcW w:type="pct" w:w="30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פיצוי (₪)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2.2</w:t>
            </w:r>
          </w:p>
        </w:tc>
        <w:tc>
          <w:tcPr>
            <w:tcW w:type="pct" w:w="6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 ביצוע יומי בקו רגיל מעל 4.5%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5,000 ליום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2.3</w:t>
            </w:r>
          </w:p>
        </w:tc>
        <w:tc>
          <w:tcPr>
            <w:tcW w:type="pct" w:w="6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 ביצוע של נסיעה לא תדירה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5,000 לאירוע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2.3</w:t>
            </w:r>
          </w:p>
        </w:tc>
        <w:tc>
          <w:tcPr>
            <w:tcW w:type="pct" w:w="6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 עצירה בתחנה בנסיעה לא תדירה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1,000 לאירוע (עד 5,000 לנסיעה)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2.4</w:t>
            </w:r>
          </w:p>
        </w:tc>
        <w:tc>
          <w:tcPr>
            <w:tcW w:type="pct" w:w="6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 ביצוע של נסיעה אחרונה ביום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5,000 לאירוע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8251D"/>
          <w:sz w:val="22"/>
          <w:szCs w:val="22"/>
          <w:rtl/>
        </w:rPr>
        <w:t xml:space="preserve">3.3 איחור (חריגה מלוח זמנים מעל 10 דקות) – מדורג לפי שיעור חודשי</w:t>
      </w:r>
    </w:p>
    <w:tbl>
      <w:tblPr>
        <w:bidiVisual/>
        <w:tblW w:type="pct" w:w="100%"/>
        <w:tblBorders>
          <w:top w:val="single" w:color="D4D1CA" w:sz="4"/>
          <w:left w:val="single" w:color="D4D1CA" w:sz="4"/>
          <w:bottom w:val="single" w:color="D4D1CA" w:sz="4"/>
          <w:right w:val="single" w:color="D4D1CA" w:sz="4"/>
          <w:insideH w:val="single" w:color="D4D1CA" w:sz="4"/>
          <w:insideV w:val="single" w:color="D4D1C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שיעור איחור מ-</w:t>
            </w:r>
          </w:p>
        </w:tc>
        <w:tc>
          <w:tcPr>
            <w:tcW w:type="pct" w:w="33.333333333333336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עד-</w:t>
            </w:r>
          </w:p>
        </w:tc>
        <w:tc>
          <w:tcPr>
            <w:tcW w:type="pct" w:w="33.333333333333336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פיצוי לכל הפרה (₪)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1.0%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1.0%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1.5%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53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1.5%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2.0%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73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2.0%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3.0%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108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3.0%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4.0%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143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4.0%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100%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173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8251D"/>
          <w:sz w:val="22"/>
          <w:szCs w:val="22"/>
          <w:rtl/>
        </w:rPr>
        <w:t xml:space="preserve">3.4 הקדמה (מ-2 דקות ומעלה) – מדורגת לפי שיעור חודשי</w:t>
      </w:r>
    </w:p>
    <w:tbl>
      <w:tblPr>
        <w:bidiVisual/>
        <w:tblW w:type="pct" w:w="100%"/>
        <w:tblBorders>
          <w:top w:val="single" w:color="D4D1CA" w:sz="4"/>
          <w:left w:val="single" w:color="D4D1CA" w:sz="4"/>
          <w:bottom w:val="single" w:color="D4D1CA" w:sz="4"/>
          <w:right w:val="single" w:color="D4D1CA" w:sz="4"/>
          <w:insideH w:val="single" w:color="D4D1CA" w:sz="4"/>
          <w:insideV w:val="single" w:color="D4D1C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שיעור הקדמה מ-</w:t>
            </w:r>
          </w:p>
        </w:tc>
        <w:tc>
          <w:tcPr>
            <w:tcW w:type="pct" w:w="33.333333333333336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עד-</w:t>
            </w:r>
          </w:p>
        </w:tc>
        <w:tc>
          <w:tcPr>
            <w:tcW w:type="pct" w:w="33.333333333333336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פיצוי לכל הפרה (₪)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0.5%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0.5%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0.6%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73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0.6%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0.7%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83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0.7%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0.8%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98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0.8%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0.9%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108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0.9%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1.0%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118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1.0%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1.1%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133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1.1%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100%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143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8251D"/>
          <w:sz w:val="22"/>
          <w:szCs w:val="22"/>
          <w:rtl/>
        </w:rPr>
        <w:t xml:space="preserve">3.5 פיצוי מוגדל בחריגה מרמת שירות מינימלית (סעיף 25.6)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עבור כל 0.1% חריגה מעל הסף, מעבר לפיצוי הרגיל: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מדד אי ביצוע – פיצוי מוגדל בסך 130,000 ₪ לתקופת בקרה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מדד אי דיוק – פיצוי מוגדל בסך 43,000 ₪ לתקופת בקרה</w:t>
      </w:r>
    </w:p>
    <w:p>
      <w:pPr>
        <w:spacing w:after="120"/>
      </w:pPr>
      <w:r>
        <w:t xml:space="preserve"/>
      </w:r>
    </w:p>
    <w:p>
      <w:pPr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4. קנסות בבקרה מדגמית (כאשר אין בקרה אלקטרונית)</w:t>
      </w:r>
    </w:p>
    <w:tbl>
      <w:tblPr>
        <w:bidiVisual/>
        <w:tblW w:type="pct" w:w="100%"/>
        <w:tblBorders>
          <w:top w:val="single" w:color="D4D1CA" w:sz="4"/>
          <w:left w:val="single" w:color="D4D1CA" w:sz="4"/>
          <w:bottom w:val="single" w:color="D4D1CA" w:sz="4"/>
          <w:right w:val="single" w:color="D4D1CA" w:sz="4"/>
          <w:insideH w:val="single" w:color="D4D1CA" w:sz="4"/>
          <w:insideV w:val="single" w:color="D4D1C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נושא</w:t>
            </w:r>
          </w:p>
        </w:tc>
        <w:tc>
          <w:tcPr>
            <w:tcW w:type="pct" w:w="52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ההפרה</w:t>
            </w:r>
          </w:p>
        </w:tc>
        <w:tc>
          <w:tcPr>
            <w:tcW w:type="pct" w:w="30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פיצוי (₪)</w:t>
            </w:r>
          </w:p>
        </w:tc>
      </w:tr>
      <w:tr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לוח זמנים</w:t>
            </w:r>
          </w:p>
        </w:tc>
        <w:tc>
          <w:tcPr>
            <w:tcW w:type="pct" w:w="5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אי-ביצוע נסיעה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2,000 לאירוע</w:t>
            </w:r>
          </w:p>
        </w:tc>
      </w:tr>
      <w:tr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לוח זמנים</w:t>
            </w:r>
          </w:p>
        </w:tc>
        <w:tc>
          <w:tcPr>
            <w:tcW w:type="pct" w:w="5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 ביצוע נסיעה לא תדירה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10,000 לאירוע</w:t>
            </w:r>
          </w:p>
        </w:tc>
      </w:tr>
      <w:tr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לוח זמנים</w:t>
            </w:r>
          </w:p>
        </w:tc>
        <w:tc>
          <w:tcPr>
            <w:tcW w:type="pct" w:w="5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אי-ביצוע נסיעה בקו הזנה לרכבת/קו לילה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2,500 לאירוע</w:t>
            </w:r>
          </w:p>
        </w:tc>
      </w:tr>
      <w:tr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לוח זמנים</w:t>
            </w:r>
          </w:p>
        </w:tc>
        <w:tc>
          <w:tcPr>
            <w:tcW w:type="pct" w:w="5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חריגה מלו"ז – איחור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500 לאירוע</w:t>
            </w:r>
          </w:p>
        </w:tc>
      </w:tr>
      <w:tr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לוח זמנים</w:t>
            </w:r>
          </w:p>
        </w:tc>
        <w:tc>
          <w:tcPr>
            <w:tcW w:type="pct" w:w="5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הקדמה בקו הזנה לרכבת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750 לאירוע</w:t>
            </w:r>
          </w:p>
        </w:tc>
      </w:tr>
      <w:tr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אוטובוס</w:t>
            </w:r>
          </w:p>
        </w:tc>
        <w:tc>
          <w:tcPr>
            <w:tcW w:type="pct" w:w="5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שימוש באוטובוס לא מאושר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2,000 לאירוע</w:t>
            </w:r>
          </w:p>
        </w:tc>
      </w:tr>
      <w:tr>
        <w:tc>
          <w:tcPr>
            <w:tcW w:type="pct" w:w="1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אוטובוס</w:t>
            </w:r>
          </w:p>
        </w:tc>
        <w:tc>
          <w:tcPr>
            <w:tcW w:type="pct" w:w="5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אוטובוס שאינו מותאם לסוג הקו</w:t>
            </w:r>
          </w:p>
        </w:tc>
        <w:tc>
          <w:tcPr>
            <w:tcW w:type="pct" w:w="3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2,000 לאירוע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5. קנסות נוספים – חריגות שירות אחרות</w:t>
      </w:r>
    </w:p>
    <w:tbl>
      <w:tblPr>
        <w:bidiVisual/>
        <w:tblW w:type="pct" w:w="100%"/>
        <w:tblBorders>
          <w:top w:val="single" w:color="D4D1CA" w:sz="4"/>
          <w:left w:val="single" w:color="D4D1CA" w:sz="4"/>
          <w:bottom w:val="single" w:color="D4D1CA" w:sz="4"/>
          <w:right w:val="single" w:color="D4D1CA" w:sz="4"/>
          <w:insideH w:val="single" w:color="D4D1CA" w:sz="4"/>
          <w:insideV w:val="single" w:color="D4D1CA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קטגוריה</w:t>
            </w:r>
          </w:p>
        </w:tc>
        <w:tc>
          <w:tcPr>
            <w:tcW w:type="pct" w:w="50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ההפרה</w:t>
            </w:r>
          </w:p>
        </w:tc>
        <w:tc>
          <w:tcPr>
            <w:tcW w:type="pct" w:w="15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פיצוי (₪)</w:t>
            </w:r>
          </w:p>
        </w:tc>
        <w:tc>
          <w:tcPr>
            <w:tcW w:type="pct" w:w="20%"/>
            <w:shd w:fill="0169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כפולה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לאורך מסלול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 עצירה בתחנה ברישיון הקו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לאורך מסלול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ביצוע נסיעה שלא לפי תנאי הרישיון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לאורך מסלול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הורדה/העלאת נוסעים שלא בתחנה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500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לאורך מסלול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נהיגה לא זהירה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750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נגישות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 סיוע/אי העלאת נוסע בעל מוגבלות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10,000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אוטובוס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שילוט קו לא תקין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250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אוטובוס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אוטובוס מלוכלך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500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אוטובוס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רמת תחזוקה לא נאותה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אוטובוס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פרסום במיקום אסור / בניגוד להנחיות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2,500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מקדמי מילוי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הסעת נוסעים מעל המוגדר (צפיפות)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מקדמי מילוי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 הוספת נסיעת תגבור בשל אוטובוס מלא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מקדמי מילוי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 איסוף נוסעים בתחנות באמצע מסלול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כרטוס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העדר אמצעי כרטוס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כרטוס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טעינת פרופיל זכאי בניגוד להנחיות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10,000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כרטוס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הפקעת מחיר או הנחה לא חוקית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5,000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כרטוס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מכונת כרטוס/תיקוף מושבתת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כרטוס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עמדת טעינה שאינה תקינה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5,000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לעמדה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מידע לציבור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שילוט סטטי לא עדכני בתחנה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מידע לציבור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 פרסום מידע / מידע לא עדכני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פניות ציבור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הפעלת המערכת לטיפול בפניות שלא לפי תנאי ההליך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3,000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פניות ציבור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שיבוש נתוני המקור של מערכת פניות הציבור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20,000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פניות ציבור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אי-עמידה ב-SLA פניות הציבור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יום איחור לפניה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פניות ציבור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עמדת "על הקו" לא פעילה בשעות הנדרשות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5,000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דיווחים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 דיווח לממשלה או דיווח חסר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10,000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חודש פיגור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הוראות המפקח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עבירה על תקנות התעבורה – חובות בעל הרישיון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הוראות המפקח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עבירה על תקנות התעבורה – חובות הנהג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הוראות המפקח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 מילוי הוראות המפקח על התעבורה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10,000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הוראות המפקח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חריגה מהנהלים שקבע המפקח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5,000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הוראות המפקח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הפרת הוראה אחרת בהסכם ההפעלה ונספחיו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5,000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אירוע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ספירת נוסעים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אי התקנה והפעלה של מערכת ספירות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1,500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חודש לאוטובוס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טכנולוגיה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ירידה בזמינות מערכת מתחת ל-99%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5,000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8251D"/>
                <w:sz w:val="20"/>
                <w:szCs w:val="20"/>
                <w:rtl/>
              </w:rPr>
              <w:t xml:space="preserve">מדידה שנתית</w:t>
            </w:r>
          </w:p>
        </w:tc>
      </w:tr>
    </w:tbl>
    <w:p>
      <w:pPr>
        <w:spacing w:after="120"/>
      </w:pPr>
      <w:r>
        <w:t xml:space="preserve"/>
      </w:r>
    </w:p>
    <w:p>
      <w:pPr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6. תוספת בגין תלונות ציבור (סעיף 2.9)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מעבר לקנס בבקרה האלקטרונית, על כל אירוע מאומת מתלונת ציבור משולמת תוספת: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איחור או הקדמה – 150 ₪ נוספים לאירוע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אי-ביצוע – 200 ₪ נוספים לאירוע</w:t>
      </w:r>
    </w:p>
    <w:p>
      <w:pPr>
        <w:bidi/>
        <w:spacing w:after="80"/>
        <w:jc w:val="right"/>
      </w:pPr>
      <w:r>
        <w:rPr>
          <w:rFonts w:ascii="Arial" w:cs="Arial" w:eastAsia="Arial" w:hAnsi="Arial"/>
          <w:i/>
          <w:iCs/>
          <w:color w:val="28251D"/>
          <w:sz w:val="22"/>
          <w:szCs w:val="22"/>
          <w:rtl/>
        </w:rPr>
        <w:t xml:space="preserve">הערה: רק תלונת ציבור אחת מוכרת לכל אירוע (מניעת כפל פיצוי).</w:t>
      </w:r>
    </w:p>
    <w:p>
      <w:pPr>
        <w:spacing w:after="120"/>
      </w:pPr>
      <w:r>
        <w:t xml:space="preserve"/>
      </w:r>
    </w:p>
    <w:p>
      <w:pPr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7. עקרונות מרכזיים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הצמדה למדד: כל הסכומים מוצמדים למדד המחירים לצרכן בכל ינואר. מדד הבסיס: פברואר 2012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הכפלה בשנה אחרונה: בשנת ההפעלה האחרונה של ההסכם – כל סכומי הפיצויים מוכפלים (סעיף 6)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קיזוז מסובסידיה: הקנסות מקוזזים מתשלומי הסובסידיה למפעיל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ערעור: 21 יום למפעיל לערער למפקח הארצי על התעבורה. החלטתו סופית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חריגי כוח עליון: לא יוטל קנס באישור "יומן אירועים" של המשרד או קריסת מערכות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מקור הבדיקה: דוחות פקחים, תלונות, מערכת "כל נתון", כרטוס חכם, נצ"ר</w:t>
      </w:r>
    </w:p>
    <w:p>
      <w:pPr>
        <w:spacing w:after="120"/>
      </w:pPr>
      <w:r>
        <w:t xml:space="preserve"/>
      </w:r>
    </w:p>
    <w:p>
      <w:pPr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8. היקפים בפועל (דוח מבקר המדינה 72א)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לפי דוח מבקר המדינה 72א (2021), אגד שילמה בקנסות: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2016: כ-3 מיליון ₪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2019 (שיא): כ-21.6 מיליון ₪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2020: ירידה משמעותית עקב הקורונה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העלייה ב-2019 נובעת ממעבר מבקרה מדגמית של 3% לבקרה אלקטרונית מלאה על 100% מהנסיעות מינואר 2019.</w:t>
      </w:r>
    </w:p>
    <w:p>
      <w:pPr>
        <w:spacing w:after="120"/>
      </w:pPr>
      <w:r>
        <w:t xml:space="preserve"/>
      </w:r>
    </w:p>
    <w:p>
      <w:pPr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01696F"/>
          <w:sz w:val="28"/>
          <w:szCs w:val="28"/>
          <w:rtl/>
        </w:rPr>
        <w:t xml:space="preserve">9. מקורות רשמיים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• </w:t>
      </w:r>
      <w:hyperlink w:history="1" r:id="rIdsg35oo2fl7trbo8suwsma">
        <w:r>
          <w:rPr>
            <w:rFonts w:ascii="Arial" w:cs="Arial" w:eastAsia="Arial" w:hAnsi="Arial"/>
            <w:color w:val="01696F"/>
            <w:sz w:val="22"/>
            <w:szCs w:val="22"/>
            <w:u w:val="single"/>
            <w:rtl/>
          </w:rPr>
          <w:t xml:space="preserve">נספח כ"ו – פיצויים מוסכמים (משרד התחבורה)</w:t>
        </w:r>
      </w:hyperlink>
    </w:p>
    <w:p>
      <w:p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• </w:t>
      </w:r>
      <w:hyperlink w:history="1" r:id="rIdeiuzw_o0qsq9a7npsh_lm">
        <w:r>
          <w:rPr>
            <w:rFonts w:ascii="Arial" w:cs="Arial" w:eastAsia="Arial" w:hAnsi="Arial"/>
            <w:color w:val="01696F"/>
            <w:sz w:val="22"/>
            <w:szCs w:val="22"/>
            <w:u w:val="single"/>
            <w:rtl/>
          </w:rPr>
          <w:t xml:space="preserve">הסכמים להפעלת קווי שירות – Gov.il</w:t>
        </w:r>
      </w:hyperlink>
    </w:p>
    <w:p>
      <w:p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• </w:t>
      </w:r>
      <w:hyperlink w:history="1" r:id="rIdyb6leymffugmthaiheuis">
        <w:r>
          <w:rPr>
            <w:rFonts w:ascii="Arial" w:cs="Arial" w:eastAsia="Arial" w:hAnsi="Arial"/>
            <w:color w:val="01696F"/>
            <w:sz w:val="22"/>
            <w:szCs w:val="22"/>
            <w:u w:val="single"/>
            <w:rtl/>
          </w:rPr>
          <w:t xml:space="preserve">הסכם הפעלה סטנדרטי – מינהל הרכש הממשלתי</w:t>
        </w:r>
      </w:hyperlink>
    </w:p>
    <w:p>
      <w:p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• </w:t>
      </w:r>
      <w:hyperlink w:history="1" r:id="rIdthmuq_k_5zaninciu9j6_">
        <w:r>
          <w:rPr>
            <w:rFonts w:ascii="Arial" w:cs="Arial" w:eastAsia="Arial" w:hAnsi="Arial"/>
            <w:color w:val="01696F"/>
            <w:sz w:val="22"/>
            <w:szCs w:val="22"/>
            <w:u w:val="single"/>
            <w:rtl/>
          </w:rPr>
          <w:t xml:space="preserve">דוח מבקר המדינה 72א – הסכם ההפעלה עם אגד (2021)</w:t>
        </w:r>
      </w:hyperlink>
    </w:p>
    <w:p>
      <w:p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• </w:t>
      </w:r>
      <w:hyperlink w:history="1" r:id="rId0det2jrawasljjasgx_lp">
        <w:r>
          <w:rPr>
            <w:rFonts w:ascii="Arial" w:cs="Arial" w:eastAsia="Arial" w:hAnsi="Arial"/>
            <w:color w:val="01696F"/>
            <w:sz w:val="22"/>
            <w:szCs w:val="22"/>
            <w:u w:val="single"/>
            <w:rtl/>
          </w:rPr>
          <w:t xml:space="preserve">מסמך מרכז המחקר והמידע של הכנסת – רמת שירות בתח"צ (2024)</w:t>
        </w:r>
      </w:hyperlink>
    </w:p>
    <w:p>
      <w:p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• </w:t>
      </w:r>
      <w:hyperlink w:history="1" r:id="rIdqg1ip33esuf2srzco5k3n">
        <w:r>
          <w:rPr>
            <w:rFonts w:ascii="Arial" w:cs="Arial" w:eastAsia="Arial" w:hAnsi="Arial"/>
            <w:color w:val="01696F"/>
            <w:sz w:val="22"/>
            <w:szCs w:val="22"/>
            <w:u w:val="single"/>
            <w:rtl/>
          </w:rPr>
          <w:t xml:space="preserve">נוהל רישוי קווי תח"צ באוטובוסים</w:t>
        </w:r>
      </w:hyperlink>
    </w:p>
    <w:p>
      <w:pPr>
        <w:bidi/>
        <w:spacing w:after="60"/>
        <w:jc w:val="right"/>
      </w:pPr>
      <w:r>
        <w:rPr>
          <w:rFonts w:ascii="Arial" w:cs="Arial" w:eastAsia="Arial" w:hAnsi="Arial"/>
          <w:color w:val="28251D"/>
          <w:sz w:val="22"/>
          <w:szCs w:val="22"/>
          <w:rtl/>
        </w:rPr>
        <w:t xml:space="preserve">• </w:t>
      </w:r>
      <w:hyperlink w:history="1" r:id="rIdsya88sqiypn6tw1zs-so7">
        <w:r>
          <w:rPr>
            <w:rFonts w:ascii="Arial" w:cs="Arial" w:eastAsia="Arial" w:hAnsi="Arial"/>
            <w:color w:val="01696F"/>
            <w:sz w:val="22"/>
            <w:szCs w:val="22"/>
            <w:u w:val="single"/>
            <w:rtl/>
          </w:rPr>
          <w:t xml:space="preserve">בנק מדדים לתחבורה ציבורית</w:t>
        </w:r>
      </w:hyperlink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g35oo2fl7trbo8suwsma" Type="http://schemas.openxmlformats.org/officeDocument/2006/relationships/hyperlink" Target="https://www.gov.il/BlobFolder/rfp/22_18/he/Appendix%20of%20Compensated%20Compensation.pdf" TargetMode="External"/><Relationship Id="rIdeiuzw_o0qsq9a7npsh_lm" Type="http://schemas.openxmlformats.org/officeDocument/2006/relationships/hyperlink" Target="https://www.gov.il/he/departments/dynamiccollectors/agreements-for-operating-service-lines-in-public-transportation" TargetMode="External"/><Relationship Id="rIdyb6leymffugmthaiheuis" Type="http://schemas.openxmlformats.org/officeDocument/2006/relationships/hyperlink" Target="https://mr.gov.il/ilgstorefront/he/p/attachment/005056BF65EB1EDD8ECDB21BA894C13B/%D7%A0%D7%A1%D7%A4%D7%97%20%D7%9C%D7%9E%D7%9B%D7%A8%D7%96" TargetMode="External"/><Relationship Id="rIdthmuq_k_5zaninciu9j6_" Type="http://schemas.openxmlformats.org/officeDocument/2006/relationships/hyperlink" Target="https://library.mevaker.gov.il/sites/DigitalLibrary/Documents/2021/72A-2/2021-72A-Part2-204-Egged.pdf" TargetMode="External"/><Relationship Id="rId0det2jrawasljjasgx_lp" Type="http://schemas.openxmlformats.org/officeDocument/2006/relationships/hyperlink" Target="https://fs.knesset.gov.il/globaldocs/MMM/cb689fc3-58cb-f011-a865-005056aa9911/2_cb689fc3-58cb-f011-a865-005056aa9911_11_21130.pdf" TargetMode="External"/><Relationship Id="rIdqg1ip33esuf2srzco5k3n" Type="http://schemas.openxmlformats.org/officeDocument/2006/relationships/hyperlink" Target="https://www.gov.il/BlobFolder/policy/procedure_for_licensing_public_bus_lines/he/%D7%A0%D7%95%D7%94%D7%9C%20%D7%A8%D7%99%D7%A9%D7%95%D7%99%20%D7%A7%D7%95%D7%95%D7%99%20%D7%AA%D7%97%D7%91%D7%95%D7%A8%D7%94%20%D7%A6%D7%99%D7%91%D7%95%D7%A8%D7%99%D7%AA%20%D7%91%D7%90%D7%95%D7%98%D7%95%D7%91%D7%95%D7%A1%D7%99%D7%9D%2001082019.pdf" TargetMode="External"/><Relationship Id="rIdsya88sqiypn6tw1zs-so7" Type="http://schemas.openxmlformats.org/officeDocument/2006/relationships/hyperlink" Target="https://www.gov.il/BlobFolder/generalpage/mot_medadim/he/magar%20maddim%20v2.pdf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2026-05-19T02:35:58.961Z</dcterms:created>
  <dcterms:modified xsi:type="dcterms:W3CDTF">2026-05-19T02:35:58.961Z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