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920" w:lineRule="auto"/>
        <w:jc w:val="center"/>
        <w:rPr/>
      </w:pPr>
      <w:r w:rsidDel="00000000" w:rsidR="00000000" w:rsidRPr="00000000">
        <w:rPr>
          <w:b w:val="1"/>
          <w:bCs w:val="1"/>
          <w:color w:val="c58a22"/>
          <w:sz w:val="36"/>
          <w:szCs w:val="36"/>
          <w:rtl w:val="0"/>
        </w:rPr>
        <w:t xml:space="preserve">JK LIFESTYLE DIGITAL ECOSYSTEM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60" w:lineRule="auto"/>
        <w:jc w:val="center"/>
        <w:rPr/>
      </w:pPr>
      <w:r>
        <w:t>Technical Architecture, Execution Roadmap &amp; Costing Plan</w:t>
      </w:r>
    </w:p>
    <w:p w:rsidR="00000000" w:rsidDel="00000000" w:rsidP="00000000" w:rsidRDefault="00000000" w:rsidRPr="00000000" w14:paraId="00000003">
      <w:pPr>
        <w:spacing w:after="60" w:before="240" w:lineRule="auto"/>
        <w:jc w:val="center"/>
        <w:rPr/>
      </w:pPr>
      <w:r>
        <w:t>Website  |  Super App  |  Enterprise Platform (ERP)  |  Clinical  |  Data, Events &amp; AI</w:t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024.0" w:type="dxa"/>
        <w:jc w:val="center"/>
        <w:tblLayout w:type="fixed"/>
        <w:tblLook w:val="0400"/>
      </w:tblPr>
      <w:tblGrid>
        <w:gridCol w:w="7512"/>
        <w:gridCol w:w="7512"/>
        <w:tblGridChange w:id="0">
          <w:tblGrid>
            <w:gridCol w:w="7512"/>
            <w:gridCol w:w="7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JK Lifestyle Ltd. (Group Management Office)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Prepared 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CTO / Technical Architect board proposal and execution baseline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JK Lifestyle Technical Development Plan,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Planning 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24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eaf1f7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Budget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BDT (Bangladeshi Taka)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60" w:before="360" w:lineRule="auto"/>
        <w:jc w:val="center"/>
        <w:rPr/>
      </w:pPr>
      <w:r w:rsidDel="00000000" w:rsidR="00000000" w:rsidRPr="00000000">
        <w:rPr>
          <w:i w:val="1"/>
          <w:iCs w:val="1"/>
          <w:color w:val="5f6b76"/>
          <w:sz w:val="18"/>
          <w:szCs w:val="18"/>
          <w:rtl w:val="0"/>
        </w:rPr>
        <w:t xml:space="preserve">Budget status: planning baseline, not a vendor quotation. Approval should follow HR salary validation, cloud sizing, license choice and supplier quotations.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6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tbl>
      <w:tblPr>
        <w:tblStyle w:val="Table2"/>
        <w:tblW w:w="15024.0" w:type="dxa"/>
        <w:jc w:val="center"/>
        <w:tblLayout w:type="autofit"/>
        <w:tblLook w:val="0400"/>
      </w:tblPr>
      <w:tblGrid>
        <w:gridCol w:w="15024"/>
        <w:tblGridChange w:id="0">
          <w:tblGrid>
            <w:gridCol w:w="150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b25e" w:space="0" w:sz="4" w:val="single"/>
              <w:left w:color="d6b25e" w:space="0" w:sz="4" w:val="single"/>
              <w:bottom w:color="d6b25e" w:space="0" w:sz="4" w:val="single"/>
              <w:right w:color="d6b25e" w:space="0" w:sz="4" w:val="single"/>
            </w:tcBorders>
            <w:shd w:fill="eaf1f7" w:val="clear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Architectural baseline. The program is designed as one shared digital ecosystem rather than separate applications. A shared JK ID, API Gateway and cross-cutting control plane sit above two deliberately separated enterprise cores: Odoo Community as the commercial/financial system of record, and a custom JK ERP/Clinical platform for differentiated clinical, workforce and operational workflows. Odoo Community processes Product, Inventory/Warehouse, Procurement, POS, outlet sales, online/e-commerce sales, customer invoicing and Accounting. The custom ERP/Clinical platform owns Doctor Profile, Patient/Appointment workflow, OPD/EMR, Care Plan, Clinical Billing workflow, ARM, Attendance and Payroll calculation. Financial outcomes from custom workflows are posted to Odoo through controlled APIs/events so there is only one financial ledger. The architecture remains modular/bounded-domain, event-enabled where useful, and preserves clean seams for later service extraction.</w:t>
            </w:r>
          </w:p>
        </w:tc>
      </w:tr>
    </w:tbl>
    <w:p w:rsidR="00000000" w:rsidDel="00000000" w:rsidP="00000000" w:rsidRDefault="00000000" w:rsidRPr="00000000" w14:paraId="00000013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50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8"/>
        <w:gridCol w:w="5008"/>
        <w:gridCol w:w="5008"/>
        <w:tblGridChange w:id="0">
          <w:tblGrid>
            <w:gridCol w:w="5008"/>
            <w:gridCol w:w="5008"/>
            <w:gridCol w:w="50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Base Planning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Program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24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Overlapping phase delivery; two-week sprint cadence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Build-team 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~14 active technical FTE at 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Ramp up by phase; no separate PO, Data/AI, ML or moderator headcount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24-month development &amp; specialist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BDT 26.9M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Loaded in-house cost plus outsourced Odoo/UIUX support; consolidated roles absorbed by Tech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Cloud / platform run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BDT 10.0M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Gradually increases with App, media and AI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Other delivery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BDT 11.5M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AI/API, SaaS, security, equipment, migration/training, recruitment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Base spend before contingency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BDT 48.4M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Cash plan for approved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Contingency 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BDT 5.8M (12%)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Held centrally; released only through change/risk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Total planning envelope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BDT 54.3M (~5.43 crore)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Recommended approval ceiling for the 24-month baseline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5024.0" w:type="dxa"/>
        <w:jc w:val="center"/>
        <w:tblLayout w:type="fixed"/>
        <w:tblLook w:val="0400"/>
      </w:tblPr>
      <w:tblGrid>
        <w:gridCol w:w="15024"/>
        <w:tblGridChange w:id="0">
          <w:tblGrid>
            <w:gridCol w:w="150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b25e" w:space="0" w:sz="4" w:val="single"/>
              <w:left w:color="d6b25e" w:space="0" w:sz="4" w:val="single"/>
              <w:bottom w:color="d6b25e" w:space="0" w:sz="4" w:val="single"/>
              <w:right w:color="d6b25e" w:space="0" w:sz="4" w:val="single"/>
            </w:tcBorders>
            <w:shd w:fill="fff3d6" w:val="clear"/>
          </w:tcPr>
          <w:p>
            <w:r>
              <w:t>Important exclusions. Payment/MFS transaction charges are treated as business transaction costs tied to GMV and are not included in the project envelope. The ERP baseline now assumes Odoo Community (open-source), so no Odoo Enterprise license fee is included. Any paid hosting, third-party Odoo add-ons, implementation/support subscription, taxes/VAT, or unusually high video/AI consumption should be budgeted separately if applicable.</w:t>
            </w:r>
          </w:p>
        </w:tc>
      </w:tr>
    </w:tbl>
    <w:p w:rsidR="00000000" w:rsidDel="00000000" w:rsidP="00000000" w:rsidRDefault="00000000" w:rsidRPr="00000000" w14:paraId="0000003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60" w:lineRule="auto"/>
        <w:rPr/>
      </w:pPr>
      <w:r w:rsidDel="00000000" w:rsidR="00000000" w:rsidRPr="00000000">
        <w:rPr>
          <w:rtl w:val="0"/>
        </w:rPr>
        <w:t xml:space="preserve">2. Planning Assumptions &amp; Guardrails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3" w:right="0" w:hanging="142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Target design scale: 11 outlets initially, 500-700 daily patients, 5,000 peak concurrent users and 50,000+ registered online customers in Year 1. Infrastructure is sized progressively, not pre-purchased for full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3" w:right="0" w:hanging="142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JK Tech is treated as having no pre-existing engineering bench at project start; recruitment is therefore on the critical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3" w:right="0" w:hanging="142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>
        <w:t>•  Odoo Community is the commercial/financial source of truth for Product, Inventory/Warehouse, Procurement, POS, outlet and online/e-commerce sales, customer invoices and Accounting. Custom JK ERP/Clinical owns Doctor, Appointment, OPD/EMR, Care Plan, Clinical Billing, ARM, Attendance and Payroll workflows; integration is API/event based.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3" w:right="0" w:hanging="142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No big-bang migration. Odoo/Excel/POS/website/clinical migrations use staging rehearsal, parallel run, reconciliation and outlet/module-by-module cut-over.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3" w:right="0" w:hanging="142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Two-week sprints are mandatory. Every sprint ends with a demo and targeted UAT; each major go-live requires regression, performance, security and business acceptance gates.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3" w:right="0" w:hanging="142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>
        <w:t>•  Identity, custom ERP/Clinical and DevOps remain in-house. Odoo specialist work may be outsourced with knowledge transfer; Product Owner, Data/AI, ML/AI and Community Moderation remain consolidated under the Tech Lead / Architect in this budget.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3" w:right="0" w:hanging="142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>
        <w:t>•  Cloud and third-party budgets are reviewed monthly with alerts at 70%, 85% and 100% of the approved envelope.</w:t>
      </w:r>
    </w:p>
    <w:p w:rsidR="00000000" w:rsidDel="00000000" w:rsidP="00000000" w:rsidRDefault="00000000" w:rsidRPr="00000000" w14:paraId="0000003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/>
      <w:r w:rsidDel="00000000" w:rsidR="00000000" w:rsidRPr="00000000">
        <w:rPr>
          <w:rtl w:val="0"/>
        </w:rPr>
      </w:r>
    </w:p>
    <w:p>
      <w:pPr>
        <w:pStyle w:val="Heading1"/>
        <w:keepNext/>
        <w:pageBreakBefore w:val="0"/>
      </w:pPr>
      <w:r>
        <w:t>3. System Architecture &amp; Technical Design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fill="EEF3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Architecture objective. Build one coherent digital operating platform with explicit ownership boundaries, a shared identity/control plane, API-first integration and event capture from day one. The design prioritizes business continuity, maintainability, health-data protection and future service extraction without paying day-one microservice operational cost.</w:t>
            </w:r>
          </w:p>
        </w:tc>
      </w:tr>
    </w:tbl>
    <w:p>
      <w:pPr>
        <w:pStyle w:val="Heading2"/>
      </w:pPr>
      <w:r>
        <w:t>3.1 Architecture decisions &amp; guardrails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rPr>
          <w:tblHeader w:val="true"/>
        </w:trP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Choice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Technical rationale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Architecture style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Modular monolith / bounded domains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5-6 domain-aligned modules/services; extract only when scaling, compliance or workload isolation requires it.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ERP strategy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Hybrid: Odoo Community + Custom ERP/Clinical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Odoo Community owns commercial/financial processing (Product, Inventory/Warehouse, Procurement, POS, outlet and online/e-commerce sales, customer invoices and Accounting). Custom JK ERP/Clinical owns Doctor/Patient, Appointment, OPD/EMR, Care Plan, Clinical Billing workflow, ARM, Attendance and Payroll calculation.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Cloud posture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Hybrid-leaning-cloud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Managed cloud for applications/data, with local resilience for clinical/outlet continuity where internet dependence is unacceptable.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Integration model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API-first + domain events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No direct cross-domain database access; synchronous APIs for commands/queries, events for decoupled downstream reactions.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Identity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One JK ID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 single party identity can hold Customer, Patient, Member, Employee or Vendor roles without duplicate customer records.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Migration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Parallel run, no big bang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Rehearse in staging, shadow/parallel run, reconcile, preserve rollback and cut over outlet/module by module.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Delivery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Continuous UAT + gated releases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Two-week sprints, demos, targeted UAT, security/performance/DR evidence before major go-live.</w:t>
            </w:r>
          </w:p>
        </w:tc>
      </w:tr>
    </w:tbl>
    <w:p>
      <w:pPr>
        <w:pStyle w:val="Heading2"/>
      </w:pPr>
      <w:r>
        <w:t>3.2 Layered system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rPr>
          <w:tblHeader w:val="true"/>
        </w:trP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Primary components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Experience / Channel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Super Website; Super App; Staff Apps; Custom ERP/Clinical Console; Odoo Community POS/Admin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Customer, workforce, clinical and commercial operations interfaces. Website/App remain JK-owned experiences; Odoo processes commercial transactions behind controlled adapters/APIs.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Shared Foundation / Control Plane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JK ID/SSO; API Gateway; RBAC; Consent; Notification; CMS; Search; Payment; Loyalty; Audit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Central identity, policy enforcement, common communications and cross-platform governance.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Business Domains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Commercial/Financial ERP (Odoo); Clinical/Care; HR/ARM/Workforce; Membership/Fitness; Community/Education; Data/AI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Bounded contexts with explicit ownership. Odoo is authoritative for commercial/financial records; custom domains own differentiated operational workflows.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Data, Events &amp; Intelligence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PostgreSQL; Redis; RabbitMQ; Object Storage/CDN; Warehouse; AI/ML services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Operational persistence, cache/session, asynchronous events, media, analytics and model workloads.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Integration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Payment/MFS; SMS/Email/WhatsApp; Health Connect/HealthKit; wearable APIs/BLE; Sinbad; biometric/lab devices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Adapters isolate external providers and Odoo integration contracts from custom domain logic, preserving replaceability and controlled coupling.</w:t>
            </w:r>
          </w:p>
        </w:tc>
      </w:tr>
    </w:tbl>
    <w:p>
      <w:pPr>
        <w:spacing w:after="60"/>
        <w:ind w:left="288" w:hanging="173"/>
      </w:pPr>
      <w:r>
        <w:t>•  Boundary rule: each domain owns its data; other domains consume APIs or events, never shared tables.</w:t>
      </w:r>
    </w:p>
    <w:p>
      <w:pPr>
        <w:spacing w:after="60"/>
        <w:ind w:left="288" w:hanging="173"/>
      </w:pPr>
      <w:r>
        <w:t>•  Evolution rule: Clinical and AI/Food Recognition are the first likely candidates for independent service extraction because of health-data isolation and inference workloads.</w:t>
      </w:r>
    </w:p>
    <w:p>
      <w:pPr>
        <w:spacing w:after="60"/>
        <w:ind w:left="288" w:hanging="173"/>
      </w:pPr>
      <w:r>
        <w:t>•  Data rule: events required for alerts, analytics and future prediction are captured from day one; historical data cannot be retrofitted later.</w:t>
      </w:r>
    </w:p>
    <w:p>
      <w:pPr>
        <w:spacing w:after="60"/>
        <w:ind w:left="288" w:hanging="173"/>
      </w:pPr>
      <w:r>
        <w:t>•  Migration rule: no production cutover without rehearsal, reconciliation, rollback and business-owner sign-off.</w:t>
      </w:r>
    </w:p>
    <w:p>
      <w:pPr>
        <w:pStyle w:val="Heading2"/>
      </w:pPr>
      <w:r>
        <w:t>3.3 Domain ownership &amp; ERP boundary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rPr>
          <w:tblHeader w:val="true"/>
        </w:trP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System of record / ownership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Identity &amp; Shared Platform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Custom / JK Tech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JK ID, authentication, RBAC, consent, notification, audit, API gateway, integration contracts and identity mapping to Odoo customer/partner records.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Commercial &amp; Financial ERP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Odoo Community + JK Tech integration boundary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Product, Inventory/Warehouse, Procurement, POS, outlet sales, online/e-commerce sales processing, customer invoices, payment/reconciliation and Accounting/ledger.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Clinical &amp; Care Plan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Custom / JK Tech + Clinical SME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Doctor Profile, Patient, Appointment request/process, OPD, EMR, consent, Care Plan authoring, tasks, alerts and clinician workflow.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HR / ARM / Workforce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Custom / JK Tech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ARM, employee/workforce data, Attendance and Payroll calculation/approval workflow. Approved financial summaries post to Odoo Finance.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Digital Commerce Experience &amp; Booking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Custom channels + Odoo transaction engine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Next.js Website/Super App own UX, discovery, cart/checkout orchestration and non-commercial bookings; Odoo processes product sales/orders, stock and financial transaction records.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Membership / Fitness / CRM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Custom / JK Tech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Membership lifecycle, classes, profile and CRM/Customer 360 read model over shared JK ID and cross-system references.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Community / Education / Franchise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Custom / JK Tech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Community feed, moderation console, LMS/video, franchise/distribution and field-operation workflows.</w:t>
            </w:r>
          </w:p>
        </w:tc>
      </w:tr>
      <w:tr>
        <w:tc>
          <w:tcPr>
            <w:tcW w:type="dxa" w:w="5008"/>
          </w:tcPr>
          <w:p>
            <w:r>
              <w:t>Data / BI / AI</w:t>
            </w:r>
          </w:p>
        </w:tc>
        <w:tc>
          <w:tcPr>
            <w:tcW w:type="dxa" w:w="5008"/>
          </w:tcPr>
          <w:p>
            <w:r>
              <w:t>Custom / JK Tech</w:t>
            </w:r>
          </w:p>
        </w:tc>
        <w:tc>
          <w:tcPr>
            <w:tcW w:type="dxa" w:w="5008"/>
          </w:tcPr>
          <w:p>
            <w:r>
              <w:t>Event capture, warehouse, dashboards, adherence analysis and future model-serving layer; consumes Odoo and custom-domain events/read models, not direct shared tables.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fill="EEF3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ERP boundary. Odoo Community is a core commercial/financial application, not a generic shared database. It is the system of record for products/stock, POS and sales transactions, customer financial invoices, payments/reconciliation and the accounting ledger. The custom JK ERP/Clinical platform owns clinical and workforce context. A clinical invoice is created/approved in the custom Clinical workflow, then posted to Odoo for accounting/payment/ledger; approved payroll results follow the same rule. Website and Super App remain JK-owned experiences but route e-commerce transaction processing to Odoo through an adapter/API. No custom service writes directly to Odoo tables; integrations use supported APIs/contracts/events and carry idempotency/correlation identifiers.</w:t>
            </w:r>
          </w:p>
        </w:tc>
      </w:tr>
    </w:tbl>
    <w:p>
      <w:pPr>
        <w:pStyle w:val="Heading2"/>
      </w:pPr>
      <w:r>
        <w:t>3.4 Identity &amp; data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rPr>
          <w:tblHeader w:val="true"/>
        </w:trP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Primary consumers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party (JK ID)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Identity root: name, contact, authentication identity and consent linkage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All channels and custom domains; mapped to Odoo partner/customer reference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party_role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Customer / Patient / Member / Employee / Vendor role linkage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CRM, Clinical, Membership, HR/ARM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odoo_product / lot / stock reference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Odoo-owned product, batch/lot, warehouse and stock movement identifiers exposed through adapter/read models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Website/App catalogue read model, fulfillment, traceability, reporting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appointment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Patient, doctor, request/status, schedule, location and service context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Custom ERP/Clinical, App/Website booking, notifications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care_plan / target / task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Plan versions, typed targets and daily/weekly tasks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Clinical authoring, App planner, alerts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device_reading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Time-series glucose, weight, BP, steps, sleep, source and timestamp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App, Alert Engine, Warehouse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clinical_bill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Clinical services, professional/service context, approval status and Odoo invoice reference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Custom Clinical workflow; Odoo financial posting/payment</w:t>
            </w:r>
          </w:p>
        </w:tc>
      </w:tr>
      <w:tr>
        <w:tc>
          <w:tcPr>
            <w:tcW w:type="dxa" w:w="5008"/>
          </w:tcPr>
          <w:p>
            <w:r>
              <w:t>attendance / payroll_run</w:t>
            </w:r>
          </w:p>
        </w:tc>
        <w:tc>
          <w:tcPr>
            <w:tcW w:type="dxa" w:w="5008"/>
          </w:tcPr>
          <w:p>
            <w:r>
              <w:t>Attendance inputs, payroll calculation, approval status and Odoo journal/payable reference</w:t>
            </w:r>
          </w:p>
        </w:tc>
        <w:tc>
          <w:tcPr>
            <w:tcW w:type="dxa" w:w="5008"/>
          </w:tcPr>
          <w:p>
            <w:r>
              <w:t>Custom HR/ARM/Payroll; Odoo Finance</w:t>
            </w:r>
          </w:p>
        </w:tc>
      </w:tr>
      <w:tr>
        <w:tc>
          <w:tcPr>
            <w:tcW w:type="dxa" w:w="5008"/>
          </w:tcPr>
          <w:p>
            <w:r>
              <w:t>commercial_order reference</w:t>
            </w:r>
          </w:p>
        </w:tc>
        <w:tc>
          <w:tcPr>
            <w:tcW w:type="dxa" w:w="5008"/>
          </w:tcPr>
          <w:p>
            <w:r>
              <w:t>Odoo sales/POS/e-commerce order ID, channel, customer mapping and fulfillment/payment status</w:t>
            </w:r>
          </w:p>
        </w:tc>
        <w:tc>
          <w:tcPr>
            <w:tcW w:type="dxa" w:w="5008"/>
          </w:tcPr>
          <w:p>
            <w:r>
              <w:t>Website/App read models, CRM, analytics, support</w:t>
            </w:r>
          </w:p>
        </w:tc>
      </w:tr>
    </w:tbl>
    <w:p>
      <w:pPr>
        <w:spacing w:after="60"/>
        <w:ind w:left="288" w:hanging="173"/>
      </w:pPr>
      <w:r>
        <w:t>•  Traceability: product_batch links origin → stock ledger movements → final order line, supporting FEFO and Farm/Outlet/Customer traceability.</w:t>
      </w:r>
    </w:p>
    <w:p>
      <w:pPr>
        <w:spacing w:after="60"/>
        <w:ind w:left="288" w:hanging="173"/>
      </w:pPr>
      <w:r>
        <w:t>•  Care Plan extensibility: targets use metric_code + value + unit rather than fixed columns, so new clinical metrics do not require repeated schema migrations.</w:t>
      </w:r>
    </w:p>
    <w:p>
      <w:pPr>
        <w:spacing w:after="60"/>
        <w:ind w:left="288" w:hanging="173"/>
      </w:pPr>
      <w:r>
        <w:t>•  CRM/Customer 360 is a read model over the shared JK ID and role relationships, not a second master customer table.</w:t>
      </w:r>
    </w:p>
    <w:p>
      <w:pPr>
        <w:pStyle w:val="Heading2"/>
      </w:pPr>
      <w:r>
        <w:t>3.5 Integration, offline sync &amp; real-time event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rPr>
          <w:tblHeader w:val="true"/>
        </w:trP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Control / behavior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Offline POS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Odoo POS native/offline session capability + controlled synchronization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Use Odoo Community POS as the transaction engine. Validate target-version offline behavior, browser/device cache, reconnect and payment constraints during pilot; do not build a second custom POS ledger unless the gap analysis proves it necessary.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Stock conflict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Odoo authoritative stock moves + reconciliation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Odoo remains authoritative for stock/reservation/movement. Custom apps consume stock availability via APIs/read models and never overwrite stock tables. Reconnect conflicts and duplicate submissions use transaction IDs/idempotency plus reconciliation reports.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Cash/shift close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Odoo POS session/payment reconciliation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Outlet cash/session close and payment records reconcile in Odoo. Network recovery, duplicate-order prevention and stock/payment reconciliation are explicit pilot acceptance tests.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Wearables / CGM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Health Connect + HealthKit first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Direct vendor API or BLE where required; manual entry always remains available via the same backend endpoint.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Event backbone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RabbitMQ first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Single ingestion path can feed Alert Engine, notifications and Warehouse; Kafka only if proven event volume justifies it.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Notifications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FCM/APNs + WebSocket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Domain events trigger mobile push; WebSocket supports OPD queue and live manager dashboards.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Reliability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Idempotency + retry + trace IDs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Repeat-safe processing, correlation IDs and observable retry behavior for offline and vendor-failure scenarios.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Community feed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Hybrid consistency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Immediate consistency for a user's own write; ranked feed re-scored asynchronously.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fill="EEF3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Clinical alert flow. Dangerous reading → Alert Engine rule → patient notification and clinician task in parallel → clinician acknowledgement SLA → escalation to on-call supervisor when unacknowledged. The platform provides reliable delivery and an audit trail; it is monitoring infrastructure, not an emergency-response replacement.</w:t>
            </w:r>
          </w:p>
        </w:tc>
      </w:tr>
    </w:tbl>
    <w:p>
      <w:pPr>
        <w:pStyle w:val="Heading2"/>
      </w:pPr>
      <w:r>
        <w:t>3.6 Security, privacy &amp; resilience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Control area</w:t>
            </w:r>
          </w:p>
        </w:tc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RBAC scoped by Concern, Location and Function; enforced at gateway/service boundary, not only in UI.</w:t>
            </w:r>
          </w:p>
        </w:tc>
      </w:tr>
      <w:tr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Authentication</w:t>
            </w:r>
          </w:p>
        </w:tc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Mandatory 2FA for staff/admin; OTP-based consumer/patient login to reduce onboarding friction.</w:t>
            </w:r>
          </w:p>
        </w:tc>
      </w:tr>
      <w:tr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Encryption</w:t>
            </w:r>
          </w:p>
        </w:tc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TLS in transit, encryption at rest, plus field-level encryption for sensitive EMR/device/Care Plan fields.</w:t>
            </w:r>
          </w:p>
        </w:tc>
      </w:tr>
      <w:tr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Audit</w:t>
            </w:r>
          </w:p>
        </w:tc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Sensitive health-data access logged on reads as well as writes; correlation/trace IDs retained for investigations.</w:t>
            </w:r>
          </w:p>
        </w:tc>
      </w:tr>
      <w:tr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Consent</w:t>
            </w:r>
          </w:p>
        </w:tc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Explicit, revocable consent records govern device sharing, community use and analytics/AI processing.</w:t>
            </w:r>
          </w:p>
        </w:tc>
      </w:tr>
      <w:tr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Application security</w:t>
            </w:r>
          </w:p>
        </w:tc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Dependency scanning, SAST and OWASP controls in CI; independent VAPT before major go-lives and annually thereafter.</w:t>
            </w:r>
          </w:p>
        </w:tc>
      </w:tr>
      <w:tr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Backup / DR</w:t>
            </w:r>
          </w:p>
        </w:tc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Automated backups, restore tests and module-specific RTO/RPO; DR rehearsal before major public releases.</w:t>
            </w:r>
          </w:p>
        </w:tc>
      </w:tr>
      <w:tr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Local resilience</w:t>
            </w:r>
          </w:p>
        </w:tc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Secured VPN and optional local edge/cache at Dhaka flagship; other outlets use offline-first POS with background sync.</w:t>
            </w:r>
          </w:p>
        </w:tc>
      </w:tr>
      <w:tr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Observability</w:t>
            </w:r>
          </w:p>
        </w:tc>
        <w:tc>
          <w:tcPr>
            <w:tcW w:type="dxa" w:w="7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Structured logs, trace IDs, metrics, SLO dashboards, vulnerability backlog and monthly cloud/cost review.</w:t>
            </w:r>
          </w:p>
        </w:tc>
      </w:tr>
    </w:tbl>
    <w:p>
      <w:pPr>
        <w:pStyle w:val="Heading2"/>
      </w:pPr>
      <w:r>
        <w:t>3.7 Technology platform &amp; DevOps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rPr>
          <w:tblHeader w:val="true"/>
        </w:trP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Choice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Reason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Web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Next.js (React) + TypeScript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SSR/SEO, reusable component library, broad hiring pool.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Mobile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Flutter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Single Android/iOS codebase, offline store, BLE/device ecosystem.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Backend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Node.js / NestJS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Strong modular boundaries, TypeScript contracts and API-first service design.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AI / data services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Python / FastAPI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ML/data-science ecosystem and model-serving path.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ERP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Odoo Community (open-source baseline)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Commercial/financial core: Product, Inventory/Warehouse, Procurement, POS, outlet + online/e-commerce sales, customer invoicing, payment/reconciliation and Accounting.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Primary DB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Managed PostgreSQL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ACID for finance/clinical and JSONB for controlled semi-structured targets.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Cache/session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Redis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Session, rate limiting, cache and selected queue/state use cases.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Events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RabbitMQ → Kafka only if justified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Operationally simpler at current scale; future throughput path remains open.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Search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PostgreSQL FTS → OpenSearch when needed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Avoid search-cluster operational cost before catalogue/community volume requires it.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Object/media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S3-compatible object storage + CDN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Food/progress images and education media with compression/lifecycle policies.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Runtime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Managed Kubernetes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Dev/Staging/Prod parity, horizontal scaling and workload isolation.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CI/CD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GitHub Actions + Argo CD (or equivalent)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Traceable commit-to-deployment pipeline with gated production promotion.</w:t>
            </w:r>
          </w:p>
        </w:tc>
      </w:tr>
    </w:tbl>
    <w:p>
      <w:pPr>
        <w:pStyle w:val="Heading2"/>
      </w:pPr>
      <w:r>
        <w:t>3.8 Data &amp; AI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rPr>
          <w:tblHeader w:val="true"/>
        </w:trP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Pipeline step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Architecture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Governance / control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1. Capture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Food photo, user correction, device reading, adherence outcome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Write consent/data-lineage metadata with the event.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2. Recognize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Third-party food-recognition API + locally curated Bangladeshi nutrition data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Buy phase accelerates launch while local data remains JK-owned.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3. Human confirm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Confidence score + correction when below threshold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Manual correction is a first-class product path and safety control.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4. Store &amp; label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Consented events land in warehouse/training dataset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Corrections become labeled examples; preserve source and model/version lineage.</w:t>
            </w:r>
          </w:p>
        </w:tc>
      </w:tr>
      <w:tr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5. Build decision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Local model POC after sufficient labeled data exists</w:t>
            </w:r>
          </w:p>
        </w:tc>
        <w:tc>
          <w:tcPr>
            <w:tcW w:type="dxa" w:w="50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Compare quality, latency and cost before shifting inference in-house.</w:t>
            </w:r>
          </w:p>
        </w:tc>
      </w:tr>
    </w:tbl>
    <w:p>
      <w:pPr>
        <w:spacing w:after="60"/>
        <w:ind w:left="288" w:hanging="173"/>
      </w:pPr>
      <w:r>
        <w:t>•  Indicative Phase-2 quality target: &gt;=80% correct dish identification with an approximate ±20% macro/portion estimate target; always expose confidence and confirmation when uncertain.</w:t>
      </w:r>
    </w:p>
    <w:p>
      <w:pPr>
        <w:spacing w:after="60"/>
        <w:ind w:left="288" w:hanging="173"/>
      </w:pPr>
      <w:r>
        <w:t>•  Inference cost control: cache common/repeated meals and batch non-urgent recognition rather than paying synchronous vendor cost for every photo.</w:t>
      </w:r>
    </w:p>
    <w:p>
      <w:pPr>
        <w:spacing w:after="60"/>
        <w:ind w:left="288" w:hanging="173"/>
      </w:pPr>
      <w:r>
        <w:t>•  Warehouse prerequisites: event capture, stable metric_code conventions, consent tagging and data lineage are established before predictive models depend on them.</w:t>
      </w:r>
    </w:p>
    <w:p>
      <w:pPr>
        <w:pStyle w:val="Heading2"/>
      </w:pPr>
      <w:r>
        <w:t>3.9 Key end-to-end system flows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F4E79"/>
          </w:tcPr>
          <w:p>
            <w:pPr>
              <w:keepNext w:val="0"/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Flow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F4E79"/>
          </w:tcPr>
          <w:p>
            <w:pPr>
              <w:keepNext w:val="0"/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F4E79"/>
          </w:tcPr>
          <w:p>
            <w:pPr>
              <w:keepNext w:val="0"/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Architecture intent</w:t>
            </w:r>
          </w:p>
        </w:tc>
      </w:tr>
      <w:tr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Care Plan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Clinician Console → Clinical Service → PostgreSQL → domain event → App Care Plan API → patient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Clinical remains the authoring source of truth; the App consumes a stable API contract rather than reading clinical tables.</w:t>
            </w:r>
          </w:p>
        </w:tc>
      </w:tr>
      <w:tr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Meal / AI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Super App → Object Storage → recognition API/local nutrition → user confirmation → event → warehouse/adherence → clinician dashboard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Separate media, inference and analytics paths; corrections become labeled data with consent and lineage.</w:t>
            </w:r>
          </w:p>
        </w:tc>
      </w:tr>
      <w:tr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Online / e-commerce sale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Website/Super App → API Gateway / Odoo Adapter → Odoo Sales/e-commerce transaction → payment → Odoo stock/financial posting → domain events/read models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JK owns the customer experience; Odoo Community owns the commercial transaction, inventory impact and financial record.</w:t>
            </w:r>
          </w:p>
        </w:tc>
      </w:tr>
      <w:tr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Outlet / POS sale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Odoo POS → Odoo sales/inventory/accounting → integration events/read models → CRM/BI/support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One POS/commercial source of truth; custom systems consume results rather than duplicating sale or stock ledgers.</w:t>
            </w:r>
          </w:p>
        </w:tc>
      </w:tr>
      <w:tr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Clinical invoice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Custom ERP/Clinical → clinical services/bill approval → integration → Odoo customer invoice/payment/accounting reference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Custom Clinical owns medical/service context; Odoo owns the financial invoice, payment/reconciliation and ledger.</w:t>
            </w:r>
          </w:p>
        </w:tc>
      </w:tr>
      <w:tr>
        <w:tc>
          <w:tcPr>
            <w:tcW w:type="dxa" w:w="5008"/>
          </w:tcPr>
          <w:p>
            <w:r>
              <w:t>Payroll</w:t>
            </w:r>
          </w:p>
        </w:tc>
        <w:tc>
          <w:tcPr>
            <w:tcW w:type="dxa" w:w="5008"/>
          </w:tcPr>
          <w:p>
            <w:r>
              <w:t>Custom ERP Attendance/Payroll → payroll approval → integration → Odoo Finance journal/payable/ledger reference</w:t>
            </w:r>
          </w:p>
        </w:tc>
        <w:tc>
          <w:tcPr>
            <w:tcW w:type="dxa" w:w="5008"/>
          </w:tcPr>
          <w:p>
            <w:r>
              <w:t>Custom ERP owns attendance and payroll calculation; Odoo owns the final accounting impact.</w:t>
            </w:r>
          </w:p>
        </w:tc>
      </w:tr>
      <w:tr>
        <w:tc>
          <w:tcPr>
            <w:tcW w:type="dxa" w:w="5008"/>
          </w:tcPr>
          <w:p>
            <w:r>
              <w:t>Offline POS</w:t>
            </w:r>
          </w:p>
        </w:tc>
        <w:tc>
          <w:tcPr>
            <w:tcW w:type="dxa" w:w="5008"/>
          </w:tcPr>
          <w:p>
            <w:r>
              <w:t>Odoo POS offline/session mode → reconnect/sync → Odoo authoritative transaction/stock/payment reconciliation</w:t>
            </w:r>
          </w:p>
        </w:tc>
        <w:tc>
          <w:tcPr>
            <w:tcW w:type="dxa" w:w="5008"/>
          </w:tcPr>
          <w:p>
            <w:r>
              <w:t>Offline acceptance is validated against the selected Odoo Community version; idempotency and reconciliation protect recovery.</w:t>
            </w:r>
          </w:p>
        </w:tc>
      </w:tr>
      <w:tr>
        <w:tc>
          <w:tcPr>
            <w:tcW w:type="dxa" w:w="5008"/>
          </w:tcPr>
          <w:p>
            <w:r>
              <w:t>Authentication</w:t>
            </w:r>
          </w:p>
        </w:tc>
        <w:tc>
          <w:tcPr>
            <w:tcW w:type="dxa" w:w="5008"/>
          </w:tcPr>
          <w:p>
            <w:r>
              <w:t>Channel → JK ID/SSO → role/consent resolution → token → API Gateway → custom domain or Odoo adapter</w:t>
            </w:r>
          </w:p>
        </w:tc>
        <w:tc>
          <w:tcPr>
            <w:tcW w:type="dxa" w:w="5008"/>
          </w:tcPr>
          <w:p>
            <w:r>
              <w:t>Identity and authorization remain centralized while Odoo customer/employee references are mapped, not duplicated as a competing identity master.</w:t>
            </w:r>
          </w:p>
        </w:tc>
      </w:tr>
    </w:tbl>
    <w:p>
      <w:pPr>
        <w:pStyle w:val="Heading2"/>
      </w:pPr>
      <w:r>
        <w:t>3.10 Deployment topology &amp; non-functional baseline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F4E79"/>
          </w:tcPr>
          <w:p>
            <w:pPr>
              <w:keepNext w:val="0"/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F4E79"/>
          </w:tcPr>
          <w:p>
            <w:pPr>
              <w:keepNext w:val="0"/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Baseline design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F4E79"/>
          </w:tcPr>
          <w:p>
            <w:pPr>
              <w:keepNext w:val="0"/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Control / target</w:t>
            </w:r>
          </w:p>
        </w:tc>
      </w:tr>
      <w:tr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sz w:val="14"/>
              </w:rPr>
              <w:t>Environment model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sz w:val="14"/>
              </w:rPr>
              <w:t>Separate Dev, Staging and Production with isolated secrets/configuration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sz w:val="14"/>
              </w:rPr>
              <w:t>Every deployment traceable to source control; production promotion is gated.</w:t>
            </w:r>
          </w:p>
        </w:tc>
      </w:tr>
      <w:tr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sz w:val="14"/>
              </w:rPr>
              <w:t>Cloud runtime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sz w:val="14"/>
              </w:rPr>
              <w:t>Managed Kubernetes + managed PostgreSQL + Redis + RabbitMQ + object storage/CDN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sz w:val="14"/>
              </w:rPr>
              <w:t>Scale progressively rather than provisioning Phase-5 capacity on day one.</w:t>
            </w:r>
          </w:p>
        </w:tc>
      </w:tr>
      <w:tr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sz w:val="14"/>
              </w:rPr>
              <w:t>Connectivity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sz w:val="14"/>
              </w:rPr>
              <w:t>Cloud-first with secured VPN/local resilience for flagship clinical operations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sz w:val="14"/>
              </w:rPr>
              <w:t>OPD/POS continuity during ISP outage; background synchronization on recovery.</w:t>
            </w:r>
          </w:p>
        </w:tc>
      </w:tr>
      <w:tr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sz w:val="14"/>
              </w:rPr>
              <w:t>Scale design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sz w:val="14"/>
              </w:rPr>
              <w:t>11 outlets initially; 500-700 daily patients; 5,000 peak concurrent users; 50,000+ Year-1 registered users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sz w:val="14"/>
              </w:rPr>
              <w:t>Horizontal scaling and cache/CDN reduce origin pressure as usage grows.</w:t>
            </w:r>
          </w:p>
        </w:tc>
      </w:tr>
      <w:tr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sz w:val="14"/>
              </w:rPr>
              <w:t>Resilience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sz w:val="14"/>
              </w:rPr>
              <w:t>Automated backups, restore tests, defined RTO/RPO and DR rehearsal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sz w:val="14"/>
              </w:rPr>
              <w:t>Clinical/Finance receive stricter recovery targets than community/content workloads.</w:t>
            </w:r>
          </w:p>
        </w:tc>
      </w:tr>
      <w:tr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sz w:val="14"/>
              </w:rPr>
              <w:t>Observability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sz w:val="14"/>
              </w:rPr>
              <w:t>Structured logs, metrics, trace IDs, SLO dashboard, alerting</w:t>
            </w:r>
          </w:p>
        </w:tc>
        <w:tc>
          <w:tcPr>
            <w:tcW w:type="dxa" w:w="50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sz w:val="14"/>
              </w:rPr>
              <w:t>Monthly reliability, vulnerability and cost review with threshold alerts.</w:t>
            </w:r>
          </w:p>
        </w:tc>
      </w:tr>
    </w:tbl>
    <w:p>
      <w:pPr>
        <w:pStyle w:val="Heading2"/>
      </w:pPr>
      <w:r>
        <w:t>3.11 Concise answers to key board questions</w:t>
      </w:r>
    </w:p>
    <w:p>
      <w:pPr>
        <w:spacing w:after="120"/>
      </w:pPr>
      <w:r>
        <w:t>These concise answers summarize the controls already defined in the architecture, delivery, risk and operating-cost sections.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1F4E79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7"/>
              </w:rPr>
              <w:t>Q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1F4E79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7"/>
              </w:rPr>
              <w:t>Question focus</w:t>
            </w:r>
          </w:p>
        </w:tc>
        <w:tc>
          <w:tcPr>
            <w:tcW w:type="dxa" w:w="59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1F4E79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7"/>
              </w:rPr>
              <w:t>Concise answer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before="0"/>
            </w:pPr>
            <w:r>
              <w:rPr>
                <w:b/>
                <w:color w:val="1F4E79"/>
                <w:sz w:val="17"/>
              </w:rPr>
              <w:t>Q10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Top project-failure risks</w:t>
            </w:r>
          </w:p>
        </w:tc>
        <w:tc>
          <w:tcPr>
            <w:tcW w:type="dxa" w:w="59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Three primary failure drivers to control are: (1) dirty Odoo/Excel/master data - profile early, migrate in stages, reconcile and verify stock before cut-over; (2) clinical workflow churn - embed the Clinical SME, prototype early and sign acceptance criteria before build; (3) capacity/scope pressure - phase hiring, use specialist bridge support when needed, and enforce Definition of Done, change control and quarterly gates.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after="0" w:before="0"/>
            </w:pPr>
            <w:r>
              <w:rPr>
                <w:b/>
                <w:color w:val="1F4E79"/>
                <w:sz w:val="17"/>
              </w:rPr>
              <w:t>Q14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after="0" w:before="0"/>
            </w:pPr>
            <w:r>
              <w:rPr>
                <w:sz w:val="17"/>
              </w:rPr>
              <w:t>Community moderation at scale</w:t>
            </w:r>
          </w:p>
        </w:tc>
        <w:tc>
          <w:tcPr>
            <w:tcW w:type="dxa" w:w="59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after="0" w:before="0"/>
            </w:pPr>
            <w:r>
              <w:rPr>
                <w:sz w:val="17"/>
              </w:rPr>
              <w:t>Use a hybrid moderation model: technology auto-flags health-misinformation patterns, while humans make moderation decisions through a Moderation Console under an SLA. Moderation tooling and minimum moderation capacity are hard Community go-live gates; automation assists detection, but health-content decisions are not delegated to AI alone.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before="0"/>
            </w:pPr>
            <w:r>
              <w:rPr>
                <w:b/>
                <w:color w:val="1F4E79"/>
                <w:sz w:val="17"/>
              </w:rPr>
              <w:t>Q15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Responsibility for dangerous alerts</w:t>
            </w:r>
          </w:p>
        </w:tc>
        <w:tc>
          <w:tcPr>
            <w:tcW w:type="dxa" w:w="59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before="0"/>
            </w:pPr>
            <w:r>
              <w:rPr>
                <w:sz w:val="17"/>
              </w:rPr>
              <w:t>A dangerous reading triggers the Alert Engine, which notifies the patient and creates the assigned clinician task in parallel. The clinician is accountable within a defined SLA; unacknowledged alerts escalate to the on-call supervisor. Reliability is protected with queued events, idempotent retry, delivery monitoring, trace IDs and an audit trail; the platform is monitoring infrastructure, not the emergency responder.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after="0" w:before="0"/>
            </w:pPr>
            <w:r>
              <w:rPr>
                <w:b/>
                <w:color w:val="1F4E79"/>
                <w:sz w:val="17"/>
              </w:rPr>
              <w:t>Q16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after="0" w:before="0"/>
            </w:pPr>
            <w:r>
              <w:rPr>
                <w:sz w:val="17"/>
              </w:rPr>
              <w:t>Controlling media and AI run cost</w:t>
            </w:r>
          </w:p>
        </w:tc>
        <w:tc>
          <w:tcPr>
            <w:tcW w:type="dxa" w:w="59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3F6F9"/>
          </w:tcPr>
          <w:p>
            <w:pPr>
              <w:spacing w:after="0" w:before="0"/>
            </w:pPr>
            <w:r>
              <w:rPr>
                <w:sz w:val="17"/>
              </w:rPr>
              <w:t>Right-size compute with autoscaling limits; compress images, use CDN caching, adaptive-bitrate video and lifecycle/cold-storage rules; cache repeated/common meal recognition and batch non-urgent AI processing. Track storage/CDN/AI unit costs monthly with budget alerts, and move from Buy to Build only when model quality and economics justify it.</w:t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pageBreakBefore w:val="0"/>
        <w:spacing w:after="60" w:lineRule="auto"/>
        <w:rPr/>
      </w:pPr>
      <w:r>
        <w:t>4. 24-Month Delivery Roadmap</w:t>
      </w:r>
    </w:p>
    <w:tbl>
      <w:tblPr>
        <w:tblStyle w:val="Table7"/>
        <w:tblW w:w="15024.0" w:type="dxa"/>
        <w:jc w:val="center"/>
        <w:tblLayout w:type="fixed"/>
        <w:tblLook w:val="0400"/>
      </w:tblPr>
      <w:tblGrid>
        <w:gridCol w:w="15024"/>
        <w:tblGridChange w:id="0">
          <w:tblGrid>
            <w:gridCol w:w="150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b25e" w:space="0" w:sz="4" w:val="single"/>
              <w:left w:color="d6b25e" w:space="0" w:sz="4" w:val="single"/>
              <w:bottom w:color="d6b25e" w:space="0" w:sz="4" w:val="single"/>
              <w:right w:color="d6b25e" w:space="0" w:sz="4" w:val="single"/>
            </w:tcBorders>
            <w:shd w:fill="eaf1f7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20304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Scheduling model.  </w:t>
            </w: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phases intentionally overlap. Dependencies are respected (identity/master data before integration testing; Clinical authoring before the App Care Plan loop), while independent teams work in parallel to reduce calendar time. UAT happens throughout the program rather than as a final-stage activity.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60" w:lineRule="auto"/>
        <w:rPr/>
      </w:pPr>
      <w:r>
        <w:t>4.1 Months 1-12</w:t>
      </w:r>
    </w:p>
    <w:tbl>
      <w:tblPr>
        <w:tblStyle w:val="Table8"/>
        <w:tblW w:w="150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6"/>
        <w:gridCol w:w="3756"/>
        <w:gridCol w:w="3756"/>
        <w:gridCol w:w="3756"/>
        <w:tblGridChange w:id="0">
          <w:tblGrid>
            <w:gridCol w:w="3756"/>
            <w:gridCol w:w="3756"/>
            <w:gridCol w:w="3756"/>
            <w:gridCol w:w="3756"/>
          </w:tblGrid>
        </w:tblGridChange>
      </w:tblGrid>
      <w:tr>
        <w:trPr>
          <w:tblHeader w:val="1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Month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Primary Focus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Major Deliverables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Acceptance / UAT Gate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M1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Mobilize &amp; discover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Steering cadence; architecture decision register; concern-by-concern discovery; access to Odoo/data; baseline NFRs; security/data classification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Approved scope v1; risk register; prioritized backlog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M2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Foundation v1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Cloud accounts; Dev/Staging/Prod; Git/CI/CD; API Gateway skeleton; JK ID model; master-data rules; Odoo Community module/version &amp; gap analysis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Environment readiness review; identity design sign-off; Odoo baseline confirmed</w:t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M3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Odoo commercial core starts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Odoo Community Finance/Inventory cleanup; Product/Warehouse/Procurement/POS/Sales/e-commerce configuration; customer/employee/patient migration tooling; integration contracts; MIS consolidation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Data-quality report; Odoo module gap report; migration rehearsal #1</w:t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M4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Odoo POS pilot + Custom ERP/Clinical start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Odoo POS/outlet-sales pilot; stock/lot/FEFO configuration; Website-to-Odoo commerce adapter design; Doctor Profile and Appointment workflow discovery; Website design system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Odoo POS alpha UAT; offline/reconnect tests; clinical workflow sign-off</w:t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M5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Commercial + workforce workflows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Odoo POS sale/return/session/payment and online sales order flow; custom ERP ARM, Attendance and Payroll core; patient registration; Appointment/OPD queue; website catalogue/cart APIs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Outlet + online-sales UAT; workforce UAT; clinical desk UAT</w:t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M6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Odoo Commercial Gate 1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Shadow-mode POS pilot; inventory/payment/accounting reconciliation; online order end-to-end test; MIS v1; pilot training; custom ERP workforce baseline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Gate 1: Odoo POS/commercial pilot accepted; reconciliation passed; VAPT #1 / security review</w:t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M7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Odoo rollout + Custom ERP/Clinical build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Roll Odoo POS/commercial flow to first outlet wave; EMR core; consent/audit; website frontend connected to Odoo product/stock/sales APIs; unified login/cart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Outlet-wave UAT; online-commerce regression; EMR test cases signed off</w:t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M8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App workstream starts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Care Plan authoring; website commerce transaction processing through Odoo; Flutter foundation; notification framework; AI-food API procurement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Website beta; Odoo commerce integration review; mobile architecture review</w:t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M9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Clinical pilot + App core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Clinical pilot; website full journey with Odoo sales processing; app login/profile; care-plan read APIs; membership model; clinical billing-to-Odoo posting prototype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Clinical pilot UAT; web/Odoo regression UAT</w:t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M10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Clinical + Website v1 go-live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Patient/Doctor/Appointment/OPD/EMR + basic Care Plan live; Group Hub/UOL online commerce processed by Odoo; clinical invoice financial posting operational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Gate 2: production go-live; Odoo/Clinical reconciliation; VAPT #2</w:t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M11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Care loop implementation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App planner/tasks; manual food log; reminders; membership/fitness; CRM/Customer 360 read model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App feature UAT; care-team acceptance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M12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AI + device + community foundation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Food recognition buy-phase; Health Connect/HealthKit foundation; community moderation console; analytics events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AI accuracy baseline; moderation go-live checklist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60" w:lineRule="auto"/>
        <w:rPr/>
      </w:pPr>
      <w:r>
        <w:t>4.2 Months 13-24</w:t>
      </w:r>
    </w:p>
    <w:tbl>
      <w:tblPr>
        <w:tblStyle w:val="Table9"/>
        <w:tblW w:w="150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6"/>
        <w:gridCol w:w="3756"/>
        <w:gridCol w:w="3756"/>
        <w:gridCol w:w="3756"/>
        <w:tblGridChange w:id="0">
          <w:tblGrid>
            <w:gridCol w:w="3756"/>
            <w:gridCol w:w="3756"/>
            <w:gridCol w:w="3756"/>
            <w:gridCol w:w="3756"/>
          </w:tblGrid>
        </w:tblGridChange>
      </w:tblGrid>
      <w:tr>
        <w:trPr>
          <w:tblHeader w:val="1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Month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Primary Focus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Major Deliverables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Acceptance / UAT Gate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M13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Super App beta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App care plan; nutrition log; membership; CRM; notifications; basic device sync; pilot cohort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Closed beta + clinician/patient UAT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M14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Super App v1 go-live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Care Plan loop end-to-end; Food Log AI; basic wearable/CGM path; operational support model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Gate 3: App v1 accepted; VAPT #3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M15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Community/LMS beta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Community feed + moderation; LMS/course delivery; franchise/distribution workflows; staff-app prototypes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Moderation UAT; franchise process sign-off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M16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Community live + Data platform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Community v1; education v1; central warehouse foundation; event ingestion; BI semantic model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Content-safety gate; data-quality checks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M17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Franchise &amp; staff operations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Franchise/distribution; corporate MOU; Health Tourism/Sinbad integration if API verified; delivery/sample/field staff apps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Integration UAT; field pilot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M18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Phase 4 Gate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Community/Education/Franchise/staff apps release; operating procedures and training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Gate 4: business acceptance; operational handover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M19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Data/BI scale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Warehouse pipelines; advanced role-based dashboards; finance/clinical/commerce KPI layer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BI reconciliation against source systems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M20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Predictive analytics prototype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Adherence/drop-off model prototype; cohort features; alert-quality monitoring; dataset governance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Offline model evaluation; clinical SME review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M21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In-house food model POC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Local dataset training loop; model-serving POC; buy-vs-build cost benchmark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Model quality/cost decision gate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M22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Scale-out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Manager dashboard app; outlet scale support 15-20; performance tuning; autoscaling/budget optimization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Load/performance UAT; DR rehearsal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M23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Hardening &amp; transition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Security hardening; audit cleanup; upgrade rehearsal; ownership transfer from specialists to JK Tech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KT acceptance; runbook audit; resilience test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  <w:tr>
        <w:trPr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M24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Program close / steady state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Stabilization; backlog triage; SLO dashboard; annual operating model; Year-3 roadmap</w:t>
            </w:r>
            <w:r w:rsidDel="00000000" w:rsidR="00000000" w:rsidRPr="00000000">
              <w:rPr>
                <w:sz w:val="15"/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4"/>
                <w:u w:val="none"/>
                <w:shd w:fill="auto" w:val="clear"/>
                <w:vertAlign w:val="baseline"/>
                <w:rtl w:val="0"/>
              </w:rPr>
              <w:t xml:space="preserve">Gate 5: program closure; BAU ownership accepted</w:t>
            </w:r>
            <w:r w:rsidDel="00000000" w:rsidR="00000000" w:rsidRPr="00000000">
              <w:rPr>
                <w:sz w:val="15"/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after="60" w:lineRule="auto"/>
        <w:rPr/>
      </w:pPr>
      <w:r>
        <w:t>5. First 90 Days - Week-by-Week Execution Plan</w:t>
      </w:r>
    </w:p>
    <w:tbl>
      <w:tblPr>
        <w:tblStyle w:val="Table10"/>
        <w:tblW w:w="150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6"/>
        <w:gridCol w:w="3756"/>
        <w:gridCol w:w="3756"/>
        <w:gridCol w:w="3756"/>
        <w:tblGridChange w:id="0">
          <w:tblGrid>
            <w:gridCol w:w="3756"/>
            <w:gridCol w:w="3756"/>
            <w:gridCol w:w="3756"/>
            <w:gridCol w:w="37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Done / 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Program mobilization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Confirm sponsors/owners, RAID log, stakeholder map, decision cadence, repo ownership, access request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Kickoff minutes + accountable owner per concern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Current-state &amp; data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Odoo modules, Excel sources, website, patient/clinical workflows, master-data duplicates, integration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As-is inventory + migration risk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Cloud / engineering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Dev/Staging/Prod; network/IAM; secrets; repository; branch/release model; CI skeleton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Environment checklist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Platform skeleton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API Gateway; observability; logging/trace IDs; auth architecture; backup baseline; security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Architecture review #1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JK ID / 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Party/role model; OTP/staff 2FA; token flow; consent linkage; first end-to-end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Identity demo + security UAT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Master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Product/customer/employee schemas; mapping rules; data cleansing scripts; staged imports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Migration rehearsal #1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Odoo Community stabilization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Finance/inventory gap analysis; product/warehouse/POS/sales/e-commerce module configuration; supported API/integration contract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Odoo remediation + configuration backlog approved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Odoo POS &amp; sales core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POS sale/return/session/payment; product/stock availability; outlet sales and online sales-order API; reconnect/offline test plan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Odoo POS + online sales alpha demo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Offline, idempotency &amp; reconciliation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Validate Odoo POS offline/reconnect behavior; duplicate transaction protection; stock/payment reconciliation; failure/retry rules for Website/App adapter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Network-failure + reconnect test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MIS &amp; migration rehearsal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Sales/stock/accounting MIS; Odoo/Excel reconciliation; pilot outlet master data; custom ERP employee/patient mapping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MIS sign-off + migration rehearsal #2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Pilot outlet + online UAT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Staff training; device/printer/payment tests; outlet POS + online order parallel-run script; support channel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Pilot-readiness checklist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Shadow-mode pilot &amp; Gate 1 prep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Live Odoo POS/commercial shadow usage; defect burn-down; stock/payment/accounting reconciliation; management demo; next-quarter plan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Go/no-go for controlled Odoo commercial cut-over</w:t>
            </w:r>
          </w:p>
        </w:tc>
      </w:tr>
    </w:tbl>
    <w:p w:rsidR="00000000" w:rsidDel="00000000" w:rsidP="00000000" w:rsidRDefault="00000000" w:rsidRPr="00000000" w14:paraId="0000011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spacing w:after="60" w:lineRule="auto"/>
        <w:rPr/>
      </w:pPr>
      <w:r>
        <w:t>6. Workstreams, Parallelism &amp; Critical Dependencies</w:t>
      </w:r>
    </w:p>
    <w:tbl>
      <w:tblPr>
        <w:tblStyle w:val="Table11"/>
        <w:tblW w:w="150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6"/>
        <w:gridCol w:w="3756"/>
        <w:gridCol w:w="3756"/>
        <w:gridCol w:w="3756"/>
        <w:tblGridChange w:id="0">
          <w:tblGrid>
            <w:gridCol w:w="3756"/>
            <w:gridCol w:w="3756"/>
            <w:gridCol w:w="3756"/>
            <w:gridCol w:w="37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Active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Critical 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Foundation /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M1-M24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JK ID, API Gateway, CI/CD, observability, security, notification, integration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Blocks integration testing for every product stream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Odoo Commercial / Financial ERP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M2-M8 build/rollout; then BAU/enhance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Odoo Community Product, Inventory/Warehouse, Procurement, POS, outlet sales, online/e-commerce sales processing, customer invoices, payment/reconciliation, Accounting and MIS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Master data + Odoo module/version validation + stock/payment/accounting reconciliation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Custom ERP / Clinical / Workforce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M4-M10 core; M11+ enhance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Doctor Profile, Patient, Appointment, OPD/EMR, Care Plan, clinical billing workflow, ARM, Attendance and Payroll calculation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Clinical SME + identity + Odoo finance-posting contracts + audit/security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M4-M10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Group hub and customer commerce UX, Health Revolution booking, unified login/cart; product/stock/sales processing through Odoo APIs/adapter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JK ID + Odoo product/stock/sales contracts + booking APIs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Super App / Care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M8-M14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Customer app, care plan loop, food log, membership, devices,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Clinical authoring model must be 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Community /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M12-M18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Feed, moderation, LMS, content/video, expert presence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Moderation console and content policy are hard go-live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Franchise / Staff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M14-M18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Distribution, corporate/health tourism integrations, field staff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Verified partner APIs + stable inventory/identity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Data / BI /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 event capture; M16-M24 maturity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Warehouse, dashboards, adherence prediction, local food model 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Event/data lineage and consent capture must exist from day 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spacing w:after="60" w:lineRule="auto"/>
        <w:rPr/>
      </w:pPr>
      <w:r>
        <w:t>7. Team Ramp &amp; Responsibility Model</w:t>
      </w:r>
    </w:p>
    <w:tbl>
      <w:tblPr>
        <w:tblStyle w:val="Table12"/>
        <w:tblW w:w="150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6"/>
        <w:gridCol w:w="3756"/>
        <w:gridCol w:w="3756"/>
        <w:gridCol w:w="3756"/>
        <w:tblGridChange w:id="0">
          <w:tblGrid>
            <w:gridCol w:w="3756"/>
            <w:gridCol w:w="3756"/>
            <w:gridCol w:w="3756"/>
            <w:gridCol w:w="37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Approx. Team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Primary Delivery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6.0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Architect, 2 backend, DevOps, 0.5 QA, Odoo specialist, 0.5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Foundation + Odoo discovery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M3-6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Architect, 3 backend, DevOps, QA, Frontend, Odoo specialist, 0.5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ERP/POS + early Clinical/Website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M7-10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13.5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Architect, 4 backend, DevOps, 2 QA, 2 Frontend, 2 Mobile, Odoo specialist, 0.5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Peak Clinical/Website + App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M11-14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14.0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Architect, 4 backend, DevOps, 2 QA, 2 Frontend, 3 Mobile, in-house Odoo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Super App / Care Plan peak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M15-18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12.0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Architect, 4 backend, DevOps, 2 QA, Frontend, 2 Mobile, in-house Odoo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Community/Franchise + Data foundation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M19-24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11.0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Architect, 3 backend, DevOps, 2 QA, Frontend, 2 Mobile, in-house Odoo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Scale, BI/AI, hardening, KT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5024.0" w:type="dxa"/>
        <w:jc w:val="center"/>
        <w:tblLayout w:type="fixed"/>
        <w:tblLook w:val="0400"/>
      </w:tblPr>
      <w:tblGrid>
        <w:gridCol w:w="15024"/>
        <w:tblGridChange w:id="0">
          <w:tblGrid>
            <w:gridCol w:w="150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b25e" w:space="0" w:sz="4" w:val="single"/>
              <w:left w:color="d6b25e" w:space="0" w:sz="4" w:val="single"/>
              <w:bottom w:color="d6b25e" w:space="0" w:sz="4" w:val="single"/>
              <w:right w:color="d6b25e" w:space="0" w:sz="4" w:val="single"/>
            </w:tcBorders>
            <w:shd w:fill="eaf4ea" w:val="clea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20304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Role consolidation. No separate Product Owner, Data/AI Engineer, ML/AI Specialist or Community Moderator headcount is included in this budget; those responsibilities are covered by the Tech Lead / Architect. Clinical/Domain SMEs are seconded from Health Revolution and therefore are not treated as incremental payroll. Their availability remains a hard delivery dependency for workflow and safety sign-off.</w:t>
            </w: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lineRule="auto"/>
        <w:rPr/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/>
        <w:spacing w:after="60" w:lineRule="auto"/>
        <w:rPr/>
      </w:pPr>
      <w:r>
        <w:t>8. Cost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fill="EEF3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Costing follows the architecture and delivery model above. The baseline uses the recalculated role assumptions, 15% in-house loading, specialist Odoo/UIUX support, a progressive infrastructure ramp, and a 12% centrally controlled contingency. Product Owner, Data/AI, ML/AI and Community Moderation responsibilities are covered by the Tech Lead / Architect in this baseline.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spacing w:after="60" w:lineRule="auto"/>
        <w:rPr/>
      </w:pPr>
      <w:r>
        <w:t>8.1 Costing basis &amp; numeric assumptions</w:t>
      </w:r>
    </w:p>
    <w:tbl>
      <w:tblPr>
        <w:tblStyle w:val="Table5"/>
        <w:tblW w:w="15024.0" w:type="dxa"/>
        <w:jc w:val="center"/>
        <w:tblLayout w:type="fixed"/>
        <w:tblLook w:val="0400"/>
      </w:tblPr>
      <w:tblGrid>
        <w:gridCol w:w="15024"/>
        <w:tblGridChange w:id="0">
          <w:tblGrid>
            <w:gridCol w:w="150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b25e" w:space="0" w:sz="4" w:val="single"/>
              <w:left w:color="d6b25e" w:space="0" w:sz="4" w:val="single"/>
              <w:bottom w:color="d6b25e" w:space="0" w:sz="4" w:val="single"/>
              <w:right w:color="d6b25e" w:space="0" w:sz="4" w:val="single"/>
            </w:tcBorders>
            <w:shd w:fill="eaf1f7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20304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Why numeric assumptions are required.  </w:t>
            </w: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baseline document intentionally used relative cost weights instead of fixed currency values. For financial planning, this version converts that shape into a BDT baseline using role-rate assumptions. These rates are placeholders for budgeting and must be replaced by HR offers and signed supplier quotations before procurement.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spacing w:after="60" w:lineRule="auto"/>
        <w:rPr/>
      </w:pPr>
      <w:r>
        <w:t>8.2 Role-rate assumptions</w:t>
      </w:r>
    </w:p>
    <w:tbl>
      <w:tblPr>
        <w:tblStyle w:val="Table6"/>
        <w:tblW w:w="150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6"/>
        <w:gridCol w:w="3756"/>
        <w:gridCol w:w="3756"/>
        <w:gridCol w:w="3756"/>
        <w:tblGridChange w:id="0">
          <w:tblGrid>
            <w:gridCol w:w="3756"/>
            <w:gridCol w:w="3756"/>
            <w:gridCol w:w="3756"/>
            <w:gridCol w:w="37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Planning Rate (BDT/month)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Tech Lead /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In-house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304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color w:val="203040"/>
                <w:sz w:val="15"/>
                <w:szCs w:val="15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Architecture, security, vendor governance, product/backlog ownership, process mapping, acceptance criteria, Data/AI &amp; ML oversight, community moderation governance, final go-live sign-off</w:t>
            </w:r>
            <w:r w:rsidDel="00000000" w:rsidR="00000000" w:rsidRPr="00000000">
              <w:rPr>
                <w:color w:val="203040"/>
                <w:sz w:val="15"/>
                <w:szCs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Senior Backend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In-house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3040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API Gateway, core platform, domain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Mid Backend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In-house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3040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Custom ERP/Clinical, ARM/Attendance/Payroll, Odoo integration adapters, membership and community services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Frontend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In-house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3040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Next.js website/admin experiences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Flutter Mobile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In-house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70,000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Super App, offline sync, device integrations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QA / Test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In-house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3040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Manual + automation + release/UAT coordination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DevOps / Platform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In-house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304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Cloud, Kubernetes, CI/CD, security baseline, observability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Odoo/ERP Engineer (after transition)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In-house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3040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Odoo Community Product/Inventory/POS/Sales/e-commerce/Finance extension, supported integrations and maintenance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Odoo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Outsourced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3040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0,000 / FTE-month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Initial Odoo Community stabilization and configuration across Finance/Inventory/POS/Sales/e-commerce, integration support and knowledge transfer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UI/UX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3040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0,000 /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Design system, low-literacy UX, service flows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pStyle w:val="Heading2"/>
        <w:spacing w:after="60" w:lineRule="auto"/>
        <w:rPr/>
      </w:pPr>
      <w:r>
        <w:t>8.3 Development and specialist cost by delivery block</w:t>
      </w:r>
    </w:p>
    <w:tbl>
      <w:tblPr>
        <w:tblStyle w:val="Table14"/>
        <w:tblW w:w="150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5"/>
        <w:gridCol w:w="3005"/>
        <w:gridCol w:w="3005"/>
        <w:tblGridChange w:id="0">
          <w:tblGrid>
            <w:gridCol w:w="3005"/>
            <w:gridCol w:w="3005"/>
            <w:gridCol w:w="3005"/>
            <w:gridCol w:w="3005"/>
            <w:gridCol w:w="30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In-house Payroll / mo (M BDT)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External / mo (M BDT)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Loaded Dev Cost / mo* (M BDT)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Period Total (M BDT)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M1-2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0.505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0.110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0.691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1.382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M3-6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0.690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0.110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0.904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3.614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M7-10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1.040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0.110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1.306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5.224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M11-14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1.180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1.357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5.428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M15-18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1.030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1.185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4.738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M19-24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0.950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1.093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6.555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26.941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5024.0" w:type="dxa"/>
        <w:jc w:val="center"/>
        <w:tblLayout w:type="fixed"/>
        <w:tblLook w:val="0400"/>
      </w:tblPr>
      <w:tblGrid>
        <w:gridCol w:w="15024"/>
        <w:tblGridChange w:id="0">
          <w:tblGrid>
            <w:gridCol w:w="150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b25e" w:space="0" w:sz="4" w:val="single"/>
              <w:left w:color="d6b25e" w:space="0" w:sz="4" w:val="single"/>
              <w:bottom w:color="d6b25e" w:space="0" w:sz="4" w:val="single"/>
              <w:right w:color="d6b25e" w:space="0" w:sz="4" w:val="single"/>
            </w:tcBorders>
            <w:shd w:fill="eaf1f7" w:val="clea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20304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*Loaded development cost. In-house payroll is loaded with 15% for employer overhead/benefits/recruitment friction; external specialist rates are treated as fully loaded. No separate Product Owner, Data/AI Engineer, ML/AI Specialist or Community Moderator FTE is budgeted; those responsibilities are included in the Tech Lead / Architect baseline. The separate recruitment/onboarding budget covers hiring campaigns, joining equipment gaps and exceptional onboarding costs.</w:t>
            </w: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50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8"/>
        <w:gridCol w:w="5008"/>
        <w:gridCol w:w="5008"/>
        <w:tblGridChange w:id="0">
          <w:tblGrid>
            <w:gridCol w:w="5008"/>
            <w:gridCol w:w="5008"/>
            <w:gridCol w:w="50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Cost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24-Month Base (M BDT)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Planning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Loaded engineering + outsourced specialists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26.9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Core technical delivery team plus Odoo/UIUX specialist support; consolidated roles absorbed by Tech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Cloud / platform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Compute, managed DB, Redis/queue, storage/CDN, backup/DR; grows by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AI / Nutrition API consumption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Buy-phase food recognition/nutrition baseline; controlled by caching/batching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Communication / Maps / Monitoring / 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SMS/email/WhatsApp baseline, maps, APM/logging, low-volume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Independent VAPT / security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Three major pre-go-live security assessments at ~0.6M 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Engineering/test equipment &amp; field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Developer/test devices, mobile devices, POS/peripheral lab and pilot equipment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migration, training &amp; change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Rehearsals, outlet/clinic training, cut-over support and reconciliation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Recruitment &amp; onboarding 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Hiring campaigns, screening, joining/onboarding costs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Subtotal before contingency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48.4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Approved delivery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Contingency reserve (12%)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5.8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Only released against approved risk/change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 PROGRAM ENVELOPE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54.3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~BDT 5.43 crore over 24 months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spacing w:after="60" w:lineRule="auto"/>
        <w:rPr/>
      </w:pPr>
      <w:r>
        <w:t>8.4 Infrastructure ramp assumption</w:t>
      </w:r>
    </w:p>
    <w:tbl>
      <w:tblPr>
        <w:tblStyle w:val="Table17"/>
        <w:tblW w:w="150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6"/>
        <w:gridCol w:w="3756"/>
        <w:gridCol w:w="3756"/>
        <w:gridCol w:w="3756"/>
        <w:tblGridChange w:id="0">
          <w:tblGrid>
            <w:gridCol w:w="3756"/>
            <w:gridCol w:w="3756"/>
            <w:gridCol w:w="3756"/>
            <w:gridCol w:w="37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Monthly Infra (M BDT)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Period Total (M BDT)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What drives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Foundation/dev/test + small production footprint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M4-6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Odoo POS/commercial pilot + early Custom ERP/Clinical/Website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M7-12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Odoo commercial production + Website/Clinical + App beta/media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M13-18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Super App + food photos + Community/LMS + warehouse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M19-24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Higher usage, BI/AI workloads, 15-20 outlet scale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9.96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Rounded to BDT 10.0M in the program budget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spacing w:after="80" w:lineRule="auto" w:before="120"/>
        <w:rPr/>
      </w:pPr>
      <w:r>
        <w:t>9. Quarterly Budget Release &amp; Delivery Gates</w:t>
      </w:r>
    </w:p>
    <w:tbl>
      <w:tblPr>
        <w:tblStyle w:val="Table18"/>
        <w:tblW w:w="150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6"/>
        <w:gridCol w:w="3756"/>
        <w:gridCol w:w="3756"/>
        <w:gridCol w:w="3756"/>
        <w:tblGridChange w:id="0">
          <w:tblGrid>
            <w:gridCol w:w="3756"/>
            <w:gridCol w:w="3756"/>
            <w:gridCol w:w="3756"/>
            <w:gridCol w:w="37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Budget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Base Release (M BDT)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Delivery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Release / Acceptance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Q1 - M1-3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4.79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Foundation + identity/master data + Odoo Community baseline start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Architecture baseline, environments live, identity path demonstrated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Q2 - M4-6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5.06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Odoo POS/commercial pilot + Custom ERP/Clinical/Website start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Odoo POS/outlet + online-sales pilot accepted; migration/reconciliation passed; VAPT #1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Q3 - M7-9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6.06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Odoo commercial rollout + Custom ERP/Clinical/Website build + App foundation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>
            <w:r>
              <w:t>Clinical pilot ready; website/Odoo beta flow; App architecture accepted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Q4 - M10-12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7.06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Clinical + Website go-live with Odoo commerce processing; App/Care loop build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Production gate + VAPT #2; Odoo/Clinical reconciliation; web/clinical BAU stable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Q5 - M13-15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6.88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Super App go-live + Community/LMS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App v1 accepted + VAPT #3; closed-loop care functioning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Q6 - M16-18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6.33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Community/Education/Franchise +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Phase-4 business acceptance; operational training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Q7 - M19-21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6.11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BI/AI maturity + local model POC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Data reconciliation; model quality/cost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Q8 - M22-24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6.15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Scale, DR, hardening, 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Performance/DR/KT accepted; BAU ownership 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Program contingency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5.81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Central reserve; not pre-allocated to quarters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Release only through Steering Committee change/risk approval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20" w:lineRule="auto"/>
        <w:rPr/>
      </w:pPr>
      <w:r w:rsidDel="00000000" w:rsidR="00000000" w:rsidRPr="00000000">
        <w:rPr>
          <w:rtl w:val="0"/>
        </w:rPr>
      </w:r>
    </w:p>
    <w:p>
      <w:pPr>
        <w:keepNext w:val="0"/>
        <w:keepLines w:val="0"/>
        <w:spacing w:before="40" w:after="40"/>
        <w:shd w:fill="FFF8E6"/>
        <w:pBdr>
          <w:top w:val="single" w:sz="4" w:space="2" w:color="D6A84A"/>
          <w:left w:val="single" w:sz="4" w:space="2" w:color="D6A84A"/>
          <w:bottom w:val="single" w:sz="4" w:space="2" w:color="D6A84A"/>
          <w:right w:val="single" w:sz="4" w:space="2" w:color="D6A84A"/>
        </w:pBdr>
      </w:pPr>
      <w:r>
        <w:rPr>
          <w:color w:val="232D37"/>
          <w:sz w:val="17"/>
        </w:rPr>
        <w:t>Budget-control rule. Quarterly funds should be approved against the next delivery gate; monthly burn is reviewed by the Tech Lead and Finance. A forecast variance above 5% requires a written recovery plan; above 10% requires Steering Committee scope/time/budget approval.</w:t>
      </w:r>
    </w:p>
    <w:p w:rsidR="00000000" w:rsidDel="00000000" w:rsidP="00000000" w:rsidRDefault="00000000" w:rsidRPr="00000000" w14:paraId="000001F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/>
        <w:spacing w:after="80" w:lineRule="auto" w:before="120"/>
        <w:rPr/>
      </w:pPr>
      <w:r>
        <w:t>10. Quality, UAT, Security &amp; Release Strategy</w:t>
      </w:r>
    </w:p>
    <w:tbl>
      <w:tblPr>
        <w:tblStyle w:val="Table20"/>
        <w:tblW w:w="150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8"/>
        <w:gridCol w:w="5008"/>
        <w:gridCol w:w="5008"/>
        <w:tblGridChange w:id="0">
          <w:tblGrid>
            <w:gridCol w:w="5008"/>
            <w:gridCol w:w="5008"/>
            <w:gridCol w:w="50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Cadence /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Exit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Every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Unit/integration tests, API contract checks, targeted business UAT, demo, security/dependency 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Defects triaged before next sprint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Every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Regression pack, cloud-cost review, vulnerability backlog, data reconciliation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Monthly delivery + burn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Before outlet/clinic rollout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Migration rehearsal, staff training, parallel run, rollback plan, support roster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Business owner cut-over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Before major public go-live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Performance/load test, VAPT, DR/backup restore check, observability/SLOs, privacy/consent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Formal go/no-go chaired by Tech Lead + Business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 go-live 2-4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Hypercare, incident review, adoption metrics, backlog stabilization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Exit hypercare only when SLO/defect thresholds are stable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/>
        <w:spacing w:after="80" w:lineRule="auto" w:before="120"/>
        <w:rPr/>
      </w:pPr>
      <w:r>
        <w:t>11. Budget &amp; Timeline Risks with Controls</w:t>
      </w:r>
    </w:p>
    <w:tbl>
      <w:tblPr>
        <w:tblStyle w:val="Table21"/>
        <w:tblW w:w="150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6"/>
        <w:gridCol w:w="3756"/>
        <w:gridCol w:w="3756"/>
        <w:gridCol w:w="3756"/>
        <w:tblGridChange w:id="0">
          <w:tblGrid>
            <w:gridCol w:w="3756"/>
            <w:gridCol w:w="3756"/>
            <w:gridCol w:w="3756"/>
            <w:gridCol w:w="37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Hiring 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Pushes critical path because JK Tech starts with no 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Start Phase-2/3 hiring during Phase 0-1; keep approved specialist bridge contracts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Dirty Odoo/Excel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Rework, reconciliation failure, rollout 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Profile data in M1-2; stage migration; physical stock count before outlet cut-over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Clinical workflow churn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EMR/Care Plan rework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Embed clinical SME; prototype workflows early; sign acceptance criteria before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Odoo over-customization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Medium/High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Upgrade/maintenance lock-in or recreating differentiated clinical/HR logic inside Odoo.</w:t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>
            <w:r>
              <w:t>Keep Odoo focused on commercial/financial core; keep Clinical/ARM/Attendance/Payroll workflows in custom ERP; use supported APIs/adapters and regression tests for upgrades.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Cloud/media/AI usage spike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Run-cost exceeds envelope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Compression/lifecycle, caching/batching, quotas, monthly unit-cost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Vendor/API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Blocks Sinbad, wearable or AI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Adapter interfaces; manual fallback; defer integrations that are not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Scope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Budget and timeline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Definition of Done + change control; contingency is not a scope-slush fund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Security/compliance defect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Go-live delay and business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Security by design, field encryption, read-audit for health data, independent VAPT gates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spacing w:after="80" w:lineRule="auto" w:before="120"/>
        <w:rPr/>
      </w:pPr>
      <w:r>
        <w:t>12. Limited-Budget / Half-Year-1-Budget Fallback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3" w:right="0" w:hanging="142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>
        <w:t>•  Defer Community Platform and Education/LMS before cutting the shared foundation, Odoo commercial core, or Custom ERP/Clinical.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3" w:right="0" w:hanging="142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Delay deep Wearable/CGM integration; keep manual entry and basic Health Connect/HealthKit capability where affordable.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3" w:right="0" w:hanging="142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Keep Food Recognition in buy-mode longer and delay the in-house model build; this preserves user value while avoiding early model investment.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3" w:right="0" w:hanging="142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 Defer Franchise Management and Health Tourism/Sinbad integration until the core operating system is 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3" w:right="0" w:hanging="142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>
        <w:t>•  Do not cut JK ID/SSO, API Gateway, Master Data, core security (2FA/encryption/audit), Odoo commercial/financial core, or Custom ERP/Clinical foundation.</w:t>
      </w:r>
    </w:p>
    <w:p w:rsidR="00000000" w:rsidDel="00000000" w:rsidP="00000000" w:rsidRDefault="00000000" w:rsidRPr="00000000" w14:paraId="0000023A">
      <w:pPr>
        <w:pStyle w:val="Heading1"/>
        <w:keepNext/>
        <w:spacing w:after="80" w:lineRule="auto" w:before="120"/>
        <w:rPr/>
      </w:pPr>
      <w:r>
        <w:t>13. Program Governance &amp; Reporting</w:t>
      </w:r>
    </w:p>
    <w:tbl>
      <w:tblPr>
        <w:tblStyle w:val="Table22"/>
        <w:tblW w:w="150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6"/>
        <w:gridCol w:w="3756"/>
        <w:gridCol w:w="3756"/>
        <w:gridCol w:w="3756"/>
        <w:tblGridChange w:id="0">
          <w:tblGrid>
            <w:gridCol w:w="3756"/>
            <w:gridCol w:w="3756"/>
            <w:gridCol w:w="3756"/>
            <w:gridCol w:w="37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Meeting /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Engineering stand-up per 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Engineering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Blockers, defects, environment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Architecture/vendor/risk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Tech Lead + DevOps + module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RAID, ADRs, dependency plan, burn vs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Bi-weekly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Sprint review + UAT +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Business owners +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Accepted increments and next sprint commitment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Steering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GMO/CEO/CFO/Tech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Budget, timeline, scope changes, risk decisions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Phase gate / budget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Steering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Acceptance gate, next-quarter budget, hiring/vendor decisions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/>
        <w:spacing w:after="80" w:lineRule="auto" w:before="120"/>
        <w:rPr/>
      </w:pPr>
      <w:r>
        <w:t>14. Architect Recommendation</w:t>
      </w:r>
    </w:p>
    <w:p w:rsidR="00000000" w:rsidDel="00000000" w:rsidP="00000000" w:rsidRDefault="00000000" w:rsidRPr="00000000" w14:paraId="00000255">
      <w:pPr>
        <w:spacing w:after="120" w:lineRule="auto"/>
        <w:rPr/>
      </w:pPr>
      <w:r>
        <w:t>Adopt the architecture-led 24-month roadmap with quarterly funding gates and a BDT 54.3M planning ceiling, while treating BDT 48.4M as the delivery baseline and BDT 5.8M as controlled contingency. Preserve the synchronized technical model: one JK ID, Odoo Community as the commercial/financial system of record, a custom JK ERP/Clinical platform for Doctor/Patient/Appointment/EMR/Care Plan/Clinical Billing/ARM/Attendance/Payroll workflow, API/event integration between them, security/consent controls by design and gated releases. Stabilize master data and Odoo commercial operations, establish Custom ERP/Clinical, then scale App, Community and AI capabilities on top of trusted operational data. The costing assumptions remain unchanged pending the M1-M2 Odoo module/gap validation.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3" w:right="0" w:hanging="142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 Approve Phase 0 and Q1 budget immediately only after named business owners and data-access owners are confirmed.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3" w:right="0" w:hanging="142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>
        <w:t>•  Validate all remaining role rates with HR and convert Odoo/UIUX placeholders into signed quotations before Q2 approval; validate any Odoo hosting/add-on/support and AI/API vendor consumption separately as operating/vendor costs.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3" w:right="0" w:hanging="142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>
        <w:t>•  Lock Odoo Community as the baseline and validate the exact supported version/modules, hosting model, POS offline/reconnect behavior, e-commerce/Sales APIs, backup/DR approach and any paid add-on/support requirements before commercial production scaling.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3" w:right="0" w:hanging="142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 Use business acceptance and measurable technical gates (reconciliation, VAPT, performance, DR, UAT) as the condition for go-live and next-quarter budget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83" w:right="0" w:hanging="142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 Review the cost model every quarter using actual salary, cloud unit cost, AI cost per food-log, SMS cost per active patient and storage/CDN cost per active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spacing w:after="80" w:lineRule="auto" w:before="120"/>
        <w:rPr/>
      </w:pPr>
      <w:r w:rsidDel="00000000" w:rsidR="00000000" w:rsidRPr="00000000">
        <w:rPr>
          <w:rtl w:val="0"/>
        </w:rPr>
        <w:t xml:space="preserve">Appendix A - Budget Formula &amp; Reforecast Method</w:t>
      </w:r>
    </w:p>
    <w:tbl>
      <w:tblPr>
        <w:tblStyle w:val="Table23"/>
        <w:tblW w:w="150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8"/>
        <w:gridCol w:w="5008"/>
        <w:gridCol w:w="5008"/>
        <w:tblGridChange w:id="0">
          <w:tblGrid>
            <w:gridCol w:w="5008"/>
            <w:gridCol w:w="5008"/>
            <w:gridCol w:w="50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Cost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People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Sum(role count x monthly rate x active months) + 15% in-house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Reforecast on hiring date/rate changes; no separate PO/Data-AI/ML/moderator FTE in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Cloud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Compute + DB + cache/queue + object storage + CDN + backup/DR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Track actual monthly unit cost; forecast from active users/content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AI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Recognition API calls x unit price + nutrition data + model serving 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Track cost per confirmed food-log and cache hit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SMS/WhatsApp/email message volume x unit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6f8fa" w:val="clear"/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Track messages per active customer/patient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Contingency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12% of approved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3cc" w:space="0" w:sz="4" w:val="single"/>
              <w:left w:color="b9c3cc" w:space="0" w:sz="4" w:val="single"/>
              <w:bottom w:color="b9c3cc" w:space="0" w:sz="4" w:val="single"/>
              <w:right w:color="b9c3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smallCaps w:val="0"/>
                <w:strike w:val="0"/>
                <w:color w:val="203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 part of team discretionary spend; requires change/risk approval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spacing w:after="20" w:lineRule="auto"/>
        <w:rPr/>
      </w:pPr>
      <w:r w:rsidDel="00000000" w:rsidR="00000000" w:rsidRPr="00000000">
        <w:rPr>
          <w:rtl w:val="0"/>
        </w:rPr>
      </w:r>
    </w:p>
    <w:p>
      <w:pPr>
        <w:keepNext w:val="0"/>
        <w:keepLines w:val="0"/>
        <w:spacing w:before="40" w:after="40"/>
        <w:shd w:fill="EEF6EC"/>
        <w:pBdr>
          <w:top w:val="single" w:sz="4" w:space="2" w:color="D6A84A"/>
          <w:left w:val="single" w:sz="4" w:space="2" w:color="D6A84A"/>
          <w:bottom w:val="single" w:sz="4" w:space="2" w:color="D6A84A"/>
          <w:right w:val="single" w:sz="4" w:space="2" w:color="D6A84A"/>
        </w:pBdr>
      </w:pPr>
      <w:r>
        <w:rPr>
          <w:color w:val="232D37"/>
          <w:sz w:val="17"/>
        </w:rPr>
        <w:t>Final validation checklist. Before approval, Finance/HR should validate salary bands; Procurement should obtain Odoo Community implementation/hosting/add-on/support, AI/SMS/cloud/VAPT quotations; Business Owners should confirm scope and migration volumes; the Odoo pilot must validate POS offline/reconnect, outlet + online sales, inventory, payment/reconciliation and accounting flows; Legal/Compliance should confirm health-data residency and consent requirements. Material variances roll into the next quarterly budget gate.</w:t>
      </w:r>
    </w:p>
    <w:p w:rsidR="00000000" w:rsidDel="00000000" w:rsidP="00000000" w:rsidRDefault="00000000" w:rsidRPr="00000000" w14:paraId="00000270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6" w:w="16838" w:orient="landscape"/>
      <w:pgMar w:bottom="794" w:top="850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5f6b76"/>
        <w:sz w:val="15"/>
        <w:szCs w:val="15"/>
        <w:u w:val="none"/>
        <w:shd w:fill="auto" w:val="clear"/>
        <w:vertAlign w:val="baseline"/>
        <w:rtl w:val="0"/>
      </w:rPr>
      <w:t xml:space="preserve">Confidential  |  September 2026  |  Planning-level budget - subject to HR/vendor validation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>
      <w:rPr>
        <w:rFonts w:ascii="Arial" w:hAnsi="Arial"/>
        <w:color w:val="5B6978"/>
        <w:sz w:val="16"/>
      </w:rPr>
      <w:t>JK Lifestyle Digital Ecosystem - Technical Architecture, Execution &amp; Costing Plan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ans" w:cs="Liberation Sans" w:eastAsia="Liberation Sans" w:hAnsi="Liberation San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Liberation Sans" w:cs="Liberation Sans" w:eastAsia="Liberation Sans" w:hAnsi="Liberation Sans"/>
      <w:b w:val="1"/>
      <w:bCs w:val="1"/>
      <w:color w:val="1f4e78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Liberation Sans" w:cs="Liberation Sans" w:eastAsia="Liberation Sans" w:hAnsi="Liberation Sans"/>
      <w:b w:val="1"/>
      <w:bCs w:val="1"/>
      <w:color w:val="203040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Liberation Sans" w:cs="Liberation Sans" w:eastAsia="Liberation Sans" w:hAnsi="Liberation Sans"/>
      <w:b w:val="1"/>
      <w:bCs w:val="1"/>
      <w:color w:val="c58a22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Liberation Sans" w:cs="Liberation Sans" w:eastAsia="Liberation Sans" w:hAnsi="Liberation Sans"/>
      <w:b w:val="1"/>
      <w:bCs w:val="1"/>
      <w:color w:val="1f4e78"/>
      <w:sz w:val="56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mpact" w:customStyle="1">
    <w:name w:val="Compact"/>
    <w:pPr>
      <w:spacing w:after="40" w:line="240" w:lineRule="auto"/>
    </w:pPr>
    <w:rPr>
      <w:rFonts w:ascii="Liberation Sans" w:hAnsi="Liberation Sans"/>
      <w:sz w:val="17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id1l5UTJ7gQRSyy0RfStfQ7poQ==">CgMxLjA4AHIhMTQwdWdfNDgtNnN3dFZRVDNXLS03M0ZoVHRZWnBUcjE1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Technical Architecture Planning</dc:creator>
</cp:coreProperties>
</file>