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920" w:lineRule="auto"/>
        <w:jc w:val="center"/>
        <w:rPr/>
      </w:pPr>
      <w:r w:rsidDel="00000000" w:rsidR="00000000" w:rsidRPr="00000000">
        <w:rPr>
          <w:b w:val="1"/>
          <w:bCs w:val="1"/>
          <w:color w:val="c58a22"/>
          <w:sz w:val="36"/>
          <w:szCs w:val="36"/>
          <w:rtl w:val="0"/>
        </w:rPr>
        <w:t xml:space="preserve">JK LIFESTYLE DIGITAL ECOSYSTEM</w:t>
      </w:r>
      <w:r w:rsidDel="00000000" w:rsidR="00000000" w:rsidRPr="00000000">
        <w:rPr>
          <w:rtl w:val="0"/>
        </w:rPr>
      </w:r>
    </w:p>
    <w:p w:rsidR="00000000" w:rsidDel="00000000" w:rsidP="00000000" w:rsidRDefault="00000000" w:rsidRPr="00000000" w14:paraId="00000002">
      <w:pPr>
        <w:pStyle w:val="Title"/>
        <w:spacing w:after="60" w:lineRule="auto"/>
        <w:jc w:val="center"/>
        <w:rPr/>
      </w:pPr>
      <w:r>
        <w:t>Technical Architecture, Execution Roadmap &amp; Costing Plan</w:t>
      </w:r>
    </w:p>
    <w:p w:rsidR="00000000" w:rsidDel="00000000" w:rsidP="00000000" w:rsidRDefault="00000000" w:rsidRPr="00000000" w14:paraId="00000003">
      <w:pPr>
        <w:spacing w:after="60" w:before="240" w:lineRule="auto"/>
        <w:jc w:val="center"/>
        <w:rPr/>
      </w:pPr>
      <w:r>
        <w:t>Website  |  Super App  |  Enterprise Platform (ERP)  |  Clinical  |  Data, Events &amp; AI</w:t>
      </w:r>
    </w:p>
    <w:p w:rsidR="00000000" w:rsidDel="00000000" w:rsidP="00000000" w:rsidRDefault="00000000" w:rsidRPr="00000000" w14:paraId="00000004">
      <w:pPr>
        <w:spacing w:after="60" w:lineRule="auto"/>
        <w:rPr/>
      </w:pPr>
      <w:r w:rsidDel="00000000" w:rsidR="00000000" w:rsidRPr="00000000">
        <w:rPr>
          <w:rtl w:val="0"/>
        </w:rPr>
      </w:r>
    </w:p>
    <w:tbl>
      <w:tblPr>
        <w:tblStyle w:val="Table1"/>
        <w:tblW w:w="15024.0" w:type="dxa"/>
        <w:jc w:val="center"/>
        <w:tblLayout w:type="fixed"/>
        <w:tblLook w:val="0400"/>
      </w:tblPr>
      <w:tblGrid>
        <w:gridCol w:w="7512"/>
        <w:gridCol w:w="7512"/>
        <w:tblGridChange w:id="0">
          <w:tblGrid>
            <w:gridCol w:w="7512"/>
            <w:gridCol w:w="7512"/>
          </w:tblGrid>
        </w:tblGridChange>
      </w:tblGrid>
      <w:tr>
        <w:trPr>
          <w:cantSplit w:val="0"/>
          <w:tblHeader w:val="0"/>
        </w:trPr>
        <w:tc>
          <w:tcPr>
            <w:tcBorders>
              <w:top w:color="b9c3cc" w:space="0" w:sz="4" w:val="single"/>
              <w:left w:color="b9c3cc" w:space="0" w:sz="4" w:val="single"/>
              <w:bottom w:color="b9c3cc" w:space="0" w:sz="4" w:val="single"/>
              <w:right w:color="b9c3cc" w:space="0" w:sz="4" w:val="single"/>
            </w:tcBorders>
            <w:shd w:fill="eaf1f7"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1f4e78"/>
                <w:sz w:val="18"/>
                <w:szCs w:val="18"/>
                <w:u w:val="none"/>
                <w:shd w:fill="auto" w:val="clear"/>
                <w:vertAlign w:val="baseline"/>
                <w:rtl w:val="0"/>
              </w:rPr>
              <w:t xml:space="preserve">Prepared for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8"/>
                <w:szCs w:val="18"/>
                <w:u w:val="none"/>
                <w:shd w:fill="auto" w:val="clear"/>
                <w:vertAlign w:val="baseline"/>
                <w:rtl w:val="0"/>
              </w:rPr>
              <w:t xml:space="preserve">JK Lifestyle Ltd. (Group Management Office)</w:t>
            </w:r>
            <w:r w:rsidDel="00000000" w:rsidR="00000000" w:rsidRPr="00000000">
              <w:rPr>
                <w:rtl w:val="0"/>
              </w:rPr>
            </w:r>
          </w:p>
        </w:tc>
      </w:tr>
      <w:tr>
        <w:trPr>
          <w:cantSplit w:val="0"/>
          <w:tblHeader w:val="0"/>
        </w:trPr>
        <w:tc>
          <w:tcPr>
            <w:tcBorders>
              <w:top w:color="b9c3cc" w:space="0" w:sz="4" w:val="single"/>
              <w:left w:color="b9c3cc" w:space="0" w:sz="4" w:val="single"/>
              <w:bottom w:color="b9c3cc" w:space="0" w:sz="4" w:val="single"/>
              <w:right w:color="b9c3cc" w:space="0" w:sz="4" w:val="single"/>
            </w:tcBorders>
            <w:shd w:fill="eaf1f7"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1f4e78"/>
                <w:sz w:val="18"/>
                <w:szCs w:val="18"/>
                <w:u w:val="none"/>
                <w:shd w:fill="auto" w:val="clear"/>
                <w:vertAlign w:val="baseline"/>
                <w:rtl w:val="0"/>
              </w:rPr>
              <w:t xml:space="preserve">Prepared as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
              <w:t>CTO / Technical Architect board proposal and execution baseline</w:t>
            </w:r>
          </w:p>
        </w:tc>
      </w:tr>
      <w:tr>
        <w:trPr>
          <w:cantSplit w:val="0"/>
          <w:tblHeader w:val="0"/>
        </w:trPr>
        <w:tc>
          <w:tcPr>
            <w:tcBorders>
              <w:top w:color="b9c3cc" w:space="0" w:sz="4" w:val="single"/>
              <w:left w:color="b9c3cc" w:space="0" w:sz="4" w:val="single"/>
              <w:bottom w:color="b9c3cc" w:space="0" w:sz="4" w:val="single"/>
              <w:right w:color="b9c3cc" w:space="0" w:sz="4" w:val="single"/>
            </w:tcBorders>
            <w:shd w:fill="eaf1f7"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1f4e78"/>
                <w:sz w:val="18"/>
                <w:szCs w:val="18"/>
                <w:u w:val="none"/>
                <w:shd w:fill="auto" w:val="clear"/>
                <w:vertAlign w:val="baseline"/>
                <w:rtl w:val="0"/>
              </w:rPr>
              <w:t xml:space="preserve">Baseline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8"/>
                <w:szCs w:val="18"/>
                <w:u w:val="none"/>
                <w:shd w:fill="auto" w:val="clear"/>
                <w:vertAlign w:val="baseline"/>
                <w:rtl w:val="0"/>
              </w:rPr>
              <w:t xml:space="preserve">JK Lifestyle Technical Development Plan, September 2026</w:t>
            </w:r>
            <w:r w:rsidDel="00000000" w:rsidR="00000000" w:rsidRPr="00000000">
              <w:rPr>
                <w:rtl w:val="0"/>
              </w:rPr>
            </w:r>
          </w:p>
        </w:tc>
      </w:tr>
      <w:tr>
        <w:trPr>
          <w:cantSplit w:val="0"/>
          <w:tblHeader w:val="0"/>
        </w:trPr>
        <w:tc>
          <w:tcPr>
            <w:tcBorders>
              <w:top w:color="b9c3cc" w:space="0" w:sz="4" w:val="single"/>
              <w:left w:color="b9c3cc" w:space="0" w:sz="4" w:val="single"/>
              <w:bottom w:color="b9c3cc" w:space="0" w:sz="4" w:val="single"/>
              <w:right w:color="b9c3cc" w:space="0" w:sz="4" w:val="single"/>
            </w:tcBorders>
            <w:shd w:fill="eaf1f7" w:val="clea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1f4e78"/>
                <w:sz w:val="18"/>
                <w:szCs w:val="18"/>
                <w:u w:val="none"/>
                <w:shd w:fill="auto" w:val="clear"/>
                <w:vertAlign w:val="baseline"/>
                <w:rtl w:val="0"/>
              </w:rPr>
              <w:t xml:space="preserve">Planning horizon</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8"/>
                <w:szCs w:val="18"/>
                <w:u w:val="none"/>
                <w:shd w:fill="auto" w:val="clear"/>
                <w:vertAlign w:val="baseline"/>
                <w:rtl w:val="0"/>
              </w:rPr>
              <w:t xml:space="preserve">24 months</w:t>
            </w:r>
            <w:r w:rsidDel="00000000" w:rsidR="00000000" w:rsidRPr="00000000">
              <w:rPr>
                <w:rtl w:val="0"/>
              </w:rPr>
            </w:r>
          </w:p>
        </w:tc>
      </w:tr>
      <w:tr>
        <w:trPr>
          <w:cantSplit w:val="0"/>
          <w:tblHeader w:val="0"/>
        </w:trPr>
        <w:tc>
          <w:tcPr>
            <w:tcBorders>
              <w:top w:color="b9c3cc" w:space="0" w:sz="4" w:val="single"/>
              <w:left w:color="b9c3cc" w:space="0" w:sz="4" w:val="single"/>
              <w:bottom w:color="b9c3cc" w:space="0" w:sz="4" w:val="single"/>
              <w:right w:color="b9c3cc" w:space="0" w:sz="4" w:val="single"/>
            </w:tcBorders>
            <w:shd w:fill="eaf1f7" w:val="clear"/>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1f4e78"/>
                <w:sz w:val="18"/>
                <w:szCs w:val="18"/>
                <w:u w:val="none"/>
                <w:shd w:fill="auto" w:val="clear"/>
                <w:vertAlign w:val="baseline"/>
                <w:rtl w:val="0"/>
              </w:rPr>
              <w:t xml:space="preserve">Budget currency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8"/>
                <w:szCs w:val="18"/>
                <w:u w:val="none"/>
                <w:shd w:fill="auto" w:val="clear"/>
                <w:vertAlign w:val="baseline"/>
                <w:rtl w:val="0"/>
              </w:rPr>
              <w:t xml:space="preserve">BDT (Bangladeshi Taka)</w:t>
            </w:r>
            <w:r w:rsidDel="00000000" w:rsidR="00000000" w:rsidRPr="00000000">
              <w:rPr>
                <w:rtl w:val="0"/>
              </w:rPr>
            </w:r>
          </w:p>
        </w:tc>
      </w:tr>
    </w:tbl>
    <w:p w:rsidR="00000000" w:rsidDel="00000000" w:rsidP="00000000" w:rsidRDefault="00000000" w:rsidRPr="00000000" w14:paraId="0000000F">
      <w:pPr>
        <w:spacing w:after="60" w:before="360" w:lineRule="auto"/>
        <w:jc w:val="center"/>
        <w:rPr/>
      </w:pPr>
      <w:r>
        <w:t>Budget status: this is a planning baseline, not a vendor quotation. Final approval should follow Human Resources salary validation, cloud sizing, license choices and supplier quotations.</w:t>
      </w:r>
    </w:p>
    <w:p w:rsidR="00000000" w:rsidDel="00000000" w:rsidP="00000000" w:rsidRDefault="00000000" w:rsidRPr="00000000" w14:paraId="00000010">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spacing w:after="60" w:lineRule="auto"/>
        <w:rPr/>
      </w:pPr>
      <w:r w:rsidDel="00000000" w:rsidR="00000000" w:rsidRPr="00000000">
        <w:rPr>
          <w:rtl w:val="0"/>
        </w:rPr>
        <w:t xml:space="preserve">1. Executive Summary</w:t>
      </w:r>
    </w:p>
    <w:tbl>
      <w:tblPr>
        <w:tblStyle w:val="Table2"/>
        <w:tblW w:w="15024.0" w:type="dxa"/>
        <w:jc w:val="center"/>
        <w:tblLayout w:type="autofit"/>
        <w:tblLook w:val="0400"/>
      </w:tblPr>
      <w:tblGrid>
        <w:gridCol w:w="15024"/>
        <w:tblGridChange w:id="0">
          <w:tblGrid>
            <w:gridCol w:w="15024"/>
          </w:tblGrid>
        </w:tblGridChange>
      </w:tblGrid>
      <w:tr>
        <w:trPr>
          <w:cantSplit w:val="0"/>
          <w:tblHeader w:val="0"/>
        </w:trPr>
        <w:tc>
          <w:tcPr>
            <w:tcBorders>
              <w:top w:color="d6b25e" w:space="0" w:sz="4" w:val="single"/>
              <w:left w:color="d6b25e" w:space="0" w:sz="4" w:val="single"/>
              <w:bottom w:color="d6b25e" w:space="0" w:sz="4" w:val="single"/>
              <w:right w:color="d6b25e" w:space="0" w:sz="4" w:val="single"/>
            </w:tcBorders>
            <w:shd w:fill="eaf1f7" w:val="clear"/>
            <w:tcMar>
              <w:top w:w="70" w:type="dxa"/>
              <w:start w:w="80" w:type="dxa"/>
              <w:bottom w:w="70" w:type="dxa"/>
              <w:end w:w="80" w:type="dxa"/>
            </w:tcMar>
            <w:vAlign w:val="center"/>
          </w:tcPr>
          <w:p>
            <w:r>
              <w:t>Architectural baseline. The program uses a staged transition instead of making Odoo Community Edition the permanent Point of Sale (POS) and Inventory platform. First, the team cleans the existing Excel product, outlet and opening-stock data and imports it into Odoo Community Edition so POS and Inventory can go live quickly. In parallel, JK Tech builds the long-term Enterprise Resource Planning (ERP), Inventory and POS modules. The custom ERP manages clinical workflows, employee and Human Resources workflows, payroll and all management and operational reports. The JK-built POS and Inventory replace Odoo outlet by outlet only after parallel testing and reconciliation are complete. JK ID, the central integration gateway, security controls, business events and the ERP reporting layer remain common across the ecosystem.</w:t>
            </w:r>
          </w:p>
        </w:tc>
      </w:tr>
    </w:tbl>
    <w:p w:rsidR="00000000" w:rsidDel="00000000" w:rsidP="00000000" w:rsidRDefault="00000000" w:rsidRPr="00000000" w14:paraId="00000013">
      <w:pPr>
        <w:spacing w:after="20" w:lineRule="auto"/>
        <w:rPr/>
      </w:pPr>
      <w:r w:rsidDel="00000000" w:rsidR="00000000" w:rsidRPr="00000000">
        <w:rPr>
          <w:rtl w:val="0"/>
        </w:rPr>
      </w:r>
    </w:p>
    <w:tbl>
      <w:tblPr>
        <w:tblStyle w:val="Table3"/>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8"/>
        <w:gridCol w:w="5008"/>
        <w:gridCol w:w="5008"/>
        <w:tblGridChange w:id="0">
          <w:tblGrid>
            <w:gridCol w:w="5008"/>
            <w:gridCol w:w="5008"/>
            <w:gridCol w:w="5008"/>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7"/>
                <w:szCs w:val="17"/>
                <w:u w:val="none"/>
                <w:shd w:fill="auto" w:val="clear"/>
                <w:vertAlign w:val="baseline"/>
                <w:rtl w:val="0"/>
              </w:rPr>
              <w:t xml:space="preserve">Metric</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7"/>
                <w:szCs w:val="17"/>
                <w:u w:val="none"/>
                <w:shd w:fill="auto" w:val="clear"/>
                <w:vertAlign w:val="baseline"/>
                <w:rtl w:val="0"/>
              </w:rPr>
              <w:t xml:space="preserve">Base Planning Value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7"/>
                <w:szCs w:val="17"/>
                <w:u w:val="none"/>
                <w:shd w:fill="auto" w:val="clear"/>
                <w:vertAlign w:val="baseline"/>
                <w:rtl w:val="0"/>
              </w:rPr>
              <w:t xml:space="preserve">Comment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Program duration</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24 months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Overlapping phase delivery; two-week sprint cadence</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Build-team peak</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~14 active technical team members at peak</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The team grows by phase. No separate Product Owner, Data/AI, AI-model or Community Moderator position is included in the current baseline.</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24-month development &amp; specialist cost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BDT 26.9M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Loaded in-house cost plus outsourced Odoo/UIUX support; consolidated roles absorbed by Tech Lead</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Cloud / platform run cost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BDT 10.0M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Gradually increases with App, media and AI usage</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Other delivery costs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BDT 11.5M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AI/API, SaaS, security, equipment, migration/training, recruitment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Base spend before contingency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BDT 48.4M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Cash plan for approved work</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Contingency reserve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BDT 5.8M (12%)</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Held centrally; released only through change/risk control</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 xml:space="preserve">Total planning envelope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BDT 54.3M (~5.43 crore)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7"/>
                <w:u w:val="none"/>
                <w:shd w:fill="auto" w:val="clear"/>
                <w:vertAlign w:val="baseline"/>
                <w:rtl w:val="0"/>
              </w:rPr>
              <w:t>Recommended approval ceiling for the 24-month baseline</w:t>
            </w:r>
            <w:r w:rsidDel="00000000" w:rsidR="00000000" w:rsidRPr="00000000">
              <w:rPr>
                <w:rtl w:val="0"/>
              </w:rPr>
            </w:r>
          </w:p>
        </w:tc>
      </w:tr>
    </w:tbl>
    <w:p w:rsidR="00000000" w:rsidDel="00000000" w:rsidP="00000000" w:rsidRDefault="00000000" w:rsidRPr="00000000" w14:paraId="0000002F">
      <w:pPr>
        <w:spacing w:after="20" w:lineRule="auto"/>
        <w:rPr/>
      </w:pPr>
      <w:r w:rsidDel="00000000" w:rsidR="00000000" w:rsidRPr="00000000">
        <w:rPr>
          <w:rtl w:val="0"/>
        </w:rPr>
      </w:r>
    </w:p>
    <w:tbl>
      <w:tblPr>
        <w:tblStyle w:val="Table4"/>
        <w:tblW w:w="15024.0" w:type="dxa"/>
        <w:jc w:val="center"/>
        <w:tblLayout w:type="fixed"/>
        <w:tblLook w:val="0400"/>
      </w:tblPr>
      <w:tblGrid>
        <w:gridCol w:w="15024"/>
        <w:tblGridChange w:id="0">
          <w:tblGrid>
            <w:gridCol w:w="15024"/>
          </w:tblGrid>
        </w:tblGridChange>
      </w:tblGrid>
      <w:tr>
        <w:trPr>
          <w:cantSplit w:val="0"/>
          <w:tblHeader w:val="0"/>
        </w:trPr>
        <w:tc>
          <w:tcPr>
            <w:tcBorders>
              <w:top w:color="d6b25e" w:space="0" w:sz="4" w:val="single"/>
              <w:left w:color="d6b25e" w:space="0" w:sz="4" w:val="single"/>
              <w:bottom w:color="d6b25e" w:space="0" w:sz="4" w:val="single"/>
              <w:right w:color="d6b25e" w:space="0" w:sz="4" w:val="single"/>
            </w:tcBorders>
            <w:shd w:fill="fff3d6" w:val="clear"/>
          </w:tcPr>
          <w:p>
            <w:r>
              <w:t>Important exclusions. Payment and mobile-financial-service transaction charges are business transaction costs tied to sales volume and are not included in the project envelope. The baseline uses Odoo Community Edition for the initial POS and Inventory transition, so no Odoo Enterprise license is included. Any paid Odoo hosting, third-party add-ons, support contracts, taxes/VAT, or unusually high video/AI consumption should be budgeted separately if required.</w:t>
            </w:r>
          </w:p>
        </w:tc>
      </w:tr>
    </w:tbl>
    <w:p w:rsidR="00000000" w:rsidDel="00000000" w:rsidP="00000000" w:rsidRDefault="00000000" w:rsidRPr="00000000" w14:paraId="00000031">
      <w:pPr>
        <w:spacing w:after="20" w:lineRule="auto"/>
        <w:rPr/>
      </w:pPr>
      <w:r w:rsidDel="00000000" w:rsidR="00000000" w:rsidRPr="00000000">
        <w:rPr>
          <w:rtl w:val="0"/>
        </w:rPr>
      </w:r>
    </w:p>
    <w:p w:rsidR="00000000" w:rsidDel="00000000" w:rsidP="00000000" w:rsidRDefault="00000000" w:rsidRPr="00000000" w14:paraId="00000032">
      <w:pPr>
        <w:pStyle w:val="Heading1"/>
        <w:spacing w:after="60" w:lineRule="auto"/>
        <w:rPr/>
      </w:pPr>
      <w:r w:rsidDel="00000000" w:rsidR="00000000" w:rsidRPr="00000000">
        <w:rPr>
          <w:rtl w:val="0"/>
        </w:rPr>
        <w:t xml:space="preserve">2. Planning Assumptions &amp; Guardrails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8"/>
          <w:szCs w:val="18"/>
          <w:u w:val="none"/>
          <w:shd w:fill="auto" w:val="clear"/>
          <w:vertAlign w:val="baseline"/>
          <w:rtl w:val="0"/>
        </w:rPr>
        <w:t xml:space="preserve">•  Target design scale: 11 outlets initially, 500-700 daily patients, 5,000 peak concurrent users and 50,000+ registered online customers in Year 1. Infrastructure is sized progressively, not pre-purchased for full scale.</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8"/>
          <w:szCs w:val="18"/>
          <w:u w:val="none"/>
          <w:shd w:fill="auto" w:val="clear"/>
          <w:vertAlign w:val="baseline"/>
          <w:rtl w:val="0"/>
        </w:rPr>
        <w:t xml:space="preserve">•  JK Tech is treated as having no pre-existing engineering bench at project start; recruitment is therefore on the critical path.</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t>•  Odoo Community Edition is a temporary transition system for outlet Point of Sale (POS) and Inventory. Existing product, outlet and stock data will be cleaned from Excel and imported into Odoo Community Edition. JK Tech will build the long-term Inventory and POS modules in parallel and replace Odoo outlet by outlet after user acceptance testing and reconciliation. The custom Enterprise Resource Planning (ERP) system will generate all management and operational reports throughout the transition.</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8"/>
          <w:szCs w:val="18"/>
          <w:u w:val="none"/>
          <w:shd w:fill="auto" w:val="clear"/>
          <w:vertAlign w:val="baseline"/>
          <w:rtl w:val="0"/>
        </w:rPr>
        <w:t>•  No big-bang migration will be used. Excel-to-Odoo migration and later Odoo-to-JK POS/Inventory migration will use staged rehearsal, parallel operation, reconciliation, rollback planning and outlet-by-outlet cut-over.</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8"/>
          <w:szCs w:val="18"/>
          <w:u w:val="none"/>
          <w:shd w:fill="auto" w:val="clear"/>
          <w:vertAlign w:val="baseline"/>
          <w:rtl w:val="0"/>
        </w:rPr>
        <w:t>•  Two-week sprints are mandatory. Every sprint ends with a demo and targeted user acceptance testing; each major go-live requires regression, performance, security and business acceptance gates.</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t>•  Identity, the custom ERP/Clinical platform and platform operations remain in-house. Odoo specialist work may be outsourced with knowledge transfer. Product planning, data and artificial-intelligence work, machine-learning oversight and community-moderation governance are covered by the Tech Lead / Architect in this budget instead of separate full-time roles.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t>•  Cloud and third-party budgets are reviewed monthly with alerts at 70%, 85% and 100% of the approved envelope.</w:t>
      </w:r>
    </w:p>
    <w:p w:rsidR="00000000" w:rsidDel="00000000" w:rsidP="00000000" w:rsidRDefault="00000000" w:rsidRPr="00000000" w14:paraId="0000003C">
      <w:pPr>
        <w:spacing w:after="20" w:lineRule="auto"/>
        <w:rPr/>
      </w:pPr>
      <w:r w:rsidDel="00000000" w:rsidR="00000000" w:rsidRPr="00000000">
        <w:rPr>
          <w:rtl w:val="0"/>
        </w:rPr>
      </w:r>
    </w:p>
    <w:p w:rsidR="00000000" w:rsidDel="00000000" w:rsidP="00000000" w:rsidRDefault="00000000" w:rsidRPr="00000000" w14:paraId="0000006B">
      <w:pPr>
        <w:spacing w:after="20" w:lineRule="auto"/>
        <w:rPr/>
      </w:pPr>
      <w:r w:rsidDel="00000000" w:rsidR="00000000" w:rsidRPr="00000000">
        <w:rPr>
          <w:rtl w:val="0"/>
        </w:rPr>
      </w:r>
    </w:p>
    <w:p w:rsidR="00000000" w:rsidDel="00000000" w:rsidP="00000000" w:rsidRDefault="00000000" w:rsidRPr="00000000" w14:paraId="0000006C">
      <w:pPr>
        <w:spacing w:after="60" w:lineRule="auto"/>
        <w:rPr/>
      </w:pPr>
      <w:r w:rsidDel="00000000" w:rsidR="00000000" w:rsidRPr="00000000"/>
      <w:r w:rsidDel="00000000" w:rsidR="00000000" w:rsidRPr="00000000">
        <w:rPr>
          <w:rtl w:val="0"/>
        </w:rPr>
      </w:r>
    </w:p>
    <w:p>
      <w:pPr>
        <w:pStyle w:val="Heading1"/>
        <w:keepNext/>
        <w:pageBreakBefore w:val="0"/>
      </w:pPr>
      <w:r>
        <w:t>3. System Architecture &amp; Technical Design</w:t>
      </w:r>
    </w:p>
    <w:tbl>
      <w:tblPr>
        <w:tblW w:type="auto" w:w="0"/>
        <w:jc w:val="center"/>
        <w:tblLayout w:type="autofit"/>
        <w:tblLook w:firstColumn="1" w:firstRow="1" w:lastColumn="0" w:lastRow="0" w:noHBand="0" w:noVBand="1" w:val="04A0"/>
      </w:tblPr>
      <w:tblGrid>
        <w:gridCol w:w="15024"/>
      </w:tblGrid>
      <w:tr>
        <w:tc>
          <w:tcPr>
            <w:tcW w:type="dxa" w:w="15024"/>
            <w:shd w:fill="EEF3F7"/>
            <w:tcMar>
              <w:top w:w="70" w:type="dxa"/>
              <w:start w:w="80" w:type="dxa"/>
              <w:bottom w:w="70" w:type="dxa"/>
              <w:end w:w="80" w:type="dxa"/>
            </w:tcMar>
            <w:vAlign w:val="center"/>
          </w:tcPr>
          <w:p>
            <w:pPr>
              <w:spacing w:after="0" w:before="0"/>
            </w:pPr>
            <w:r>
              <w:rPr>
                <w:rFonts w:ascii="Arial" w:hAnsi="Arial"/>
                <w:sz w:val="17"/>
              </w:rPr>
              <w:t>Architecture objective. Build one coherent digital operating platform with explicit ownership boundaries, a shared identity/control plane, API-first integration and event capture from day one. The design prioritizes business continuity, maintainability, health-data protection and future service extraction without paying day-one microservice operational cost.</w:t>
            </w:r>
          </w:p>
        </w:tc>
      </w:tr>
    </w:tbl>
    <w:p>
      <w:pPr>
        <w:pStyle w:val="Heading2"/>
      </w:pPr>
      <w:r>
        <w:t>3.1 Architecture decisions &amp; guardrails</w:t>
      </w:r>
    </w:p>
    <w:tbl>
      <w:tblPr>
        <w:tblW w:type="auto" w:w="0"/>
        <w:jc w:val="center"/>
        <w:tblLayout w:type="autofit"/>
        <w:tblLook w:firstColumn="1" w:firstRow="1" w:lastColumn="0" w:lastRow="0" w:noHBand="0" w:noVBand="1" w:val="04A0"/>
      </w:tblPr>
      <w:tblGrid>
        <w:gridCol w:w="5008"/>
        <w:gridCol w:w="5008"/>
        <w:gridCol w:w="5008"/>
      </w:tblGrid>
      <w:tr>
        <w:trPr>
          <w:tblHeader w:val="true"/>
        </w:trPr>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Decision</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Choice</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Technical rationale</w:t>
            </w:r>
          </w:p>
        </w:tc>
      </w:tr>
      <w:tr>
        <w:tc>
          <w:tcPr>
            <w:tcW w:type="dxa" w:w="5008"/>
            <w:tcMar>
              <w:top w:w="70" w:type="dxa"/>
              <w:start w:w="80" w:type="dxa"/>
              <w:bottom w:w="70" w:type="dxa"/>
              <w:end w:w="80" w:type="dxa"/>
            </w:tcMar>
            <w:vAlign w:val="center"/>
          </w:tcPr>
          <w:p>
            <w:pPr>
              <w:spacing w:after="0" w:before="0"/>
            </w:pPr>
            <w:r>
              <w:rPr>
                <w:rFonts w:ascii="Arial" w:hAnsi="Arial"/>
                <w:sz w:val="16"/>
              </w:rPr>
              <w:t>Architecture style</w:t>
            </w:r>
          </w:p>
        </w:tc>
        <w:tc>
          <w:tcPr>
            <w:tcW w:type="dxa" w:w="5008"/>
            <w:tcMar>
              <w:top w:w="70" w:type="dxa"/>
              <w:start w:w="80" w:type="dxa"/>
              <w:bottom w:w="70" w:type="dxa"/>
              <w:end w:w="80" w:type="dxa"/>
            </w:tcMar>
            <w:vAlign w:val="center"/>
          </w:tcPr>
          <w:p>
            <w:pPr>
              <w:spacing w:after="0" w:before="0"/>
            </w:pPr>
            <w:r>
              <w:rPr>
                <w:rFonts w:ascii="Arial" w:hAnsi="Arial"/>
                <w:sz w:val="16"/>
              </w:rPr>
              <w:t>Modular monolith / bounded domains</w:t>
            </w:r>
          </w:p>
        </w:tc>
        <w:tc>
          <w:tcPr>
            <w:tcW w:type="dxa" w:w="5008"/>
            <w:tcMar>
              <w:top w:w="70" w:type="dxa"/>
              <w:start w:w="80" w:type="dxa"/>
              <w:bottom w:w="70" w:type="dxa"/>
              <w:end w:w="80" w:type="dxa"/>
            </w:tcMar>
            <w:vAlign w:val="center"/>
          </w:tcPr>
          <w:p>
            <w:pPr>
              <w:spacing w:after="0" w:before="0"/>
            </w:pPr>
            <w:r>
              <w:rPr>
                <w:rFonts w:ascii="Arial" w:hAnsi="Arial"/>
                <w:sz w:val="16"/>
              </w:rPr>
              <w:t>5-6 domain-aligned modules/services; extract only when scaling, compliance or workload isolation requires it.</w:t>
            </w:r>
          </w:p>
        </w:tc>
      </w:tr>
      <w:tr>
        <w:tc>
          <w:tcPr>
            <w:tcW w:type="dxa" w:w="5008"/>
            <w:tcMar>
              <w:top w:w="70" w:type="dxa"/>
              <w:start w:w="80" w:type="dxa"/>
              <w:bottom w:w="70" w:type="dxa"/>
              <w:end w:w="80" w:type="dxa"/>
            </w:tcMar>
            <w:vAlign w:val="center"/>
          </w:tcPr>
          <w:p>
            <w:pPr>
              <w:spacing w:after="0" w:before="0"/>
            </w:pPr>
            <w:r>
              <w:rPr>
                <w:rFonts w:ascii="Arial" w:hAnsi="Arial"/>
                <w:sz w:val="16"/>
              </w:rPr>
              <w:t>ERP strategy</w:t>
            </w:r>
          </w:p>
        </w:tc>
        <w:tc>
          <w:tcPr>
            <w:tcW w:type="dxa" w:w="5008"/>
            <w:tcMar>
              <w:top w:w="70" w:type="dxa"/>
              <w:start w:w="80" w:type="dxa"/>
              <w:bottom w:w="70" w:type="dxa"/>
              <w:end w:w="80" w:type="dxa"/>
            </w:tcMar>
            <w:vAlign w:val="center"/>
          </w:tcPr>
          <w:p>
            <w:r>
              <w:t>Staged transition: Odoo CE first, JK-built POS/Inventory long term</w:t>
            </w:r>
          </w:p>
        </w:tc>
        <w:tc>
          <w:tcPr>
            <w:tcW w:type="dxa" w:w="5008"/>
            <w:tcMar>
              <w:top w:w="70" w:type="dxa"/>
              <w:start w:w="80" w:type="dxa"/>
              <w:bottom w:w="70" w:type="dxa"/>
              <w:end w:w="80" w:type="dxa"/>
            </w:tcMar>
            <w:vAlign w:val="center"/>
          </w:tcPr>
          <w:p>
            <w:r>
              <w:t>Use Odoo Community Edition to stabilize outlet POS and Inventory quickly after Excel migration. Build the long-term JK Inventory and POS in parallel, then replace Odoo only after the new modules pass parallel testing and reconciliation. The custom ERP remains the long-term clinical, Human Resources, payroll and reporting platform.</w:t>
            </w:r>
          </w:p>
        </w:tc>
      </w:tr>
      <w:tr>
        <w:tc>
          <w:tcPr>
            <w:tcW w:type="dxa" w:w="5008"/>
            <w:tcMar>
              <w:top w:w="70" w:type="dxa"/>
              <w:start w:w="80" w:type="dxa"/>
              <w:bottom w:w="70" w:type="dxa"/>
              <w:end w:w="80" w:type="dxa"/>
            </w:tcMar>
            <w:vAlign w:val="center"/>
          </w:tcPr>
          <w:p>
            <w:pPr>
              <w:spacing w:after="0" w:before="0"/>
            </w:pPr>
            <w:r>
              <w:rPr>
                <w:rFonts w:ascii="Arial" w:hAnsi="Arial"/>
                <w:sz w:val="16"/>
              </w:rPr>
              <w:t>Cloud posture</w:t>
            </w:r>
          </w:p>
        </w:tc>
        <w:tc>
          <w:tcPr>
            <w:tcW w:type="dxa" w:w="5008"/>
            <w:tcMar>
              <w:top w:w="70" w:type="dxa"/>
              <w:start w:w="80" w:type="dxa"/>
              <w:bottom w:w="70" w:type="dxa"/>
              <w:end w:w="80" w:type="dxa"/>
            </w:tcMar>
            <w:vAlign w:val="center"/>
          </w:tcPr>
          <w:p>
            <w:pPr>
              <w:spacing w:after="0" w:before="0"/>
            </w:pPr>
            <w:r>
              <w:rPr>
                <w:rFonts w:ascii="Arial" w:hAnsi="Arial"/>
                <w:sz w:val="16"/>
              </w:rPr>
              <w:t>Hybrid-leaning-cloud</w:t>
            </w:r>
          </w:p>
        </w:tc>
        <w:tc>
          <w:tcPr>
            <w:tcW w:type="dxa" w:w="5008"/>
            <w:tcMar>
              <w:top w:w="70" w:type="dxa"/>
              <w:start w:w="80" w:type="dxa"/>
              <w:bottom w:w="70" w:type="dxa"/>
              <w:end w:w="80" w:type="dxa"/>
            </w:tcMar>
            <w:vAlign w:val="center"/>
          </w:tcPr>
          <w:p>
            <w:pPr>
              <w:spacing w:after="0" w:before="0"/>
            </w:pPr>
            <w:r>
              <w:rPr>
                <w:rFonts w:ascii="Arial" w:hAnsi="Arial"/>
                <w:sz w:val="16"/>
              </w:rPr>
              <w:t>Managed cloud for applications/data, with local resilience for clinical/outlet continuity where internet dependence is unacceptable.</w:t>
            </w:r>
          </w:p>
        </w:tc>
      </w:tr>
      <w:tr>
        <w:tc>
          <w:tcPr>
            <w:tcW w:type="dxa" w:w="5008"/>
            <w:tcMar>
              <w:top w:w="70" w:type="dxa"/>
              <w:start w:w="80" w:type="dxa"/>
              <w:bottom w:w="70" w:type="dxa"/>
              <w:end w:w="80" w:type="dxa"/>
            </w:tcMar>
            <w:vAlign w:val="center"/>
          </w:tcPr>
          <w:p>
            <w:pPr>
              <w:spacing w:after="0" w:before="0"/>
            </w:pPr>
            <w:r>
              <w:rPr>
                <w:rFonts w:ascii="Arial" w:hAnsi="Arial"/>
                <w:sz w:val="16"/>
              </w:rPr>
              <w:t>Integration model</w:t>
            </w:r>
          </w:p>
        </w:tc>
        <w:tc>
          <w:tcPr>
            <w:tcW w:type="dxa" w:w="5008"/>
            <w:tcMar>
              <w:top w:w="70" w:type="dxa"/>
              <w:start w:w="80" w:type="dxa"/>
              <w:bottom w:w="70" w:type="dxa"/>
              <w:end w:w="80" w:type="dxa"/>
            </w:tcMar>
            <w:vAlign w:val="center"/>
          </w:tcPr>
          <w:p>
            <w:pPr>
              <w:spacing w:after="0" w:before="0"/>
            </w:pPr>
            <w:r>
              <w:rPr>
                <w:rFonts w:ascii="Arial" w:hAnsi="Arial"/>
                <w:sz w:val="16"/>
              </w:rPr>
              <w:t>API-first + domain events</w:t>
            </w:r>
          </w:p>
        </w:tc>
        <w:tc>
          <w:tcPr>
            <w:tcW w:type="dxa" w:w="5008"/>
            <w:tcMar>
              <w:top w:w="70" w:type="dxa"/>
              <w:start w:w="80" w:type="dxa"/>
              <w:bottom w:w="70" w:type="dxa"/>
              <w:end w:w="80" w:type="dxa"/>
            </w:tcMar>
            <w:vAlign w:val="center"/>
          </w:tcPr>
          <w:p>
            <w:pPr>
              <w:spacing w:after="0" w:before="0"/>
            </w:pPr>
            <w:r>
              <w:rPr>
                <w:rFonts w:ascii="Arial" w:hAnsi="Arial"/>
                <w:sz w:val="16"/>
              </w:rPr>
              <w:t>No direct cross-domain database access; synchronous APIs for commands/queries, events for decoupled downstream reactions.</w:t>
            </w:r>
          </w:p>
        </w:tc>
      </w:tr>
      <w:tr>
        <w:tc>
          <w:tcPr>
            <w:tcW w:type="dxa" w:w="5008"/>
            <w:tcMar>
              <w:top w:w="70" w:type="dxa"/>
              <w:start w:w="80" w:type="dxa"/>
              <w:bottom w:w="70" w:type="dxa"/>
              <w:end w:w="80" w:type="dxa"/>
            </w:tcMar>
            <w:vAlign w:val="center"/>
          </w:tcPr>
          <w:p>
            <w:pPr>
              <w:spacing w:after="0" w:before="0"/>
            </w:pPr>
            <w:r>
              <w:rPr>
                <w:rFonts w:ascii="Arial" w:hAnsi="Arial"/>
                <w:sz w:val="16"/>
              </w:rPr>
              <w:t>Identity</w:t>
            </w:r>
          </w:p>
        </w:tc>
        <w:tc>
          <w:tcPr>
            <w:tcW w:type="dxa" w:w="5008"/>
            <w:tcMar>
              <w:top w:w="70" w:type="dxa"/>
              <w:start w:w="80" w:type="dxa"/>
              <w:bottom w:w="70" w:type="dxa"/>
              <w:end w:w="80" w:type="dxa"/>
            </w:tcMar>
            <w:vAlign w:val="center"/>
          </w:tcPr>
          <w:p>
            <w:pPr>
              <w:spacing w:after="0" w:before="0"/>
            </w:pPr>
            <w:r>
              <w:rPr>
                <w:rFonts w:ascii="Arial" w:hAnsi="Arial"/>
                <w:sz w:val="16"/>
              </w:rPr>
              <w:t>One JK ID</w:t>
            </w:r>
          </w:p>
        </w:tc>
        <w:tc>
          <w:tcPr>
            <w:tcW w:type="dxa" w:w="5008"/>
            <w:tcMar>
              <w:top w:w="70" w:type="dxa"/>
              <w:start w:w="80" w:type="dxa"/>
              <w:bottom w:w="70" w:type="dxa"/>
              <w:end w:w="80" w:type="dxa"/>
            </w:tcMar>
            <w:vAlign w:val="center"/>
          </w:tcPr>
          <w:p>
            <w:pPr>
              <w:spacing w:after="0" w:before="0"/>
            </w:pPr>
            <w:r>
              <w:rPr>
                <w:rFonts w:ascii="Arial" w:hAnsi="Arial"/>
                <w:sz w:val="16"/>
              </w:rPr>
              <w:t>A single party identity can hold Customer, Patient, Member, Employee or Vendor roles without duplicate customer records.</w:t>
            </w:r>
          </w:p>
        </w:tc>
      </w:tr>
      <w:tr>
        <w:tc>
          <w:tcPr>
            <w:tcW w:type="dxa" w:w="5008"/>
            <w:tcMar>
              <w:top w:w="70" w:type="dxa"/>
              <w:start w:w="80" w:type="dxa"/>
              <w:bottom w:w="70" w:type="dxa"/>
              <w:end w:w="80" w:type="dxa"/>
            </w:tcMar>
            <w:vAlign w:val="center"/>
          </w:tcPr>
          <w:p>
            <w:pPr>
              <w:spacing w:after="0" w:before="0"/>
            </w:pPr>
            <w:r>
              <w:rPr>
                <w:rFonts w:ascii="Arial" w:hAnsi="Arial"/>
                <w:sz w:val="16"/>
              </w:rPr>
              <w:t>Migration</w:t>
            </w:r>
          </w:p>
        </w:tc>
        <w:tc>
          <w:tcPr>
            <w:tcW w:type="dxa" w:w="5008"/>
            <w:tcMar>
              <w:top w:w="70" w:type="dxa"/>
              <w:start w:w="80" w:type="dxa"/>
              <w:bottom w:w="70" w:type="dxa"/>
              <w:end w:w="80" w:type="dxa"/>
            </w:tcMar>
            <w:vAlign w:val="center"/>
          </w:tcPr>
          <w:p>
            <w:pPr>
              <w:spacing w:after="0" w:before="0"/>
            </w:pPr>
            <w:r>
              <w:rPr>
                <w:rFonts w:ascii="Arial" w:hAnsi="Arial"/>
                <w:sz w:val="16"/>
              </w:rPr>
              <w:t>Parallel run, no big bang</w:t>
            </w:r>
          </w:p>
        </w:tc>
        <w:tc>
          <w:tcPr>
            <w:tcW w:type="dxa" w:w="5008"/>
            <w:tcMar>
              <w:top w:w="70" w:type="dxa"/>
              <w:start w:w="80" w:type="dxa"/>
              <w:bottom w:w="70" w:type="dxa"/>
              <w:end w:w="80" w:type="dxa"/>
            </w:tcMar>
            <w:vAlign w:val="center"/>
          </w:tcPr>
          <w:p>
            <w:pPr>
              <w:spacing w:after="0" w:before="0"/>
            </w:pPr>
            <w:r>
              <w:rPr>
                <w:rFonts w:ascii="Arial" w:hAnsi="Arial"/>
                <w:sz w:val="16"/>
              </w:rPr>
              <w:t>Rehearse in staging, shadow/parallel run, reconcile, preserve rollback and cut over outlet/module by module.</w:t>
            </w:r>
          </w:p>
        </w:tc>
      </w:tr>
      <w:tr>
        <w:tc>
          <w:tcPr>
            <w:tcW w:type="dxa" w:w="5008"/>
            <w:tcMar>
              <w:top w:w="70" w:type="dxa"/>
              <w:start w:w="80" w:type="dxa"/>
              <w:bottom w:w="70" w:type="dxa"/>
              <w:end w:w="80" w:type="dxa"/>
            </w:tcMar>
            <w:vAlign w:val="center"/>
          </w:tcPr>
          <w:p>
            <w:pPr>
              <w:spacing w:after="0" w:before="0"/>
            </w:pPr>
            <w:r>
              <w:rPr>
                <w:rFonts w:ascii="Arial" w:hAnsi="Arial"/>
                <w:sz w:val="16"/>
              </w:rPr>
              <w:t>Delivery</w:t>
            </w:r>
          </w:p>
        </w:tc>
        <w:tc>
          <w:tcPr>
            <w:tcW w:type="dxa" w:w="5008"/>
            <w:tcMar>
              <w:top w:w="70" w:type="dxa"/>
              <w:start w:w="80" w:type="dxa"/>
              <w:bottom w:w="70" w:type="dxa"/>
              <w:end w:w="80" w:type="dxa"/>
            </w:tcMar>
            <w:vAlign w:val="center"/>
          </w:tcPr>
          <w:p>
            <w:pPr>
              <w:spacing w:after="0" w:before="0"/>
            </w:pPr>
            <w:r>
              <w:rPr>
                <w:rFonts w:ascii="Arial" w:hAnsi="Arial"/>
                <w:sz w:val="16"/>
              </w:rPr>
              <w:t>Continuous user acceptance testing + gated releases</w:t>
            </w:r>
          </w:p>
        </w:tc>
        <w:tc>
          <w:tcPr>
            <w:tcW w:type="dxa" w:w="5008"/>
            <w:tcMar>
              <w:top w:w="70" w:type="dxa"/>
              <w:start w:w="80" w:type="dxa"/>
              <w:bottom w:w="70" w:type="dxa"/>
              <w:end w:w="80" w:type="dxa"/>
            </w:tcMar>
            <w:vAlign w:val="center"/>
          </w:tcPr>
          <w:p>
            <w:pPr>
              <w:spacing w:after="0" w:before="0"/>
            </w:pPr>
            <w:r>
              <w:rPr>
                <w:rFonts w:ascii="Arial" w:hAnsi="Arial"/>
                <w:sz w:val="16"/>
              </w:rPr>
              <w:t>Two-week sprints, demos, targeted user acceptance testing, security/performance/disaster-recovery evidence before major go-live.</w:t>
            </w:r>
          </w:p>
        </w:tc>
      </w:tr>
    </w:tbl>
    <w:p>
      <w:pPr>
        <w:pStyle w:val="Heading2"/>
      </w:pPr>
      <w:r>
        <w:t>3.2 Layered system architecture</w:t>
      </w:r>
    </w:p>
    <w:tbl>
      <w:tblPr>
        <w:tblW w:type="auto" w:w="0"/>
        <w:jc w:val="center"/>
        <w:tblLayout w:type="autofit"/>
        <w:tblLook w:firstColumn="1" w:firstRow="1" w:lastColumn="0" w:lastRow="0" w:noHBand="0" w:noVBand="1" w:val="04A0"/>
      </w:tblPr>
      <w:tblGrid>
        <w:gridCol w:w="5008"/>
        <w:gridCol w:w="5008"/>
        <w:gridCol w:w="5008"/>
      </w:tblGrid>
      <w:tr>
        <w:trPr>
          <w:tblHeader w:val="true"/>
        </w:trPr>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Layer</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Primary components</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Responsibility</w:t>
            </w:r>
          </w:p>
        </w:tc>
      </w:tr>
      <w:tr>
        <w:tc>
          <w:tcPr>
            <w:tcW w:type="dxa" w:w="5008"/>
            <w:tcMar>
              <w:top w:w="70" w:type="dxa"/>
              <w:start w:w="80" w:type="dxa"/>
              <w:bottom w:w="70" w:type="dxa"/>
              <w:end w:w="80" w:type="dxa"/>
            </w:tcMar>
            <w:vAlign w:val="center"/>
          </w:tcPr>
          <w:p>
            <w:pPr>
              <w:spacing w:after="0" w:before="0"/>
            </w:pPr>
            <w:r>
              <w:rPr>
                <w:rFonts w:ascii="Arial" w:hAnsi="Arial"/>
                <w:sz w:val="16"/>
              </w:rPr>
              <w:t>Experience / Channel</w:t>
            </w:r>
          </w:p>
        </w:tc>
        <w:tc>
          <w:tcPr>
            <w:tcW w:type="dxa" w:w="5008"/>
            <w:tcMar>
              <w:top w:w="70" w:type="dxa"/>
              <w:start w:w="80" w:type="dxa"/>
              <w:bottom w:w="70" w:type="dxa"/>
              <w:end w:w="80" w:type="dxa"/>
            </w:tcMar>
            <w:vAlign w:val="center"/>
          </w:tcPr>
          <w:p>
            <w:r>
              <w:t>Super Website; Super App; Staff Apps; JK ERP/Clinical Console; Odoo CE POS during transition</w:t>
            </w:r>
          </w:p>
        </w:tc>
        <w:tc>
          <w:tcPr>
            <w:tcW w:type="dxa" w:w="5008"/>
            <w:tcMar>
              <w:top w:w="70" w:type="dxa"/>
              <w:start w:w="80" w:type="dxa"/>
              <w:bottom w:w="70" w:type="dxa"/>
              <w:end w:w="80" w:type="dxa"/>
            </w:tcMar>
            <w:vAlign w:val="center"/>
          </w:tcPr>
          <w:p>
            <w:r>
              <w:t>These are the customer, workforce, clinical and outlet interfaces. Odoo CE supports the first POS/Inventory phase, while JK ERP is the long-term operational and reporting platform.</w:t>
            </w:r>
          </w:p>
        </w:tc>
      </w:tr>
      <w:tr>
        <w:tc>
          <w:tcPr>
            <w:tcW w:type="dxa" w:w="5008"/>
            <w:tcMar>
              <w:top w:w="70" w:type="dxa"/>
              <w:start w:w="80" w:type="dxa"/>
              <w:bottom w:w="70" w:type="dxa"/>
              <w:end w:w="80" w:type="dxa"/>
            </w:tcMar>
            <w:vAlign w:val="center"/>
          </w:tcPr>
          <w:p>
            <w:pPr>
              <w:spacing w:after="0" w:before="0"/>
            </w:pPr>
            <w:r>
              <w:rPr>
                <w:rFonts w:ascii="Arial" w:hAnsi="Arial"/>
                <w:sz w:val="16"/>
              </w:rPr>
              <w:t>Shared Foundation / Control Plane</w:t>
            </w:r>
          </w:p>
        </w:tc>
        <w:tc>
          <w:tcPr>
            <w:tcW w:type="dxa" w:w="5008"/>
            <w:tcMar>
              <w:top w:w="70" w:type="dxa"/>
              <w:start w:w="80" w:type="dxa"/>
              <w:bottom w:w="70" w:type="dxa"/>
              <w:end w:w="80" w:type="dxa"/>
            </w:tcMar>
            <w:vAlign w:val="center"/>
          </w:tcPr>
          <w:p>
            <w:r>
              <w:t>JK ID and single sign-on; central integration gateway; role-based access control; consent; notifications; content management; search; payment; loyalty; audit</w:t>
            </w:r>
          </w:p>
        </w:tc>
        <w:tc>
          <w:tcPr>
            <w:tcW w:type="dxa" w:w="5008"/>
            <w:tcMar>
              <w:top w:w="70" w:type="dxa"/>
              <w:start w:w="80" w:type="dxa"/>
              <w:bottom w:w="70" w:type="dxa"/>
              <w:end w:w="80" w:type="dxa"/>
            </w:tcMar>
            <w:vAlign w:val="center"/>
          </w:tcPr>
          <w:p>
            <w:pPr>
              <w:spacing w:after="0" w:before="0"/>
            </w:pPr>
            <w:r>
              <w:rPr>
                <w:rFonts w:ascii="Arial" w:hAnsi="Arial"/>
                <w:sz w:val="16"/>
              </w:rPr>
              <w:t>This layer provides one identity, central access rules, common communications and shared controls across every application.</w:t>
            </w:r>
          </w:p>
        </w:tc>
      </w:tr>
      <w:tr>
        <w:tc>
          <w:tcPr>
            <w:tcW w:type="dxa" w:w="5008"/>
            <w:tcMar>
              <w:top w:w="70" w:type="dxa"/>
              <w:start w:w="80" w:type="dxa"/>
              <w:bottom w:w="70" w:type="dxa"/>
              <w:end w:w="80" w:type="dxa"/>
            </w:tcMar>
            <w:vAlign w:val="center"/>
          </w:tcPr>
          <w:p>
            <w:pPr>
              <w:spacing w:after="0" w:before="0"/>
            </w:pPr>
            <w:r>
              <w:rPr>
                <w:rFonts w:ascii="Arial" w:hAnsi="Arial"/>
                <w:sz w:val="16"/>
              </w:rPr>
              <w:t>Business Domains</w:t>
            </w:r>
          </w:p>
        </w:tc>
        <w:tc>
          <w:tcPr>
            <w:tcW w:type="dxa" w:w="5008"/>
            <w:tcMar>
              <w:top w:w="70" w:type="dxa"/>
              <w:start w:w="80" w:type="dxa"/>
              <w:bottom w:w="70" w:type="dxa"/>
              <w:end w:w="80" w:type="dxa"/>
            </w:tcMar>
            <w:vAlign w:val="center"/>
          </w:tcPr>
          <w:p>
            <w:r>
              <w:t>POS/Inventory transition; Clinical/Care; Employee and Human Resources; Membership/Fitness; Community/Education; ERP Reporting</w:t>
            </w:r>
          </w:p>
        </w:tc>
        <w:tc>
          <w:tcPr>
            <w:tcW w:type="dxa" w:w="5008"/>
            <w:tcMar>
              <w:top w:w="70" w:type="dxa"/>
              <w:start w:w="80" w:type="dxa"/>
              <w:bottom w:w="70" w:type="dxa"/>
              <w:end w:w="80" w:type="dxa"/>
            </w:tcMar>
            <w:vAlign w:val="center"/>
          </w:tcPr>
          <w:p>
            <w:r>
              <w:t>Odoo Community Edition is temporary for POS/Inventory. JK-owned modules manage clinical services, Human Resources, reporting and the long-term POS/Inventory replacement with clear data ownership.</w:t>
            </w:r>
          </w:p>
        </w:tc>
      </w:tr>
      <w:tr>
        <w:tc>
          <w:tcPr>
            <w:tcW w:type="dxa" w:w="5008"/>
            <w:tcMar>
              <w:top w:w="70" w:type="dxa"/>
              <w:start w:w="80" w:type="dxa"/>
              <w:bottom w:w="70" w:type="dxa"/>
              <w:end w:w="80" w:type="dxa"/>
            </w:tcMar>
            <w:vAlign w:val="center"/>
          </w:tcPr>
          <w:p>
            <w:pPr>
              <w:spacing w:after="0" w:before="0"/>
            </w:pPr>
            <w:r>
              <w:rPr>
                <w:rFonts w:ascii="Arial" w:hAnsi="Arial"/>
                <w:sz w:val="16"/>
              </w:rPr>
              <w:t>Data, Events &amp; Intelligence</w:t>
            </w:r>
          </w:p>
        </w:tc>
        <w:tc>
          <w:tcPr>
            <w:tcW w:type="dxa" w:w="5008"/>
            <w:tcMar>
              <w:top w:w="70" w:type="dxa"/>
              <w:start w:w="80" w:type="dxa"/>
              <w:bottom w:w="70" w:type="dxa"/>
              <w:end w:w="80" w:type="dxa"/>
            </w:tcMar>
            <w:vAlign w:val="center"/>
          </w:tcPr>
          <w:p>
            <w:pPr>
              <w:spacing w:after="0" w:before="0"/>
            </w:pPr>
            <w:r>
              <w:rPr>
                <w:rFonts w:ascii="Arial" w:hAnsi="Arial"/>
                <w:sz w:val="16"/>
              </w:rPr>
              <w:t>PostgreSQL; Redis; RabbitMQ; Object Storage / Content Delivery Network; Warehouse; AI and machine learning services</w:t>
            </w:r>
          </w:p>
        </w:tc>
        <w:tc>
          <w:tcPr>
            <w:tcW w:type="dxa" w:w="5008"/>
            <w:tcMar>
              <w:top w:w="70" w:type="dxa"/>
              <w:start w:w="80" w:type="dxa"/>
              <w:bottom w:w="70" w:type="dxa"/>
              <w:end w:w="80" w:type="dxa"/>
            </w:tcMar>
            <w:vAlign w:val="center"/>
          </w:tcPr>
          <w:p>
            <w:pPr>
              <w:spacing w:after="0" w:before="0"/>
            </w:pPr>
            <w:r>
              <w:rPr>
                <w:rFonts w:ascii="Arial" w:hAnsi="Arial"/>
                <w:sz w:val="16"/>
              </w:rPr>
              <w:t>Operational persistence, cache/session, asynchronous events, media, analytics and model workloads.</w:t>
            </w:r>
          </w:p>
        </w:tc>
      </w:tr>
      <w:tr>
        <w:tc>
          <w:tcPr>
            <w:tcW w:type="dxa" w:w="5008"/>
            <w:tcMar>
              <w:top w:w="70" w:type="dxa"/>
              <w:start w:w="80" w:type="dxa"/>
              <w:bottom w:w="70" w:type="dxa"/>
              <w:end w:w="80" w:type="dxa"/>
            </w:tcMar>
            <w:vAlign w:val="center"/>
          </w:tcPr>
          <w:p>
            <w:pPr>
              <w:spacing w:after="0" w:before="0"/>
            </w:pPr>
            <w:r>
              <w:rPr>
                <w:rFonts w:ascii="Arial" w:hAnsi="Arial"/>
                <w:sz w:val="16"/>
              </w:rPr>
              <w:t>Integration</w:t>
            </w:r>
          </w:p>
        </w:tc>
        <w:tc>
          <w:tcPr>
            <w:tcW w:type="dxa" w:w="5008"/>
            <w:tcMar>
              <w:top w:w="70" w:type="dxa"/>
              <w:start w:w="80" w:type="dxa"/>
              <w:bottom w:w="70" w:type="dxa"/>
              <w:end w:w="80" w:type="dxa"/>
            </w:tcMar>
            <w:vAlign w:val="center"/>
          </w:tcPr>
          <w:p>
            <w:r>
              <w:t>Payment/mobile financial services; SMS/Email/WhatsApp; Health Connect/HealthKit; wearable system interfaces/Bluetooth; Sinbad; biometric/lab devices</w:t>
            </w:r>
          </w:p>
        </w:tc>
        <w:tc>
          <w:tcPr>
            <w:tcW w:type="dxa" w:w="5008"/>
            <w:tcMar>
              <w:top w:w="70" w:type="dxa"/>
              <w:start w:w="80" w:type="dxa"/>
              <w:bottom w:w="70" w:type="dxa"/>
              <w:end w:w="80" w:type="dxa"/>
            </w:tcMar>
            <w:vAlign w:val="center"/>
          </w:tcPr>
          <w:p>
            <w:r>
              <w:t>Adapters isolate external providers and Odoo integration contracts from custom domain logic, preserving replaceability and controlled coupling.</w:t>
            </w:r>
          </w:p>
        </w:tc>
      </w:tr>
    </w:tbl>
    <w:p>
      <w:pPr>
        <w:spacing w:after="60"/>
        <w:ind w:left="288" w:hanging="173"/>
      </w:pPr>
      <w:r>
        <w:t>•  Boundary rule: each domain owns its data; other domains consume APIs or events, never shared tables.</w:t>
      </w:r>
    </w:p>
    <w:p>
      <w:pPr>
        <w:spacing w:after="60"/>
        <w:ind w:left="288" w:hanging="173"/>
      </w:pPr>
      <w:r>
        <w:t>•  Evolution rule: Clinical and AI/Food Recognition are the first likely candidates for independent service extraction because of health-data isolation and inference workloads.</w:t>
      </w:r>
    </w:p>
    <w:p>
      <w:pPr>
        <w:spacing w:after="60"/>
        <w:ind w:left="288" w:hanging="173"/>
      </w:pPr>
      <w:r>
        <w:t>•  Data rule: events required for alerts, analytics and future prediction are captured from day one; historical data cannot be retrofitted later.</w:t>
      </w:r>
    </w:p>
    <w:p>
      <w:pPr>
        <w:spacing w:after="60"/>
        <w:ind w:left="288" w:hanging="173"/>
      </w:pPr>
      <w:r>
        <w:t>•  Migration rule: no production cutover without rehearsal, reconciliation, rollback and business-owner sign-off.</w:t>
      </w:r>
    </w:p>
    <w:p>
      <w:pPr>
        <w:pStyle w:val="Heading2"/>
      </w:pPr>
      <w:r>
        <w:t>3.3 Domain ownership &amp; ERP boundary</w:t>
      </w:r>
    </w:p>
    <w:tbl>
      <w:tblPr>
        <w:tblW w:type="auto" w:w="0"/>
        <w:jc w:val="center"/>
        <w:tblLayout w:type="autofit"/>
        <w:tblLook w:firstColumn="1" w:firstRow="1" w:lastColumn="0" w:lastRow="0" w:noHBand="0" w:noVBand="1" w:val="04A0"/>
      </w:tblPr>
      <w:tblGrid>
        <w:gridCol w:w="5008"/>
        <w:gridCol w:w="5008"/>
        <w:gridCol w:w="5008"/>
      </w:tblGrid>
      <w:tr>
        <w:trPr>
          <w:tblHeader w:val="true"/>
        </w:trPr>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Domain</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System of record / ownership</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Scope</w:t>
            </w:r>
          </w:p>
        </w:tc>
      </w:tr>
      <w:tr>
        <w:tc>
          <w:tcPr>
            <w:tcW w:type="dxa" w:w="5008"/>
            <w:tcMar>
              <w:top w:w="70" w:type="dxa"/>
              <w:start w:w="80" w:type="dxa"/>
              <w:bottom w:w="70" w:type="dxa"/>
              <w:end w:w="80" w:type="dxa"/>
            </w:tcMar>
            <w:vAlign w:val="center"/>
          </w:tcPr>
          <w:p>
            <w:r>
              <w:t>Identity &amp; Shared Platform</w:t>
            </w:r>
          </w:p>
        </w:tc>
        <w:tc>
          <w:tcPr>
            <w:tcW w:type="dxa" w:w="5008"/>
            <w:tcMar>
              <w:top w:w="70" w:type="dxa"/>
              <w:start w:w="80" w:type="dxa"/>
              <w:bottom w:w="70" w:type="dxa"/>
              <w:end w:w="80" w:type="dxa"/>
            </w:tcMar>
            <w:vAlign w:val="center"/>
          </w:tcPr>
          <w:p>
            <w:r>
              <w:t>Custom / JK Tech</w:t>
            </w:r>
          </w:p>
        </w:tc>
        <w:tc>
          <w:tcPr>
            <w:tcW w:type="dxa" w:w="5008"/>
            <w:tcMar>
              <w:top w:w="70" w:type="dxa"/>
              <w:start w:w="80" w:type="dxa"/>
              <w:bottom w:w="70" w:type="dxa"/>
              <w:end w:w="80" w:type="dxa"/>
            </w:tcMar>
            <w:vAlign w:val="center"/>
          </w:tcPr>
          <w:p>
            <w:r>
              <w:t>JK ID, login, role-based access control, consent, notifications, audit logs, the central integration gateway, integration rules and identity mapping to Odoo customer/partner records.</w:t>
            </w:r>
          </w:p>
        </w:tc>
      </w:tr>
      <w:tr>
        <w:tc>
          <w:tcPr>
            <w:tcW w:type="dxa" w:w="5008"/>
            <w:tcMar>
              <w:top w:w="70" w:type="dxa"/>
              <w:start w:w="80" w:type="dxa"/>
              <w:bottom w:w="70" w:type="dxa"/>
              <w:end w:w="80" w:type="dxa"/>
            </w:tcMar>
            <w:vAlign w:val="center"/>
          </w:tcPr>
          <w:p>
            <w:r>
              <w:t>Initial Outlet POS &amp; Inventory</w:t>
            </w:r>
          </w:p>
        </w:tc>
        <w:tc>
          <w:tcPr>
            <w:tcW w:type="dxa" w:w="5008"/>
            <w:tcMar>
              <w:top w:w="70" w:type="dxa"/>
              <w:start w:w="80" w:type="dxa"/>
              <w:bottom w:w="70" w:type="dxa"/>
              <w:end w:w="80" w:type="dxa"/>
            </w:tcMar>
            <w:vAlign w:val="center"/>
          </w:tcPr>
          <w:p>
            <w:r>
              <w:t>Transition: Odoo CE → JK Tech</w:t>
            </w:r>
          </w:p>
        </w:tc>
        <w:tc>
          <w:tcPr>
            <w:tcW w:type="dxa" w:w="5008"/>
            <w:tcMar>
              <w:top w:w="70" w:type="dxa"/>
              <w:start w:w="80" w:type="dxa"/>
              <w:bottom w:w="70" w:type="dxa"/>
              <w:end w:w="80" w:type="dxa"/>
            </w:tcMar>
            <w:vAlign w:val="center"/>
          </w:tcPr>
          <w:p>
            <w:r>
              <w:t>Odoo Community Edition initially runs outlet POS and Inventory using cleaned Excel data. JK Tech builds the long-term Inventory and POS modules and takes ownership after a controlled outlet-by-outlet cut-over. Accounting is treated as a separate integration decision and is not the reason for keeping Odoo as the long-term POS or Inventory platform.</w:t>
            </w:r>
          </w:p>
        </w:tc>
      </w:tr>
      <w:tr>
        <w:tc>
          <w:tcPr>
            <w:tcW w:type="dxa" w:w="5008"/>
            <w:tcMar>
              <w:top w:w="70" w:type="dxa"/>
              <w:start w:w="80" w:type="dxa"/>
              <w:bottom w:w="70" w:type="dxa"/>
              <w:end w:w="80" w:type="dxa"/>
            </w:tcMar>
            <w:vAlign w:val="center"/>
          </w:tcPr>
          <w:p>
            <w:r>
              <w:t>Clinical and Care Plan</w:t>
            </w:r>
          </w:p>
        </w:tc>
        <w:tc>
          <w:tcPr>
            <w:tcW w:type="dxa" w:w="5008"/>
            <w:tcMar>
              <w:top w:w="70" w:type="dxa"/>
              <w:start w:w="80" w:type="dxa"/>
              <w:bottom w:w="70" w:type="dxa"/>
              <w:end w:w="80" w:type="dxa"/>
            </w:tcMar>
            <w:vAlign w:val="center"/>
          </w:tcPr>
          <w:p>
            <w:r>
              <w:t>Custom / JK Tech with clinical expert support</w:t>
            </w:r>
          </w:p>
        </w:tc>
        <w:tc>
          <w:tcPr>
            <w:tcW w:type="dxa" w:w="5008"/>
            <w:tcMar>
              <w:top w:w="70" w:type="dxa"/>
              <w:start w:w="80" w:type="dxa"/>
              <w:bottom w:w="70" w:type="dxa"/>
              <w:end w:w="80" w:type="dxa"/>
            </w:tcMar>
            <w:vAlign w:val="center"/>
          </w:tcPr>
          <w:p>
            <w:r>
              <w:t>The ERP manages doctor profiles, patient registration, appointment requests, outpatient services, patient medical records, consent, Care Plans, clinical invoices, tasks and alerts.</w:t>
            </w:r>
          </w:p>
        </w:tc>
      </w:tr>
      <w:tr>
        <w:tc>
          <w:tcPr>
            <w:tcW w:type="dxa" w:w="5008"/>
            <w:tcMar>
              <w:top w:w="70" w:type="dxa"/>
              <w:start w:w="80" w:type="dxa"/>
              <w:bottom w:w="70" w:type="dxa"/>
              <w:end w:w="80" w:type="dxa"/>
            </w:tcMar>
            <w:vAlign w:val="center"/>
          </w:tcPr>
          <w:p>
            <w:r>
              <w:t>Employee and Human Resources Management</w:t>
            </w:r>
          </w:p>
        </w:tc>
        <w:tc>
          <w:tcPr>
            <w:tcW w:type="dxa" w:w="5008"/>
            <w:tcMar>
              <w:top w:w="70" w:type="dxa"/>
              <w:start w:w="80" w:type="dxa"/>
              <w:bottom w:w="70" w:type="dxa"/>
              <w:end w:w="80" w:type="dxa"/>
            </w:tcMar>
            <w:vAlign w:val="center"/>
          </w:tcPr>
          <w:p>
            <w:r>
              <w:t>Custom / JK Tech</w:t>
            </w:r>
          </w:p>
        </w:tc>
        <w:tc>
          <w:tcPr>
            <w:tcW w:type="dxa" w:w="5008"/>
            <w:tcMar>
              <w:top w:w="70" w:type="dxa"/>
              <w:start w:w="80" w:type="dxa"/>
              <w:bottom w:w="70" w:type="dxa"/>
              <w:end w:w="80" w:type="dxa"/>
            </w:tcMar>
            <w:vAlign w:val="center"/>
          </w:tcPr>
          <w:p>
            <w:r>
              <w:t>The ERP manages employee records, attendance, leave, roster, payroll calculation and payroll approval.</w:t>
            </w:r>
          </w:p>
        </w:tc>
      </w:tr>
      <w:tr>
        <w:tc>
          <w:tcPr>
            <w:tcW w:type="dxa" w:w="5008"/>
            <w:tcMar>
              <w:top w:w="70" w:type="dxa"/>
              <w:start w:w="80" w:type="dxa"/>
              <w:bottom w:w="70" w:type="dxa"/>
              <w:end w:w="80" w:type="dxa"/>
            </w:tcMar>
            <w:vAlign w:val="center"/>
          </w:tcPr>
          <w:p>
            <w:r>
              <w:t>Digital Commerce Experience &amp; Booking</w:t>
            </w:r>
          </w:p>
        </w:tc>
        <w:tc>
          <w:tcPr>
            <w:tcW w:type="dxa" w:w="5008"/>
            <w:tcMar>
              <w:top w:w="70" w:type="dxa"/>
              <w:start w:w="80" w:type="dxa"/>
              <w:bottom w:w="70" w:type="dxa"/>
              <w:end w:w="80" w:type="dxa"/>
            </w:tcMar>
            <w:vAlign w:val="center"/>
          </w:tcPr>
          <w:p>
            <w:r>
              <w:t>Custom channels + active sales backend</w:t>
            </w:r>
          </w:p>
        </w:tc>
        <w:tc>
          <w:tcPr>
            <w:tcW w:type="dxa" w:w="5008"/>
            <w:tcMar>
              <w:top w:w="70" w:type="dxa"/>
              <w:start w:w="80" w:type="dxa"/>
              <w:bottom w:w="70" w:type="dxa"/>
              <w:end w:w="80" w:type="dxa"/>
            </w:tcMar>
            <w:vAlign w:val="center"/>
          </w:tcPr>
          <w:p>
            <w:r>
              <w:t>The Website and Super App own the customer experience. The sales adapter sends orders to Odoo during transition and to the JK-built Inventory/POS platform after cut-over.</w:t>
            </w:r>
          </w:p>
        </w:tc>
      </w:tr>
      <w:tr>
        <w:tc>
          <w:tcPr>
            <w:tcW w:type="dxa" w:w="5008"/>
            <w:tcMar>
              <w:top w:w="70" w:type="dxa"/>
              <w:start w:w="80" w:type="dxa"/>
              <w:bottom w:w="70" w:type="dxa"/>
              <w:end w:w="80" w:type="dxa"/>
            </w:tcMar>
            <w:vAlign w:val="center"/>
          </w:tcPr>
          <w:p>
            <w:r>
              <w:t>Membership / Fitness / Unified Customer View</w:t>
            </w:r>
          </w:p>
        </w:tc>
        <w:tc>
          <w:tcPr>
            <w:tcW w:type="dxa" w:w="5008"/>
            <w:tcMar>
              <w:top w:w="70" w:type="dxa"/>
              <w:start w:w="80" w:type="dxa"/>
              <w:bottom w:w="70" w:type="dxa"/>
              <w:end w:w="80" w:type="dxa"/>
            </w:tcMar>
            <w:vAlign w:val="center"/>
          </w:tcPr>
          <w:p>
            <w:r>
              <w:t>Custom / JK Tech</w:t>
            </w:r>
          </w:p>
        </w:tc>
        <w:tc>
          <w:tcPr>
            <w:tcW w:type="dxa" w:w="5008"/>
            <w:tcMar>
              <w:top w:w="70" w:type="dxa"/>
              <w:start w:w="80" w:type="dxa"/>
              <w:bottom w:w="70" w:type="dxa"/>
              <w:end w:w="80" w:type="dxa"/>
            </w:tcMar>
            <w:vAlign w:val="center"/>
          </w:tcPr>
          <w:p>
            <w:r>
              <w:t>Membership lifecycle, classes, profile and Customer 360 read model over shared JK ID and cross-system references.</w:t>
            </w:r>
          </w:p>
        </w:tc>
      </w:tr>
      <w:tr>
        <w:tc>
          <w:tcPr>
            <w:tcW w:type="dxa" w:w="5008"/>
            <w:tcMar>
              <w:top w:w="70" w:type="dxa"/>
              <w:start w:w="80" w:type="dxa"/>
              <w:bottom w:w="70" w:type="dxa"/>
              <w:end w:w="80" w:type="dxa"/>
            </w:tcMar>
            <w:vAlign w:val="center"/>
          </w:tcPr>
          <w:p>
            <w:r>
              <w:t>Community / Education / Franchise</w:t>
            </w:r>
          </w:p>
        </w:tc>
        <w:tc>
          <w:tcPr>
            <w:tcW w:type="dxa" w:w="5008"/>
            <w:tcMar>
              <w:top w:w="70" w:type="dxa"/>
              <w:start w:w="80" w:type="dxa"/>
              <w:bottom w:w="70" w:type="dxa"/>
              <w:end w:w="80" w:type="dxa"/>
            </w:tcMar>
            <w:vAlign w:val="center"/>
          </w:tcPr>
          <w:p>
            <w:r>
              <w:t>Custom / JK Tech</w:t>
            </w:r>
          </w:p>
        </w:tc>
        <w:tc>
          <w:tcPr>
            <w:tcW w:type="dxa" w:w="5008"/>
            <w:tcMar>
              <w:top w:w="70" w:type="dxa"/>
              <w:start w:w="80" w:type="dxa"/>
              <w:bottom w:w="70" w:type="dxa"/>
              <w:end w:w="80" w:type="dxa"/>
            </w:tcMar>
            <w:vAlign w:val="center"/>
          </w:tcPr>
          <w:p>
            <w:r>
              <w:t>Community feed, moderation console, learning/video, franchise/distribution and field-operation workflows.</w:t>
            </w:r>
          </w:p>
        </w:tc>
      </w:tr>
      <w:tr>
        <w:tc>
          <w:tcPr>
            <w:tcW w:type="dxa" w:w="5008"/>
          </w:tcPr>
          <w:p>
            <w:r>
              <w:t>Analytics and Artificial Intelligence</w:t>
            </w:r>
          </w:p>
        </w:tc>
        <w:tc>
          <w:tcPr>
            <w:tcW w:type="dxa" w:w="5008"/>
          </w:tcPr>
          <w:p>
            <w:r>
              <w:t>Custom / JK Tech</w:t>
            </w:r>
          </w:p>
        </w:tc>
        <w:tc>
          <w:tcPr>
            <w:tcW w:type="dxa" w:w="5008"/>
          </w:tcPr>
          <w:p>
            <w:r>
              <w:t>The data and artificial-intelligence layer supports analytics, the data warehouse and future predictive models. All management and operational reports are presented through the ERP Reporting module.</w:t>
            </w:r>
          </w:p>
        </w:tc>
      </w:tr>
      <w:tr>
        <w:tc>
          <w:tcPr>
            <w:tcW w:type="dxa" w:w="5008"/>
          </w:tcPr>
          <w:p>
            <w:r>
              <w:t>Central Reporting</w:t>
            </w:r>
          </w:p>
        </w:tc>
        <w:tc>
          <w:tcPr>
            <w:tcW w:type="dxa" w:w="5008"/>
          </w:tcPr>
          <w:p>
            <w:r>
              <w:t>Custom ERP / JK Tech</w:t>
            </w:r>
          </w:p>
        </w:tc>
        <w:tc>
          <w:tcPr>
            <w:tcW w:type="dxa" w:w="5008"/>
          </w:tcPr>
          <w:p>
            <w:r>
              <w:t>The ERP generates all management and operational reports. During the Odoo phase it reads synchronized Odoo data; after cut-over it reads the JK-built POS/Inventory directly.</w:t>
            </w:r>
          </w:p>
        </w:tc>
      </w:tr>
    </w:tbl>
    <w:tbl>
      <w:tblPr>
        <w:tblW w:type="auto" w:w="0"/>
        <w:jc w:val="center"/>
        <w:tblLayout w:type="autofit"/>
        <w:tblLook w:firstColumn="1" w:firstRow="1" w:lastColumn="0" w:lastRow="0" w:noHBand="0" w:noVBand="1" w:val="04A0"/>
      </w:tblPr>
      <w:tblGrid>
        <w:gridCol w:w="15024"/>
      </w:tblGrid>
      <w:tr>
        <w:tc>
          <w:tcPr>
            <w:tcW w:type="dxa" w:w="15024"/>
            <w:shd w:fill="EEF3F7"/>
            <w:tcMar>
              <w:top w:w="70" w:type="dxa"/>
              <w:start w:w="80" w:type="dxa"/>
              <w:bottom w:w="70" w:type="dxa"/>
              <w:end w:w="80" w:type="dxa"/>
            </w:tcMar>
            <w:vAlign w:val="center"/>
          </w:tcPr>
          <w:p>
            <w:r>
              <w:t>ERP and POS/Inventory transition boundary. Odoo Community Edition is the first operational bridge for outlet POS and Inventory, not the final long-term platform for those modules. Existing Excel product, outlet and opening-stock data is cleaned and migrated into Odoo CE. At the same time, JK Tech builds the custom ERP, central Reporting, Inventory and POS modules. The new Inventory/POS will run beside Odoo during pilot testing, and outlets will move only after sales, payments, returns, stock movements and closing balances reconcile. After cut-over, the JK Inventory/POS becomes the operational source of truth. The ERP remains the single reporting interface before, during and after migration.</w:t>
            </w:r>
          </w:p>
        </w:tc>
      </w:tr>
    </w:tbl>
    <w:p>
      <w:pPr>
        <w:pStyle w:val="Heading2"/>
      </w:pPr>
      <w:r>
        <w:t>3.4 Identity &amp; data architecture</w:t>
      </w:r>
    </w:p>
    <w:tbl>
      <w:tblPr>
        <w:tblW w:type="auto" w:w="0"/>
        <w:jc w:val="center"/>
        <w:tblLayout w:type="autofit"/>
        <w:tblLook w:firstColumn="1" w:firstRow="1" w:lastColumn="0" w:lastRow="0" w:noHBand="0" w:noVBand="1" w:val="04A0"/>
      </w:tblPr>
      <w:tblGrid>
        <w:gridCol w:w="5008"/>
        <w:gridCol w:w="5008"/>
        <w:gridCol w:w="5008"/>
      </w:tblGrid>
      <w:tr>
        <w:trPr>
          <w:tblHeader w:val="true"/>
        </w:trPr>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Entity</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Purpose</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Primary consumers</w:t>
            </w:r>
          </w:p>
        </w:tc>
      </w:tr>
      <w:tr>
        <w:tc>
          <w:tcPr>
            <w:tcW w:type="dxa" w:w="5008"/>
            <w:tcMar>
              <w:top w:w="70" w:type="dxa"/>
              <w:start w:w="80" w:type="dxa"/>
              <w:bottom w:w="70" w:type="dxa"/>
              <w:end w:w="80" w:type="dxa"/>
            </w:tcMar>
            <w:vAlign w:val="center"/>
          </w:tcPr>
          <w:p>
            <w:r>
              <w:t>party (JK ID)</w:t>
            </w:r>
          </w:p>
        </w:tc>
        <w:tc>
          <w:tcPr>
            <w:tcW w:type="dxa" w:w="5008"/>
            <w:tcMar>
              <w:top w:w="70" w:type="dxa"/>
              <w:start w:w="80" w:type="dxa"/>
              <w:bottom w:w="70" w:type="dxa"/>
              <w:end w:w="80" w:type="dxa"/>
            </w:tcMar>
            <w:vAlign w:val="center"/>
          </w:tcPr>
          <w:p>
            <w:r>
              <w:t>Identity root: name, contact, authentication identity and consent linkage</w:t>
            </w:r>
          </w:p>
        </w:tc>
        <w:tc>
          <w:tcPr>
            <w:tcW w:type="dxa" w:w="5008"/>
            <w:tcMar>
              <w:top w:w="70" w:type="dxa"/>
              <w:start w:w="80" w:type="dxa"/>
              <w:bottom w:w="70" w:type="dxa"/>
              <w:end w:w="80" w:type="dxa"/>
            </w:tcMar>
            <w:vAlign w:val="center"/>
          </w:tcPr>
          <w:p>
            <w:r>
              <w:t>All channels and custom domains; mapped to Odoo partner/customer reference</w:t>
            </w:r>
          </w:p>
        </w:tc>
      </w:tr>
      <w:tr>
        <w:tc>
          <w:tcPr>
            <w:tcW w:type="dxa" w:w="5008"/>
            <w:tcMar>
              <w:top w:w="70" w:type="dxa"/>
              <w:start w:w="80" w:type="dxa"/>
              <w:bottom w:w="70" w:type="dxa"/>
              <w:end w:w="80" w:type="dxa"/>
            </w:tcMar>
            <w:vAlign w:val="center"/>
          </w:tcPr>
          <w:p>
            <w:r>
              <w:t>party_role</w:t>
            </w:r>
          </w:p>
        </w:tc>
        <w:tc>
          <w:tcPr>
            <w:tcW w:type="dxa" w:w="5008"/>
            <w:tcMar>
              <w:top w:w="70" w:type="dxa"/>
              <w:start w:w="80" w:type="dxa"/>
              <w:bottom w:w="70" w:type="dxa"/>
              <w:end w:w="80" w:type="dxa"/>
            </w:tcMar>
            <w:vAlign w:val="center"/>
          </w:tcPr>
          <w:p>
            <w:r>
              <w:t>Customer / Patient / Member / Employee / Vendor role linkage</w:t>
            </w:r>
          </w:p>
        </w:tc>
        <w:tc>
          <w:tcPr>
            <w:tcW w:type="dxa" w:w="5008"/>
            <w:tcMar>
              <w:top w:w="70" w:type="dxa"/>
              <w:start w:w="80" w:type="dxa"/>
              <w:bottom w:w="70" w:type="dxa"/>
              <w:end w:w="80" w:type="dxa"/>
            </w:tcMar>
            <w:vAlign w:val="center"/>
          </w:tcPr>
          <w:p>
            <w:r>
              <w:t>Unified Customer View, Clinical, Membership and Human Resources</w:t>
            </w:r>
          </w:p>
        </w:tc>
      </w:tr>
      <w:tr>
        <w:tc>
          <w:tcPr>
            <w:tcW w:type="dxa" w:w="5008"/>
            <w:tcMar>
              <w:top w:w="70" w:type="dxa"/>
              <w:start w:w="80" w:type="dxa"/>
              <w:bottom w:w="70" w:type="dxa"/>
              <w:end w:w="80" w:type="dxa"/>
            </w:tcMar>
            <w:vAlign w:val="center"/>
          </w:tcPr>
          <w:p>
            <w:r>
              <w:t>odoo_product / lot / stock reference</w:t>
            </w:r>
          </w:p>
        </w:tc>
        <w:tc>
          <w:tcPr>
            <w:tcW w:type="dxa" w:w="5008"/>
            <w:tcMar>
              <w:top w:w="70" w:type="dxa"/>
              <w:start w:w="80" w:type="dxa"/>
              <w:bottom w:w="70" w:type="dxa"/>
              <w:end w:w="80" w:type="dxa"/>
            </w:tcMar>
            <w:vAlign w:val="center"/>
          </w:tcPr>
          <w:p>
            <w:r>
              <w:t>Migration mapping between legacy Excel records, Odoo CE records and later JK Inventory records</w:t>
            </w:r>
          </w:p>
        </w:tc>
        <w:tc>
          <w:tcPr>
            <w:tcW w:type="dxa" w:w="5008"/>
            <w:tcMar>
              <w:top w:w="70" w:type="dxa"/>
              <w:start w:w="80" w:type="dxa"/>
              <w:bottom w:w="70" w:type="dxa"/>
              <w:end w:w="80" w:type="dxa"/>
            </w:tcMar>
            <w:vAlign w:val="center"/>
          </w:tcPr>
          <w:p>
            <w:r>
              <w:t>ERP reporting, Website/App catalogue, migration reconciliation</w:t>
            </w:r>
          </w:p>
        </w:tc>
      </w:tr>
      <w:tr>
        <w:tc>
          <w:tcPr>
            <w:tcW w:type="dxa" w:w="5008"/>
            <w:tcMar>
              <w:top w:w="70" w:type="dxa"/>
              <w:start w:w="80" w:type="dxa"/>
              <w:bottom w:w="70" w:type="dxa"/>
              <w:end w:w="80" w:type="dxa"/>
            </w:tcMar>
            <w:vAlign w:val="center"/>
          </w:tcPr>
          <w:p>
            <w:r>
              <w:t>appointment</w:t>
            </w:r>
          </w:p>
        </w:tc>
        <w:tc>
          <w:tcPr>
            <w:tcW w:type="dxa" w:w="5008"/>
            <w:tcMar>
              <w:top w:w="70" w:type="dxa"/>
              <w:start w:w="80" w:type="dxa"/>
              <w:bottom w:w="70" w:type="dxa"/>
              <w:end w:w="80" w:type="dxa"/>
            </w:tcMar>
            <w:vAlign w:val="center"/>
          </w:tcPr>
          <w:p>
            <w:r>
              <w:t>Patient, doctor, request/status, schedule, location and service context</w:t>
            </w:r>
          </w:p>
        </w:tc>
        <w:tc>
          <w:tcPr>
            <w:tcW w:type="dxa" w:w="5008"/>
            <w:tcMar>
              <w:top w:w="70" w:type="dxa"/>
              <w:start w:w="80" w:type="dxa"/>
              <w:bottom w:w="70" w:type="dxa"/>
              <w:end w:w="80" w:type="dxa"/>
            </w:tcMar>
            <w:vAlign w:val="center"/>
          </w:tcPr>
          <w:p>
            <w:r>
              <w:t>Custom ERP/Clinical, App/Website booking, notifications</w:t>
            </w:r>
          </w:p>
        </w:tc>
      </w:tr>
      <w:tr>
        <w:tc>
          <w:tcPr>
            <w:tcW w:type="dxa" w:w="5008"/>
            <w:tcMar>
              <w:top w:w="70" w:type="dxa"/>
              <w:start w:w="80" w:type="dxa"/>
              <w:bottom w:w="70" w:type="dxa"/>
              <w:end w:w="80" w:type="dxa"/>
            </w:tcMar>
            <w:vAlign w:val="center"/>
          </w:tcPr>
          <w:p>
            <w:r>
              <w:t>care_plan / target / task</w:t>
            </w:r>
          </w:p>
        </w:tc>
        <w:tc>
          <w:tcPr>
            <w:tcW w:type="dxa" w:w="5008"/>
            <w:tcMar>
              <w:top w:w="70" w:type="dxa"/>
              <w:start w:w="80" w:type="dxa"/>
              <w:bottom w:w="70" w:type="dxa"/>
              <w:end w:w="80" w:type="dxa"/>
            </w:tcMar>
            <w:vAlign w:val="center"/>
          </w:tcPr>
          <w:p>
            <w:r>
              <w:t>Plan versions, typed targets and daily/weekly tasks</w:t>
            </w:r>
          </w:p>
        </w:tc>
        <w:tc>
          <w:tcPr>
            <w:tcW w:type="dxa" w:w="5008"/>
            <w:tcMar>
              <w:top w:w="70" w:type="dxa"/>
              <w:start w:w="80" w:type="dxa"/>
              <w:bottom w:w="70" w:type="dxa"/>
              <w:end w:w="80" w:type="dxa"/>
            </w:tcMar>
            <w:vAlign w:val="center"/>
          </w:tcPr>
          <w:p>
            <w:r>
              <w:t>Clinical authoring, App planner, alerts</w:t>
            </w:r>
          </w:p>
        </w:tc>
      </w:tr>
      <w:tr>
        <w:tc>
          <w:tcPr>
            <w:tcW w:type="dxa" w:w="5008"/>
            <w:tcMar>
              <w:top w:w="70" w:type="dxa"/>
              <w:start w:w="80" w:type="dxa"/>
              <w:bottom w:w="70" w:type="dxa"/>
              <w:end w:w="80" w:type="dxa"/>
            </w:tcMar>
            <w:vAlign w:val="center"/>
          </w:tcPr>
          <w:p>
            <w:r>
              <w:t>device_reading</w:t>
            </w:r>
          </w:p>
        </w:tc>
        <w:tc>
          <w:tcPr>
            <w:tcW w:type="dxa" w:w="5008"/>
            <w:tcMar>
              <w:top w:w="70" w:type="dxa"/>
              <w:start w:w="80" w:type="dxa"/>
              <w:bottom w:w="70" w:type="dxa"/>
              <w:end w:w="80" w:type="dxa"/>
            </w:tcMar>
            <w:vAlign w:val="center"/>
          </w:tcPr>
          <w:p>
            <w:r>
              <w:t>Time-series glucose, weight, blood pressure, steps, sleep, source and timestamp</w:t>
            </w:r>
          </w:p>
        </w:tc>
        <w:tc>
          <w:tcPr>
            <w:tcW w:type="dxa" w:w="5008"/>
            <w:tcMar>
              <w:top w:w="70" w:type="dxa"/>
              <w:start w:w="80" w:type="dxa"/>
              <w:bottom w:w="70" w:type="dxa"/>
              <w:end w:w="80" w:type="dxa"/>
            </w:tcMar>
            <w:vAlign w:val="center"/>
          </w:tcPr>
          <w:p>
            <w:r>
              <w:t>App, Alert Engine, Warehouse</w:t>
            </w:r>
          </w:p>
        </w:tc>
      </w:tr>
      <w:tr>
        <w:tc>
          <w:tcPr>
            <w:tcW w:type="dxa" w:w="5008"/>
            <w:tcMar>
              <w:top w:w="70" w:type="dxa"/>
              <w:start w:w="80" w:type="dxa"/>
              <w:bottom w:w="70" w:type="dxa"/>
              <w:end w:w="80" w:type="dxa"/>
            </w:tcMar>
            <w:vAlign w:val="center"/>
          </w:tcPr>
          <w:p>
            <w:r>
              <w:t>clinical_bill</w:t>
            </w:r>
          </w:p>
        </w:tc>
        <w:tc>
          <w:tcPr>
            <w:tcW w:type="dxa" w:w="5008"/>
            <w:tcMar>
              <w:top w:w="70" w:type="dxa"/>
              <w:start w:w="80" w:type="dxa"/>
              <w:bottom w:w="70" w:type="dxa"/>
              <w:end w:w="80" w:type="dxa"/>
            </w:tcMar>
            <w:vAlign w:val="center"/>
          </w:tcPr>
          <w:p>
            <w:r>
              <w:t>Clinical services, professional/service context, approval status and Odoo invoice reference</w:t>
            </w:r>
          </w:p>
        </w:tc>
        <w:tc>
          <w:tcPr>
            <w:tcW w:type="dxa" w:w="5008"/>
            <w:tcMar>
              <w:top w:w="70" w:type="dxa"/>
              <w:start w:w="80" w:type="dxa"/>
              <w:bottom w:w="70" w:type="dxa"/>
              <w:end w:w="80" w:type="dxa"/>
            </w:tcMar>
            <w:vAlign w:val="center"/>
          </w:tcPr>
          <w:p>
            <w:r>
              <w:t>Custom Clinical workflow; Odoo financial posting/payment</w:t>
            </w:r>
          </w:p>
        </w:tc>
      </w:tr>
      <w:tr>
        <w:tc>
          <w:tcPr>
            <w:tcW w:type="dxa" w:w="5008"/>
          </w:tcPr>
          <w:p>
            <w:r>
              <w:t>attendance / payroll_run</w:t>
            </w:r>
          </w:p>
        </w:tc>
        <w:tc>
          <w:tcPr>
            <w:tcW w:type="dxa" w:w="5008"/>
          </w:tcPr>
          <w:p>
            <w:r>
              <w:t>Attendance, leave/roster and payroll calculation with approval and reporting status</w:t>
            </w:r>
          </w:p>
        </w:tc>
        <w:tc>
          <w:tcPr>
            <w:tcW w:type="dxa" w:w="5008"/>
          </w:tcPr>
          <w:p>
            <w:r>
              <w:t>ERP Human Resources/Payroll and central Reporting</w:t>
            </w:r>
          </w:p>
        </w:tc>
      </w:tr>
      <w:tr>
        <w:tc>
          <w:tcPr>
            <w:tcW w:type="dxa" w:w="5008"/>
          </w:tcPr>
          <w:p>
            <w:r>
              <w:t>commercial_order reference</w:t>
            </w:r>
          </w:p>
        </w:tc>
        <w:tc>
          <w:tcPr>
            <w:tcW w:type="dxa" w:w="5008"/>
          </w:tcPr>
          <w:p>
            <w:r>
              <w:t>Sales/order reference that points to the active backend: Odoo during transition and JK POS/Inventory after cut-over</w:t>
            </w:r>
          </w:p>
        </w:tc>
        <w:tc>
          <w:tcPr>
            <w:tcW w:type="dxa" w:w="5008"/>
          </w:tcPr>
          <w:p>
            <w:r>
              <w:t>Website/App, ERP Reporting, support and analytics</w:t>
            </w:r>
          </w:p>
        </w:tc>
      </w:tr>
      <w:tr>
        <w:tc>
          <w:tcPr>
            <w:tcW w:type="dxa" w:w="5008"/>
          </w:tcPr>
          <w:p>
            <w:r>
              <w:t>reporting_event</w:t>
            </w:r>
          </w:p>
        </w:tc>
        <w:tc>
          <w:tcPr>
            <w:tcW w:type="dxa" w:w="5008"/>
          </w:tcPr>
          <w:p>
            <w:r>
              <w:t>Normalized sales, stock, online-order, clinical, attendance and payroll events used by the ERP reporting layer</w:t>
            </w:r>
          </w:p>
        </w:tc>
        <w:tc>
          <w:tcPr>
            <w:tcW w:type="dxa" w:w="5008"/>
          </w:tcPr>
          <w:p>
            <w:r>
              <w:t>ERP reports, dashboards, management summaries and analytics</w:t>
            </w:r>
          </w:p>
        </w:tc>
      </w:tr>
    </w:tbl>
    <w:p>
      <w:pPr>
        <w:spacing w:after="60"/>
        <w:ind w:left="288" w:hanging="173"/>
      </w:pPr>
      <w:r>
        <w:t>•  Product and stock traceability must remain continuous across the transition. The ERP keeps stable mapping between legacy Excel IDs, Odoo CE records and later JK Inventory IDs so historical sales, batches/lots and reports do not break when an outlet moves.</w:t>
      </w:r>
    </w:p>
    <w:p>
      <w:pPr>
        <w:spacing w:after="60"/>
        <w:ind w:left="288" w:hanging="173"/>
      </w:pPr>
      <w:r>
        <w:t>•  Care Plan extensibility: targets use metric_code + value + unit rather than fixed columns, so new clinical metrics do not require repeated schema migrations.</w:t>
      </w:r>
    </w:p>
    <w:p>
      <w:pPr>
        <w:spacing w:after="60"/>
        <w:ind w:left="288" w:hanging="173"/>
      </w:pPr>
      <w:r>
        <w:t>•  Customer 360 is a read model over the shared JK ID and role relationships, not a second master customer table.</w:t>
      </w:r>
    </w:p>
    <w:p>
      <w:pPr>
        <w:pStyle w:val="Heading2"/>
      </w:pPr>
      <w:r>
        <w:t>3.5 Integration, offline sync &amp; real-time event architecture</w:t>
      </w:r>
    </w:p>
    <w:tbl>
      <w:tblPr>
        <w:tblW w:type="auto" w:w="0"/>
        <w:jc w:val="center"/>
        <w:tblLayout w:type="autofit"/>
        <w:tblLook w:firstColumn="1" w:firstRow="1" w:lastColumn="0" w:lastRow="0" w:noHBand="0" w:noVBand="1" w:val="04A0"/>
      </w:tblPr>
      <w:tblGrid>
        <w:gridCol w:w="5008"/>
        <w:gridCol w:w="5008"/>
        <w:gridCol w:w="5008"/>
      </w:tblGrid>
      <w:tr>
        <w:trPr>
          <w:tblHeader w:val="true"/>
        </w:trPr>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5"/>
              </w:rPr>
              <w:t>Area</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5"/>
              </w:rPr>
              <w:t>Pattern</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5"/>
              </w:rPr>
              <w:t>Control / behavior</w:t>
            </w:r>
          </w:p>
        </w:tc>
      </w:tr>
      <w:tr>
        <w:tc>
          <w:tcPr>
            <w:tcW w:type="dxa" w:w="5008"/>
            <w:tcMar>
              <w:top w:w="70" w:type="dxa"/>
              <w:start w:w="80" w:type="dxa"/>
              <w:bottom w:w="70" w:type="dxa"/>
              <w:end w:w="80" w:type="dxa"/>
            </w:tcMar>
            <w:vAlign w:val="center"/>
          </w:tcPr>
          <w:p>
            <w:pPr>
              <w:spacing w:after="0" w:before="0"/>
            </w:pPr>
            <w:r>
              <w:rPr>
                <w:rFonts w:ascii="Arial" w:hAnsi="Arial"/>
                <w:sz w:val="15"/>
              </w:rPr>
              <w:t>Offline POS</w:t>
            </w:r>
          </w:p>
        </w:tc>
        <w:tc>
          <w:tcPr>
            <w:tcW w:type="dxa" w:w="5008"/>
            <w:tcMar>
              <w:top w:w="70" w:type="dxa"/>
              <w:start w:w="80" w:type="dxa"/>
              <w:bottom w:w="70" w:type="dxa"/>
              <w:end w:w="80" w:type="dxa"/>
            </w:tcMar>
            <w:vAlign w:val="center"/>
          </w:tcPr>
          <w:p>
            <w:r>
              <w:t>Odoo CE offline/reconnect validation → later JK POS offline store + synchronization → reconciliation</w:t>
            </w:r>
          </w:p>
        </w:tc>
        <w:tc>
          <w:tcPr>
            <w:tcW w:type="dxa" w:w="5008"/>
            <w:tcMar>
              <w:top w:w="70" w:type="dxa"/>
              <w:start w:w="80" w:type="dxa"/>
              <w:bottom w:w="70" w:type="dxa"/>
              <w:end w:w="80" w:type="dxa"/>
            </w:tcMar>
            <w:vAlign w:val="center"/>
          </w:tcPr>
          <w:p>
            <w:r>
              <w:t>Offline behavior is tested in both phases. The JK POS must safely replay transactions and prevent duplicate sales/payments after reconnect.</w:t>
            </w:r>
          </w:p>
        </w:tc>
      </w:tr>
      <w:tr>
        <w:tc>
          <w:tcPr>
            <w:tcW w:type="dxa" w:w="5008"/>
            <w:tcMar>
              <w:top w:w="70" w:type="dxa"/>
              <w:start w:w="80" w:type="dxa"/>
              <w:bottom w:w="70" w:type="dxa"/>
              <w:end w:w="80" w:type="dxa"/>
            </w:tcMar>
            <w:vAlign w:val="center"/>
          </w:tcPr>
          <w:p>
            <w:pPr>
              <w:spacing w:after="0" w:before="0"/>
            </w:pPr>
            <w:r>
              <w:rPr>
                <w:rFonts w:ascii="Arial" w:hAnsi="Arial"/>
                <w:sz w:val="15"/>
              </w:rPr>
              <w:t>Stock conflict</w:t>
            </w:r>
          </w:p>
        </w:tc>
        <w:tc>
          <w:tcPr>
            <w:tcW w:type="dxa" w:w="5008"/>
            <w:tcMar>
              <w:top w:w="70" w:type="dxa"/>
              <w:start w:w="80" w:type="dxa"/>
              <w:bottom w:w="70" w:type="dxa"/>
              <w:end w:w="80" w:type="dxa"/>
            </w:tcMar>
            <w:vAlign w:val="center"/>
          </w:tcPr>
          <w:p>
            <w:r>
              <w:t>Reconciliation during Odoo phase; JK Inventory becomes authoritative after cut-over</w:t>
            </w:r>
          </w:p>
        </w:tc>
        <w:tc>
          <w:tcPr>
            <w:tcW w:type="dxa" w:w="5008"/>
            <w:tcMar>
              <w:top w:w="70" w:type="dxa"/>
              <w:start w:w="80" w:type="dxa"/>
              <w:bottom w:w="70" w:type="dxa"/>
              <w:end w:w="80" w:type="dxa"/>
            </w:tcMar>
            <w:vAlign w:val="center"/>
          </w:tcPr>
          <w:p>
            <w:r>
              <w:t>Odoo stock is authoritative during the transition. The JK Inventory runs in parallel for testing. After a successful outlet cut-over, the JK Inventory becomes authoritative for that outlet. Duplicate submissions use transaction IDs and reconciliation reports.</w:t>
            </w:r>
          </w:p>
        </w:tc>
      </w:tr>
      <w:tr>
        <w:tc>
          <w:tcPr>
            <w:tcW w:type="dxa" w:w="5008"/>
            <w:tcMar>
              <w:top w:w="70" w:type="dxa"/>
              <w:start w:w="80" w:type="dxa"/>
              <w:bottom w:w="70" w:type="dxa"/>
              <w:end w:w="80" w:type="dxa"/>
            </w:tcMar>
            <w:vAlign w:val="center"/>
          </w:tcPr>
          <w:p>
            <w:pPr>
              <w:spacing w:after="0" w:before="0"/>
            </w:pPr>
            <w:r>
              <w:rPr>
                <w:rFonts w:ascii="Arial" w:hAnsi="Arial"/>
                <w:sz w:val="15"/>
              </w:rPr>
              <w:t>Cash/shift close</w:t>
            </w:r>
          </w:p>
        </w:tc>
        <w:tc>
          <w:tcPr>
            <w:tcW w:type="dxa" w:w="5008"/>
            <w:tcMar>
              <w:top w:w="70" w:type="dxa"/>
              <w:start w:w="80" w:type="dxa"/>
              <w:bottom w:w="70" w:type="dxa"/>
              <w:end w:w="80" w:type="dxa"/>
            </w:tcMar>
            <w:vAlign w:val="center"/>
          </w:tcPr>
          <w:p>
            <w:r>
              <w:t>Odoo POS first; JK POS later</w:t>
            </w:r>
          </w:p>
        </w:tc>
        <w:tc>
          <w:tcPr>
            <w:tcW w:type="dxa" w:w="5008"/>
            <w:tcMar>
              <w:top w:w="70" w:type="dxa"/>
              <w:start w:w="80" w:type="dxa"/>
              <w:bottom w:w="70" w:type="dxa"/>
              <w:end w:w="80" w:type="dxa"/>
            </w:tcMar>
            <w:vAlign w:val="center"/>
          </w:tcPr>
          <w:p>
            <w:r>
              <w:t>During transition, outlet cash/session closing is handled by Odoo POS. The JK POS must match the same sales, payment and closing totals before an outlet is moved.</w:t>
            </w:r>
          </w:p>
        </w:tc>
      </w:tr>
      <w:tr>
        <w:tc>
          <w:tcPr>
            <w:tcW w:type="dxa" w:w="5008"/>
            <w:tcMar>
              <w:top w:w="70" w:type="dxa"/>
              <w:start w:w="80" w:type="dxa"/>
              <w:bottom w:w="70" w:type="dxa"/>
              <w:end w:w="80" w:type="dxa"/>
            </w:tcMar>
            <w:vAlign w:val="center"/>
          </w:tcPr>
          <w:p>
            <w:pPr>
              <w:spacing w:after="0" w:before="0"/>
            </w:pPr>
            <w:r>
              <w:rPr>
                <w:rFonts w:ascii="Arial" w:hAnsi="Arial"/>
                <w:sz w:val="15"/>
              </w:rPr>
              <w:t>Wearables / continuous glucose monitor</w:t>
            </w:r>
          </w:p>
        </w:tc>
        <w:tc>
          <w:tcPr>
            <w:tcW w:type="dxa" w:w="5008"/>
            <w:tcMar>
              <w:top w:w="70" w:type="dxa"/>
              <w:start w:w="80" w:type="dxa"/>
              <w:bottom w:w="70" w:type="dxa"/>
              <w:end w:w="80" w:type="dxa"/>
            </w:tcMar>
            <w:vAlign w:val="center"/>
          </w:tcPr>
          <w:p>
            <w:pPr>
              <w:spacing w:after="0" w:before="0"/>
            </w:pPr>
            <w:r>
              <w:rPr>
                <w:rFonts w:ascii="Arial" w:hAnsi="Arial"/>
                <w:sz w:val="15"/>
              </w:rPr>
              <w:t>Health Connect + HealthKit first</w:t>
            </w:r>
          </w:p>
        </w:tc>
        <w:tc>
          <w:tcPr>
            <w:tcW w:type="dxa" w:w="5008"/>
            <w:tcMar>
              <w:top w:w="70" w:type="dxa"/>
              <w:start w:w="80" w:type="dxa"/>
              <w:bottom w:w="70" w:type="dxa"/>
              <w:end w:w="80" w:type="dxa"/>
            </w:tcMar>
            <w:vAlign w:val="center"/>
          </w:tcPr>
          <w:p>
            <w:r>
              <w:t>Use a direct vendor system interface or Bluetooth connection where required. Manual entry always remains available through the same backend service.</w:t>
            </w:r>
          </w:p>
        </w:tc>
      </w:tr>
      <w:tr>
        <w:tc>
          <w:tcPr>
            <w:tcW w:type="dxa" w:w="5008"/>
            <w:tcMar>
              <w:top w:w="70" w:type="dxa"/>
              <w:start w:w="80" w:type="dxa"/>
              <w:bottom w:w="70" w:type="dxa"/>
              <w:end w:w="80" w:type="dxa"/>
            </w:tcMar>
            <w:vAlign w:val="center"/>
          </w:tcPr>
          <w:p>
            <w:pPr>
              <w:spacing w:after="0" w:before="0"/>
            </w:pPr>
            <w:r>
              <w:rPr>
                <w:rFonts w:ascii="Arial" w:hAnsi="Arial"/>
                <w:sz w:val="15"/>
              </w:rPr>
              <w:t>Event backbone</w:t>
            </w:r>
          </w:p>
        </w:tc>
        <w:tc>
          <w:tcPr>
            <w:tcW w:type="dxa" w:w="5008"/>
            <w:tcMar>
              <w:top w:w="70" w:type="dxa"/>
              <w:start w:w="80" w:type="dxa"/>
              <w:bottom w:w="70" w:type="dxa"/>
              <w:end w:w="80" w:type="dxa"/>
            </w:tcMar>
            <w:vAlign w:val="center"/>
          </w:tcPr>
          <w:p>
            <w:pPr>
              <w:spacing w:after="0" w:before="0"/>
            </w:pPr>
            <w:r>
              <w:rPr>
                <w:rFonts w:ascii="Arial" w:hAnsi="Arial"/>
                <w:sz w:val="15"/>
              </w:rPr>
              <w:t>RabbitMQ first</w:t>
            </w:r>
          </w:p>
        </w:tc>
        <w:tc>
          <w:tcPr>
            <w:tcW w:type="dxa" w:w="5008"/>
            <w:tcMar>
              <w:top w:w="70" w:type="dxa"/>
              <w:start w:w="80" w:type="dxa"/>
              <w:bottom w:w="70" w:type="dxa"/>
              <w:end w:w="80" w:type="dxa"/>
            </w:tcMar>
            <w:vAlign w:val="center"/>
          </w:tcPr>
          <w:p>
            <w:pPr>
              <w:spacing w:after="0" w:before="0"/>
            </w:pPr>
            <w:r>
              <w:rPr>
                <w:rFonts w:ascii="Arial" w:hAnsi="Arial"/>
                <w:sz w:val="15"/>
              </w:rPr>
              <w:t>Single ingestion path can feed Alert Engine, notifications and Warehouse; Kafka only if proven event volume justifies it.</w:t>
            </w:r>
          </w:p>
        </w:tc>
      </w:tr>
      <w:tr>
        <w:tc>
          <w:tcPr>
            <w:tcW w:type="dxa" w:w="5008"/>
            <w:tcMar>
              <w:top w:w="70" w:type="dxa"/>
              <w:start w:w="80" w:type="dxa"/>
              <w:bottom w:w="70" w:type="dxa"/>
              <w:end w:w="80" w:type="dxa"/>
            </w:tcMar>
            <w:vAlign w:val="center"/>
          </w:tcPr>
          <w:p>
            <w:pPr>
              <w:spacing w:after="0" w:before="0"/>
            </w:pPr>
            <w:r>
              <w:rPr>
                <w:rFonts w:ascii="Arial" w:hAnsi="Arial"/>
                <w:sz w:val="15"/>
              </w:rPr>
              <w:t>Notifications</w:t>
            </w:r>
          </w:p>
        </w:tc>
        <w:tc>
          <w:tcPr>
            <w:tcW w:type="dxa" w:w="5008"/>
            <w:tcMar>
              <w:top w:w="70" w:type="dxa"/>
              <w:start w:w="80" w:type="dxa"/>
              <w:bottom w:w="70" w:type="dxa"/>
              <w:end w:w="80" w:type="dxa"/>
            </w:tcMar>
            <w:vAlign w:val="center"/>
          </w:tcPr>
          <w:p>
            <w:pPr>
              <w:spacing w:after="0" w:before="0"/>
            </w:pPr>
            <w:r>
              <w:rPr>
                <w:rFonts w:ascii="Arial" w:hAnsi="Arial"/>
                <w:sz w:val="15"/>
              </w:rPr>
              <w:t>FCM/APNs + WebSocket</w:t>
            </w:r>
          </w:p>
        </w:tc>
        <w:tc>
          <w:tcPr>
            <w:tcW w:type="dxa" w:w="5008"/>
            <w:tcMar>
              <w:top w:w="70" w:type="dxa"/>
              <w:start w:w="80" w:type="dxa"/>
              <w:bottom w:w="70" w:type="dxa"/>
              <w:end w:w="80" w:type="dxa"/>
            </w:tcMar>
            <w:vAlign w:val="center"/>
          </w:tcPr>
          <w:p>
            <w:pPr>
              <w:spacing w:after="0" w:before="0"/>
            </w:pPr>
            <w:r>
              <w:rPr>
                <w:rFonts w:ascii="Arial" w:hAnsi="Arial"/>
                <w:sz w:val="15"/>
              </w:rPr>
              <w:t>Domain events trigger mobile push; WebSocket supports outpatient queue and live manager dashboards.</w:t>
            </w:r>
          </w:p>
        </w:tc>
      </w:tr>
      <w:tr>
        <w:tc>
          <w:tcPr>
            <w:tcW w:type="dxa" w:w="5008"/>
            <w:tcMar>
              <w:top w:w="70" w:type="dxa"/>
              <w:start w:w="80" w:type="dxa"/>
              <w:bottom w:w="70" w:type="dxa"/>
              <w:end w:w="80" w:type="dxa"/>
            </w:tcMar>
            <w:vAlign w:val="center"/>
          </w:tcPr>
          <w:p>
            <w:pPr>
              <w:spacing w:after="0" w:before="0"/>
            </w:pPr>
            <w:r>
              <w:rPr>
                <w:rFonts w:ascii="Arial" w:hAnsi="Arial"/>
                <w:sz w:val="15"/>
              </w:rPr>
              <w:t>Reliability</w:t>
            </w:r>
          </w:p>
        </w:tc>
        <w:tc>
          <w:tcPr>
            <w:tcW w:type="dxa" w:w="5008"/>
            <w:tcMar>
              <w:top w:w="70" w:type="dxa"/>
              <w:start w:w="80" w:type="dxa"/>
              <w:bottom w:w="70" w:type="dxa"/>
              <w:end w:w="80" w:type="dxa"/>
            </w:tcMar>
            <w:vAlign w:val="center"/>
          </w:tcPr>
          <w:p>
            <w:pPr>
              <w:spacing w:after="0" w:before="0"/>
            </w:pPr>
            <w:r>
              <w:rPr>
                <w:rFonts w:ascii="Arial" w:hAnsi="Arial"/>
                <w:sz w:val="15"/>
              </w:rPr>
              <w:t>Idempotency + retry + trace IDs</w:t>
            </w:r>
          </w:p>
        </w:tc>
        <w:tc>
          <w:tcPr>
            <w:tcW w:type="dxa" w:w="5008"/>
            <w:tcMar>
              <w:top w:w="70" w:type="dxa"/>
              <w:start w:w="80" w:type="dxa"/>
              <w:bottom w:w="70" w:type="dxa"/>
              <w:end w:w="80" w:type="dxa"/>
            </w:tcMar>
            <w:vAlign w:val="center"/>
          </w:tcPr>
          <w:p>
            <w:pPr>
              <w:spacing w:after="0" w:before="0"/>
            </w:pPr>
            <w:r>
              <w:rPr>
                <w:rFonts w:ascii="Arial" w:hAnsi="Arial"/>
                <w:sz w:val="15"/>
              </w:rPr>
              <w:t>Repeat-safe processing, correlation IDs and observable retry behavior for offline and vendor-failure scenarios.</w:t>
            </w:r>
          </w:p>
        </w:tc>
      </w:tr>
      <w:tr>
        <w:tc>
          <w:tcPr>
            <w:tcW w:type="dxa" w:w="5008"/>
            <w:tcMar>
              <w:top w:w="70" w:type="dxa"/>
              <w:start w:w="80" w:type="dxa"/>
              <w:bottom w:w="70" w:type="dxa"/>
              <w:end w:w="80" w:type="dxa"/>
            </w:tcMar>
            <w:vAlign w:val="center"/>
          </w:tcPr>
          <w:p>
            <w:pPr>
              <w:spacing w:after="0" w:before="0"/>
            </w:pPr>
            <w:r>
              <w:rPr>
                <w:rFonts w:ascii="Arial" w:hAnsi="Arial"/>
                <w:sz w:val="15"/>
              </w:rPr>
              <w:t>Community feed</w:t>
            </w:r>
          </w:p>
        </w:tc>
        <w:tc>
          <w:tcPr>
            <w:tcW w:type="dxa" w:w="5008"/>
            <w:tcMar>
              <w:top w:w="70" w:type="dxa"/>
              <w:start w:w="80" w:type="dxa"/>
              <w:bottom w:w="70" w:type="dxa"/>
              <w:end w:w="80" w:type="dxa"/>
            </w:tcMar>
            <w:vAlign w:val="center"/>
          </w:tcPr>
          <w:p>
            <w:pPr>
              <w:spacing w:after="0" w:before="0"/>
            </w:pPr>
            <w:r>
              <w:rPr>
                <w:rFonts w:ascii="Arial" w:hAnsi="Arial"/>
                <w:sz w:val="15"/>
              </w:rPr>
              <w:t>Hybrid consistency</w:t>
            </w:r>
          </w:p>
        </w:tc>
        <w:tc>
          <w:tcPr>
            <w:tcW w:type="dxa" w:w="5008"/>
            <w:tcMar>
              <w:top w:w="70" w:type="dxa"/>
              <w:start w:w="80" w:type="dxa"/>
              <w:bottom w:w="70" w:type="dxa"/>
              <w:end w:w="80" w:type="dxa"/>
            </w:tcMar>
            <w:vAlign w:val="center"/>
          </w:tcPr>
          <w:p>
            <w:pPr>
              <w:spacing w:after="0" w:before="0"/>
            </w:pPr>
            <w:r>
              <w:rPr>
                <w:rFonts w:ascii="Arial" w:hAnsi="Arial"/>
                <w:sz w:val="15"/>
              </w:rPr>
              <w:t>Immediate consistency for a user's own write; ranked feed re-scored asynchronously.</w:t>
            </w:r>
          </w:p>
        </w:tc>
      </w:tr>
    </w:tbl>
    <w:tbl>
      <w:tblPr>
        <w:tblW w:type="auto" w:w="0"/>
        <w:jc w:val="center"/>
        <w:tblLayout w:type="autofit"/>
        <w:tblLook w:firstColumn="1" w:firstRow="1" w:lastColumn="0" w:lastRow="0" w:noHBand="0" w:noVBand="1" w:val="04A0"/>
      </w:tblPr>
      <w:tblGrid>
        <w:gridCol w:w="15024"/>
      </w:tblGrid>
      <w:tr>
        <w:tc>
          <w:tcPr>
            <w:tcW w:type="dxa" w:w="15024"/>
            <w:shd w:fill="EEF3F7"/>
            <w:tcMar>
              <w:top w:w="70" w:type="dxa"/>
              <w:start w:w="80" w:type="dxa"/>
              <w:bottom w:w="70" w:type="dxa"/>
              <w:end w:w="80" w:type="dxa"/>
            </w:tcMar>
            <w:vAlign w:val="center"/>
          </w:tcPr>
          <w:p>
            <w:pPr>
              <w:spacing w:after="0" w:before="0"/>
            </w:pPr>
            <w:r>
              <w:rPr>
                <w:rFonts w:ascii="Arial" w:hAnsi="Arial"/>
                <w:sz w:val="17"/>
              </w:rPr>
              <w:t>Clinical alert flow. Dangerous reading → Alert Engine rule → patient notification and clinician task in parallel → clinician response-time rule → escalation to on-call supervisor when unacknowledged. The platform provides reliable delivery and an audit trail; it is monitoring infrastructure, not an emergency-response replacement.</w:t>
            </w:r>
          </w:p>
        </w:tc>
      </w:tr>
    </w:tbl>
    <w:p>
      <w:pPr>
        <w:pStyle w:val="Heading2"/>
      </w:pPr>
      <w:r>
        <w:t>3.6 Security, privacy &amp; resilience architecture</w:t>
      </w:r>
    </w:p>
    <w:tbl>
      <w:tblPr>
        <w:tblW w:type="auto" w:w="0"/>
        <w:jc w:val="center"/>
        <w:tblLayout w:type="autofit"/>
        <w:tblLook w:firstColumn="1" w:firstRow="1" w:lastColumn="0" w:lastRow="0" w:noHBand="0" w:noVBand="1" w:val="04A0"/>
      </w:tblPr>
      <w:tblGrid>
        <w:gridCol w:w="7512"/>
        <w:gridCol w:w="7512"/>
      </w:tblGrid>
      <w:tr>
        <w:trPr>
          <w:tblHeader w:val="true"/>
        </w:trPr>
        <w:tc>
          <w:tcPr>
            <w:tcW w:type="dxa" w:w="7512"/>
            <w:tcMar>
              <w:top w:w="70" w:type="dxa"/>
              <w:start w:w="80" w:type="dxa"/>
              <w:bottom w:w="70" w:type="dxa"/>
              <w:end w:w="80" w:type="dxa"/>
            </w:tcMar>
            <w:vAlign w:val="center"/>
            <w:shd w:fill="1F4E79"/>
          </w:tcPr>
          <w:p>
            <w:pPr>
              <w:spacing w:after="0" w:before="0"/>
              <w:jc w:val="center"/>
            </w:pPr>
            <w:r>
              <w:rPr>
                <w:rFonts w:ascii="Arial" w:hAnsi="Arial"/>
                <w:b/>
                <w:color w:val="FFFFFF"/>
                <w:sz w:val="16"/>
              </w:rPr>
              <w:t>Control area</w:t>
            </w:r>
          </w:p>
        </w:tc>
        <w:tc>
          <w:tcPr>
            <w:tcW w:type="dxa" w:w="7512"/>
            <w:tcMar>
              <w:top w:w="70" w:type="dxa"/>
              <w:start w:w="80" w:type="dxa"/>
              <w:bottom w:w="70" w:type="dxa"/>
              <w:end w:w="80" w:type="dxa"/>
            </w:tcMar>
            <w:vAlign w:val="center"/>
            <w:shd w:fill="1F4E79"/>
          </w:tcPr>
          <w:p>
            <w:pPr>
              <w:spacing w:after="0" w:before="0"/>
              <w:jc w:val="center"/>
            </w:pPr>
            <w:r>
              <w:rPr>
                <w:rFonts w:ascii="Arial" w:hAnsi="Arial"/>
                <w:b/>
                <w:color w:val="FFFFFF"/>
                <w:sz w:val="16"/>
              </w:rPr>
              <w:t>Implementation</w:t>
            </w:r>
          </w:p>
        </w:tc>
      </w:tr>
      <w:tr>
        <w:tc>
          <w:tcPr>
            <w:tcW w:type="dxa" w:w="7512"/>
            <w:tcMar>
              <w:top w:w="70" w:type="dxa"/>
              <w:start w:w="80" w:type="dxa"/>
              <w:bottom w:w="70" w:type="dxa"/>
              <w:end w:w="80" w:type="dxa"/>
            </w:tcMar>
            <w:vAlign w:val="center"/>
          </w:tcPr>
          <w:p>
            <w:pPr>
              <w:spacing w:after="0" w:before="0"/>
            </w:pPr>
            <w:r>
              <w:rPr>
                <w:rFonts w:ascii="Arial" w:hAnsi="Arial"/>
                <w:sz w:val="16"/>
              </w:rPr>
              <w:t>Authorization</w:t>
            </w:r>
          </w:p>
        </w:tc>
        <w:tc>
          <w:tcPr>
            <w:tcW w:type="dxa" w:w="7512"/>
            <w:tcMar>
              <w:top w:w="70" w:type="dxa"/>
              <w:start w:w="80" w:type="dxa"/>
              <w:bottom w:w="70" w:type="dxa"/>
              <w:end w:w="80" w:type="dxa"/>
            </w:tcMar>
            <w:vAlign w:val="center"/>
          </w:tcPr>
          <w:p>
            <w:pPr>
              <w:spacing w:after="0" w:before="0"/>
            </w:pPr>
            <w:r>
              <w:rPr>
                <w:rFonts w:ascii="Arial" w:hAnsi="Arial"/>
                <w:sz w:val="16"/>
              </w:rPr>
              <w:t>Use role-based access control by business concern, location and job function. Access is enforced by the API/service layer, not only by the screen.</w:t>
            </w:r>
          </w:p>
        </w:tc>
      </w:tr>
      <w:tr>
        <w:tc>
          <w:tcPr>
            <w:tcW w:type="dxa" w:w="7512"/>
            <w:tcMar>
              <w:top w:w="70" w:type="dxa"/>
              <w:start w:w="80" w:type="dxa"/>
              <w:bottom w:w="70" w:type="dxa"/>
              <w:end w:w="80" w:type="dxa"/>
            </w:tcMar>
            <w:vAlign w:val="center"/>
          </w:tcPr>
          <w:p>
            <w:pPr>
              <w:spacing w:after="0" w:before="0"/>
            </w:pPr>
            <w:r>
              <w:rPr>
                <w:rFonts w:ascii="Arial" w:hAnsi="Arial"/>
                <w:sz w:val="16"/>
              </w:rPr>
              <w:t>Authentication</w:t>
            </w:r>
          </w:p>
        </w:tc>
        <w:tc>
          <w:tcPr>
            <w:tcW w:type="dxa" w:w="7512"/>
            <w:tcMar>
              <w:top w:w="70" w:type="dxa"/>
              <w:start w:w="80" w:type="dxa"/>
              <w:bottom w:w="70" w:type="dxa"/>
              <w:end w:w="80" w:type="dxa"/>
            </w:tcMar>
            <w:vAlign w:val="center"/>
          </w:tcPr>
          <w:p>
            <w:r>
              <w:t>Staff and administrator users use two-factor authentication. Customers and patients use a one-time-password login to keep onboarding simple.</w:t>
            </w:r>
          </w:p>
        </w:tc>
      </w:tr>
      <w:tr>
        <w:tc>
          <w:tcPr>
            <w:tcW w:type="dxa" w:w="7512"/>
            <w:tcMar>
              <w:top w:w="70" w:type="dxa"/>
              <w:start w:w="80" w:type="dxa"/>
              <w:bottom w:w="70" w:type="dxa"/>
              <w:end w:w="80" w:type="dxa"/>
            </w:tcMar>
            <w:vAlign w:val="center"/>
          </w:tcPr>
          <w:p>
            <w:pPr>
              <w:spacing w:after="0" w:before="0"/>
            </w:pPr>
            <w:r>
              <w:rPr>
                <w:rFonts w:ascii="Arial" w:hAnsi="Arial"/>
                <w:sz w:val="16"/>
              </w:rPr>
              <w:t>Encryption</w:t>
            </w:r>
          </w:p>
        </w:tc>
        <w:tc>
          <w:tcPr>
            <w:tcW w:type="dxa" w:w="7512"/>
            <w:tcMar>
              <w:top w:w="70" w:type="dxa"/>
              <w:start w:w="80" w:type="dxa"/>
              <w:bottom w:w="70" w:type="dxa"/>
              <w:end w:w="80" w:type="dxa"/>
            </w:tcMar>
            <w:vAlign w:val="center"/>
          </w:tcPr>
          <w:p>
            <w:pPr>
              <w:spacing w:after="0" w:before="0"/>
            </w:pPr>
            <w:r>
              <w:rPr>
                <w:rFonts w:ascii="Arial" w:hAnsi="Arial"/>
                <w:sz w:val="16"/>
              </w:rPr>
              <w:t>TLS in transit, encryption at rest, plus field-level encryption for sensitive patient medical records/device/Care Plan fields.</w:t>
            </w:r>
          </w:p>
        </w:tc>
      </w:tr>
      <w:tr>
        <w:tc>
          <w:tcPr>
            <w:tcW w:type="dxa" w:w="7512"/>
            <w:tcMar>
              <w:top w:w="70" w:type="dxa"/>
              <w:start w:w="80" w:type="dxa"/>
              <w:bottom w:w="70" w:type="dxa"/>
              <w:end w:w="80" w:type="dxa"/>
            </w:tcMar>
            <w:vAlign w:val="center"/>
          </w:tcPr>
          <w:p>
            <w:pPr>
              <w:spacing w:after="0" w:before="0"/>
            </w:pPr>
            <w:r>
              <w:rPr>
                <w:rFonts w:ascii="Arial" w:hAnsi="Arial"/>
                <w:sz w:val="16"/>
              </w:rPr>
              <w:t>Audit</w:t>
            </w:r>
          </w:p>
        </w:tc>
        <w:tc>
          <w:tcPr>
            <w:tcW w:type="dxa" w:w="7512"/>
            <w:tcMar>
              <w:top w:w="70" w:type="dxa"/>
              <w:start w:w="80" w:type="dxa"/>
              <w:bottom w:w="70" w:type="dxa"/>
              <w:end w:w="80" w:type="dxa"/>
            </w:tcMar>
            <w:vAlign w:val="center"/>
          </w:tcPr>
          <w:p>
            <w:pPr>
              <w:spacing w:after="0" w:before="0"/>
            </w:pPr>
            <w:r>
              <w:rPr>
                <w:rFonts w:ascii="Arial" w:hAnsi="Arial"/>
                <w:sz w:val="16"/>
              </w:rPr>
              <w:t>Sensitive health-data access logged on reads as well as writes; correlation/trace IDs retained for investigations.</w:t>
            </w:r>
          </w:p>
        </w:tc>
      </w:tr>
      <w:tr>
        <w:tc>
          <w:tcPr>
            <w:tcW w:type="dxa" w:w="7512"/>
            <w:tcMar>
              <w:top w:w="70" w:type="dxa"/>
              <w:start w:w="80" w:type="dxa"/>
              <w:bottom w:w="70" w:type="dxa"/>
              <w:end w:w="80" w:type="dxa"/>
            </w:tcMar>
            <w:vAlign w:val="center"/>
          </w:tcPr>
          <w:p>
            <w:pPr>
              <w:spacing w:after="0" w:before="0"/>
            </w:pPr>
            <w:r>
              <w:rPr>
                <w:rFonts w:ascii="Arial" w:hAnsi="Arial"/>
                <w:sz w:val="16"/>
              </w:rPr>
              <w:t>Consent</w:t>
            </w:r>
          </w:p>
        </w:tc>
        <w:tc>
          <w:tcPr>
            <w:tcW w:type="dxa" w:w="7512"/>
            <w:tcMar>
              <w:top w:w="70" w:type="dxa"/>
              <w:start w:w="80" w:type="dxa"/>
              <w:bottom w:w="70" w:type="dxa"/>
              <w:end w:w="80" w:type="dxa"/>
            </w:tcMar>
            <w:vAlign w:val="center"/>
          </w:tcPr>
          <w:p>
            <w:pPr>
              <w:spacing w:after="0" w:before="0"/>
            </w:pPr>
            <w:r>
              <w:rPr>
                <w:rFonts w:ascii="Arial" w:hAnsi="Arial"/>
                <w:sz w:val="16"/>
              </w:rPr>
              <w:t>Explicit, revocable consent records govern device sharing, community use and analytics/AI processing.</w:t>
            </w:r>
          </w:p>
        </w:tc>
      </w:tr>
      <w:tr>
        <w:tc>
          <w:tcPr>
            <w:tcW w:type="dxa" w:w="7512"/>
            <w:tcMar>
              <w:top w:w="70" w:type="dxa"/>
              <w:start w:w="80" w:type="dxa"/>
              <w:bottom w:w="70" w:type="dxa"/>
              <w:end w:w="80" w:type="dxa"/>
            </w:tcMar>
            <w:vAlign w:val="center"/>
          </w:tcPr>
          <w:p>
            <w:pPr>
              <w:spacing w:after="0" w:before="0"/>
            </w:pPr>
            <w:r>
              <w:rPr>
                <w:rFonts w:ascii="Arial" w:hAnsi="Arial"/>
                <w:sz w:val="16"/>
              </w:rPr>
              <w:t>Application security</w:t>
            </w:r>
          </w:p>
        </w:tc>
        <w:tc>
          <w:tcPr>
            <w:tcW w:type="dxa" w:w="7512"/>
            <w:tcMar>
              <w:top w:w="70" w:type="dxa"/>
              <w:start w:w="80" w:type="dxa"/>
              <w:bottom w:w="70" w:type="dxa"/>
              <w:end w:w="80" w:type="dxa"/>
            </w:tcMar>
            <w:vAlign w:val="center"/>
          </w:tcPr>
          <w:p>
            <w:pPr>
              <w:spacing w:after="0" w:before="0"/>
            </w:pPr>
            <w:r>
              <w:rPr>
                <w:rFonts w:ascii="Arial" w:hAnsi="Arial"/>
                <w:sz w:val="16"/>
              </w:rPr>
              <w:t>Run dependency scanning, secure-code checks and standard web-security controls in the automated build pipeline. Use independent security testing before major go-lives and at least annually afterward.</w:t>
            </w:r>
          </w:p>
        </w:tc>
      </w:tr>
      <w:tr>
        <w:tc>
          <w:tcPr>
            <w:tcW w:type="dxa" w:w="7512"/>
            <w:tcMar>
              <w:top w:w="70" w:type="dxa"/>
              <w:start w:w="80" w:type="dxa"/>
              <w:bottom w:w="70" w:type="dxa"/>
              <w:end w:w="80" w:type="dxa"/>
            </w:tcMar>
            <w:vAlign w:val="center"/>
          </w:tcPr>
          <w:p>
            <w:pPr>
              <w:spacing w:after="0" w:before="0"/>
            </w:pPr>
            <w:r>
              <w:rPr>
                <w:rFonts w:ascii="Arial" w:hAnsi="Arial"/>
                <w:sz w:val="16"/>
              </w:rPr>
              <w:t>Backup / disaster recovery</w:t>
            </w:r>
          </w:p>
        </w:tc>
        <w:tc>
          <w:tcPr>
            <w:tcW w:type="dxa" w:w="7512"/>
            <w:tcMar>
              <w:top w:w="70" w:type="dxa"/>
              <w:start w:w="80" w:type="dxa"/>
              <w:bottom w:w="70" w:type="dxa"/>
              <w:end w:w="80" w:type="dxa"/>
            </w:tcMar>
            <w:vAlign w:val="center"/>
          </w:tcPr>
          <w:p>
            <w:pPr>
              <w:spacing w:after="0" w:before="0"/>
            </w:pPr>
            <w:r>
              <w:rPr>
                <w:rFonts w:ascii="Arial" w:hAnsi="Arial"/>
                <w:sz w:val="16"/>
              </w:rPr>
              <w:t>Use automated backups, restore tests and module-specific recovery-time and acceptable-data-loss targets. Complete a disaster-recovery rehearsal before major public releases.</w:t>
            </w:r>
          </w:p>
        </w:tc>
      </w:tr>
      <w:tr>
        <w:tc>
          <w:tcPr>
            <w:tcW w:type="dxa" w:w="7512"/>
            <w:tcMar>
              <w:top w:w="70" w:type="dxa"/>
              <w:start w:w="80" w:type="dxa"/>
              <w:bottom w:w="70" w:type="dxa"/>
              <w:end w:w="80" w:type="dxa"/>
            </w:tcMar>
            <w:vAlign w:val="center"/>
          </w:tcPr>
          <w:p>
            <w:pPr>
              <w:spacing w:after="0" w:before="0"/>
            </w:pPr>
            <w:r>
              <w:rPr>
                <w:rFonts w:ascii="Arial" w:hAnsi="Arial"/>
                <w:sz w:val="16"/>
              </w:rPr>
              <w:t>Local resilience</w:t>
            </w:r>
          </w:p>
        </w:tc>
        <w:tc>
          <w:tcPr>
            <w:tcW w:type="dxa" w:w="7512"/>
            <w:tcMar>
              <w:top w:w="70" w:type="dxa"/>
              <w:start w:w="80" w:type="dxa"/>
              <w:bottom w:w="70" w:type="dxa"/>
              <w:end w:w="80" w:type="dxa"/>
            </w:tcMar>
            <w:vAlign w:val="center"/>
          </w:tcPr>
          <w:p>
            <w:pPr>
              <w:spacing w:after="0" w:before="0"/>
            </w:pPr>
            <w:r>
              <w:rPr>
                <w:rFonts w:ascii="Arial" w:hAnsi="Arial"/>
                <w:sz w:val="16"/>
              </w:rPr>
              <w:t>During the Odoo phase, validate offline and reconnect behavior for outlet POS. The later JK POS includes offline transaction capture and safe background synchronization.</w:t>
            </w:r>
          </w:p>
        </w:tc>
      </w:tr>
      <w:tr>
        <w:tc>
          <w:tcPr>
            <w:tcW w:type="dxa" w:w="7512"/>
            <w:tcMar>
              <w:top w:w="70" w:type="dxa"/>
              <w:start w:w="80" w:type="dxa"/>
              <w:bottom w:w="70" w:type="dxa"/>
              <w:end w:w="80" w:type="dxa"/>
            </w:tcMar>
            <w:vAlign w:val="center"/>
          </w:tcPr>
          <w:p>
            <w:pPr>
              <w:spacing w:after="0" w:before="0"/>
            </w:pPr>
            <w:r>
              <w:rPr>
                <w:rFonts w:ascii="Arial" w:hAnsi="Arial"/>
                <w:sz w:val="16"/>
              </w:rPr>
              <w:t>Observability</w:t>
            </w:r>
          </w:p>
        </w:tc>
        <w:tc>
          <w:tcPr>
            <w:tcW w:type="dxa" w:w="7512"/>
            <w:tcMar>
              <w:top w:w="70" w:type="dxa"/>
              <w:start w:w="80" w:type="dxa"/>
              <w:bottom w:w="70" w:type="dxa"/>
              <w:end w:w="80" w:type="dxa"/>
            </w:tcMar>
            <w:vAlign w:val="center"/>
          </w:tcPr>
          <w:p>
            <w:pPr>
              <w:spacing w:after="0" w:before="0"/>
            </w:pPr>
            <w:r>
              <w:rPr>
                <w:rFonts w:ascii="Arial" w:hAnsi="Arial"/>
                <w:sz w:val="16"/>
              </w:rPr>
              <w:t>Use structured logs, request trace IDs, performance metrics, agreed service performance targets, security-issue tracking and monthly cloud-cost review.</w:t>
            </w:r>
          </w:p>
        </w:tc>
      </w:tr>
    </w:tbl>
    <w:p>
      <w:pPr>
        <w:pStyle w:val="Heading2"/>
      </w:pPr>
      <w:r>
        <w:t>3.7 Technology platform &amp; DevOps</w:t>
      </w:r>
    </w:p>
    <w:tbl>
      <w:tblPr>
        <w:tblW w:type="auto" w:w="0"/>
        <w:jc w:val="center"/>
        <w:tblLayout w:type="autofit"/>
        <w:tblLook w:firstColumn="1" w:firstRow="1" w:lastColumn="0" w:lastRow="0" w:noHBand="0" w:noVBand="1" w:val="04A0"/>
      </w:tblPr>
      <w:tblGrid>
        <w:gridCol w:w="5008"/>
        <w:gridCol w:w="5008"/>
        <w:gridCol w:w="5008"/>
      </w:tblGrid>
      <w:tr>
        <w:trPr>
          <w:tblHeader w:val="true"/>
        </w:trPr>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5"/>
              </w:rPr>
              <w:t>Layer</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5"/>
              </w:rPr>
              <w:t>Choice</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5"/>
              </w:rPr>
              <w:t>Reason</w:t>
            </w:r>
          </w:p>
        </w:tc>
      </w:tr>
      <w:tr>
        <w:tc>
          <w:tcPr>
            <w:tcW w:type="dxa" w:w="5008"/>
            <w:tcMar>
              <w:top w:w="70" w:type="dxa"/>
              <w:start w:w="80" w:type="dxa"/>
              <w:bottom w:w="70" w:type="dxa"/>
              <w:end w:w="80" w:type="dxa"/>
            </w:tcMar>
            <w:vAlign w:val="center"/>
          </w:tcPr>
          <w:p>
            <w:pPr>
              <w:spacing w:after="0" w:before="0"/>
            </w:pPr>
            <w:r>
              <w:rPr>
                <w:rFonts w:ascii="Arial" w:hAnsi="Arial"/>
                <w:sz w:val="15"/>
              </w:rPr>
              <w:t>Web</w:t>
            </w:r>
          </w:p>
        </w:tc>
        <w:tc>
          <w:tcPr>
            <w:tcW w:type="dxa" w:w="5008"/>
            <w:tcMar>
              <w:top w:w="70" w:type="dxa"/>
              <w:start w:w="80" w:type="dxa"/>
              <w:bottom w:w="70" w:type="dxa"/>
              <w:end w:w="80" w:type="dxa"/>
            </w:tcMar>
            <w:vAlign w:val="center"/>
          </w:tcPr>
          <w:p>
            <w:pPr>
              <w:spacing w:after="0" w:before="0"/>
            </w:pPr>
            <w:r>
              <w:rPr>
                <w:rFonts w:ascii="Arial" w:hAnsi="Arial"/>
                <w:sz w:val="15"/>
              </w:rPr>
              <w:t>Next.js (React) + TypeScript</w:t>
            </w:r>
          </w:p>
        </w:tc>
        <w:tc>
          <w:tcPr>
            <w:tcW w:type="dxa" w:w="5008"/>
            <w:tcMar>
              <w:top w:w="70" w:type="dxa"/>
              <w:start w:w="80" w:type="dxa"/>
              <w:bottom w:w="70" w:type="dxa"/>
              <w:end w:w="80" w:type="dxa"/>
            </w:tcMar>
            <w:vAlign w:val="center"/>
          </w:tcPr>
          <w:p>
            <w:pPr>
              <w:spacing w:after="0" w:before="0"/>
            </w:pPr>
            <w:r>
              <w:rPr>
                <w:rFonts w:ascii="Arial" w:hAnsi="Arial"/>
                <w:sz w:val="15"/>
              </w:rPr>
              <w:t>Server-side rendering improves search visibility, and the shared component approach keeps the website/admin UI consistent.</w:t>
            </w:r>
          </w:p>
        </w:tc>
      </w:tr>
      <w:tr>
        <w:tc>
          <w:tcPr>
            <w:tcW w:type="dxa" w:w="5008"/>
            <w:tcMar>
              <w:top w:w="70" w:type="dxa"/>
              <w:start w:w="80" w:type="dxa"/>
              <w:bottom w:w="70" w:type="dxa"/>
              <w:end w:w="80" w:type="dxa"/>
            </w:tcMar>
            <w:vAlign w:val="center"/>
          </w:tcPr>
          <w:p>
            <w:pPr>
              <w:spacing w:after="0" w:before="0"/>
            </w:pPr>
            <w:r>
              <w:rPr>
                <w:rFonts w:ascii="Arial" w:hAnsi="Arial"/>
                <w:sz w:val="15"/>
              </w:rPr>
              <w:t>Mobile</w:t>
            </w:r>
          </w:p>
        </w:tc>
        <w:tc>
          <w:tcPr>
            <w:tcW w:type="dxa" w:w="5008"/>
            <w:tcMar>
              <w:top w:w="70" w:type="dxa"/>
              <w:start w:w="80" w:type="dxa"/>
              <w:bottom w:w="70" w:type="dxa"/>
              <w:end w:w="80" w:type="dxa"/>
            </w:tcMar>
            <w:vAlign w:val="center"/>
          </w:tcPr>
          <w:p>
            <w:pPr>
              <w:spacing w:after="0" w:before="0"/>
            </w:pPr>
            <w:r>
              <w:rPr>
                <w:rFonts w:ascii="Arial" w:hAnsi="Arial"/>
                <w:sz w:val="15"/>
              </w:rPr>
              <w:t>Flutter</w:t>
            </w:r>
          </w:p>
        </w:tc>
        <w:tc>
          <w:tcPr>
            <w:tcW w:type="dxa" w:w="5008"/>
            <w:tcMar>
              <w:top w:w="70" w:type="dxa"/>
              <w:start w:w="80" w:type="dxa"/>
              <w:bottom w:w="70" w:type="dxa"/>
              <w:end w:w="80" w:type="dxa"/>
            </w:tcMar>
            <w:vAlign w:val="center"/>
          </w:tcPr>
          <w:p>
            <w:pPr>
              <w:spacing w:after="0" w:before="0"/>
            </w:pPr>
            <w:r>
              <w:rPr>
                <w:rFonts w:ascii="Arial" w:hAnsi="Arial"/>
                <w:sz w:val="15"/>
              </w:rPr>
              <w:t>One Android/iOS codebase, with offline storage and Bluetooth Low Energy device support.</w:t>
            </w:r>
          </w:p>
        </w:tc>
      </w:tr>
      <w:tr>
        <w:tc>
          <w:tcPr>
            <w:tcW w:type="dxa" w:w="5008"/>
            <w:tcMar>
              <w:top w:w="70" w:type="dxa"/>
              <w:start w:w="80" w:type="dxa"/>
              <w:bottom w:w="70" w:type="dxa"/>
              <w:end w:w="80" w:type="dxa"/>
            </w:tcMar>
            <w:vAlign w:val="center"/>
          </w:tcPr>
          <w:p>
            <w:pPr>
              <w:spacing w:after="0" w:before="0"/>
            </w:pPr>
            <w:r>
              <w:rPr>
                <w:rFonts w:ascii="Arial" w:hAnsi="Arial"/>
                <w:sz w:val="15"/>
              </w:rPr>
              <w:t>Backend</w:t>
            </w:r>
          </w:p>
        </w:tc>
        <w:tc>
          <w:tcPr>
            <w:tcW w:type="dxa" w:w="5008"/>
            <w:tcMar>
              <w:top w:w="70" w:type="dxa"/>
              <w:start w:w="80" w:type="dxa"/>
              <w:bottom w:w="70" w:type="dxa"/>
              <w:end w:w="80" w:type="dxa"/>
            </w:tcMar>
            <w:vAlign w:val="center"/>
          </w:tcPr>
          <w:p>
            <w:pPr>
              <w:spacing w:after="0" w:before="0"/>
            </w:pPr>
            <w:r>
              <w:rPr>
                <w:rFonts w:ascii="Arial" w:hAnsi="Arial"/>
                <w:sz w:val="15"/>
              </w:rPr>
              <w:t>Node.js / NestJS</w:t>
            </w:r>
          </w:p>
        </w:tc>
        <w:tc>
          <w:tcPr>
            <w:tcW w:type="dxa" w:w="5008"/>
            <w:tcMar>
              <w:top w:w="70" w:type="dxa"/>
              <w:start w:w="80" w:type="dxa"/>
              <w:bottom w:w="70" w:type="dxa"/>
              <w:end w:w="80" w:type="dxa"/>
            </w:tcMar>
            <w:vAlign w:val="center"/>
          </w:tcPr>
          <w:p>
            <w:pPr>
              <w:spacing w:after="0" w:before="0"/>
            </w:pPr>
            <w:r>
              <w:rPr>
                <w:rFonts w:ascii="Arial" w:hAnsi="Arial"/>
                <w:sz w:val="15"/>
              </w:rPr>
              <w:t>Strong modular boundaries, TypeScript contracts and API-first service design.</w:t>
            </w:r>
          </w:p>
        </w:tc>
      </w:tr>
      <w:tr>
        <w:tc>
          <w:tcPr>
            <w:tcW w:type="dxa" w:w="5008"/>
            <w:tcMar>
              <w:top w:w="70" w:type="dxa"/>
              <w:start w:w="80" w:type="dxa"/>
              <w:bottom w:w="70" w:type="dxa"/>
              <w:end w:w="80" w:type="dxa"/>
            </w:tcMar>
            <w:vAlign w:val="center"/>
          </w:tcPr>
          <w:p>
            <w:pPr>
              <w:spacing w:after="0" w:before="0"/>
            </w:pPr>
            <w:r>
              <w:rPr>
                <w:rFonts w:ascii="Arial" w:hAnsi="Arial"/>
                <w:sz w:val="15"/>
              </w:rPr>
              <w:t>AI / data services</w:t>
            </w:r>
          </w:p>
        </w:tc>
        <w:tc>
          <w:tcPr>
            <w:tcW w:type="dxa" w:w="5008"/>
            <w:tcMar>
              <w:top w:w="70" w:type="dxa"/>
              <w:start w:w="80" w:type="dxa"/>
              <w:bottom w:w="70" w:type="dxa"/>
              <w:end w:w="80" w:type="dxa"/>
            </w:tcMar>
            <w:vAlign w:val="center"/>
          </w:tcPr>
          <w:p>
            <w:pPr>
              <w:spacing w:after="0" w:before="0"/>
            </w:pPr>
            <w:r>
              <w:rPr>
                <w:rFonts w:ascii="Arial" w:hAnsi="Arial"/>
                <w:sz w:val="15"/>
              </w:rPr>
              <w:t>Python / FastAPI</w:t>
            </w:r>
          </w:p>
        </w:tc>
        <w:tc>
          <w:tcPr>
            <w:tcW w:type="dxa" w:w="5008"/>
            <w:tcMar>
              <w:top w:w="70" w:type="dxa"/>
              <w:start w:w="80" w:type="dxa"/>
              <w:bottom w:w="70" w:type="dxa"/>
              <w:end w:w="80" w:type="dxa"/>
            </w:tcMar>
            <w:vAlign w:val="center"/>
          </w:tcPr>
          <w:p>
            <w:pPr>
              <w:spacing w:after="0" w:before="0"/>
            </w:pPr>
            <w:r>
              <w:rPr>
                <w:rFonts w:ascii="Arial" w:hAnsi="Arial"/>
                <w:sz w:val="15"/>
              </w:rPr>
              <w:t>machine-learning/data-science ecosystem and model-serving path.</w:t>
            </w:r>
          </w:p>
        </w:tc>
      </w:tr>
      <w:tr>
        <w:tc>
          <w:tcPr>
            <w:tcW w:type="dxa" w:w="5008"/>
            <w:tcMar>
              <w:top w:w="70" w:type="dxa"/>
              <w:start w:w="80" w:type="dxa"/>
              <w:bottom w:w="70" w:type="dxa"/>
              <w:end w:w="80" w:type="dxa"/>
            </w:tcMar>
            <w:vAlign w:val="center"/>
          </w:tcPr>
          <w:p>
            <w:pPr>
              <w:spacing w:after="0" w:before="0"/>
            </w:pPr>
            <w:r>
              <w:rPr>
                <w:rFonts w:ascii="Arial" w:hAnsi="Arial"/>
                <w:sz w:val="15"/>
              </w:rPr>
              <w:t>ERP</w:t>
            </w:r>
          </w:p>
        </w:tc>
        <w:tc>
          <w:tcPr>
            <w:tcW w:type="dxa" w:w="5008"/>
            <w:tcMar>
              <w:top w:w="70" w:type="dxa"/>
              <w:start w:w="80" w:type="dxa"/>
              <w:bottom w:w="70" w:type="dxa"/>
              <w:end w:w="80" w:type="dxa"/>
            </w:tcMar>
            <w:vAlign w:val="center"/>
          </w:tcPr>
          <w:p>
            <w:r>
              <w:t>Odoo Community Edition for the transition + custom JK ERP for long-term operations</w:t>
            </w:r>
          </w:p>
        </w:tc>
        <w:tc>
          <w:tcPr>
            <w:tcW w:type="dxa" w:w="5008"/>
            <w:tcMar>
              <w:top w:w="70" w:type="dxa"/>
              <w:start w:w="80" w:type="dxa"/>
              <w:bottom w:w="70" w:type="dxa"/>
              <w:end w:w="80" w:type="dxa"/>
            </w:tcMar>
            <w:vAlign w:val="center"/>
          </w:tcPr>
          <w:p>
            <w:r>
              <w:t>Odoo Community Edition provides the first POS/Inventory bridge. JK ERP owns clinical services, Human Resources/payroll and all reports, and JK Tech later replaces Odoo POS/Inventory with in-house modules.</w:t>
            </w:r>
          </w:p>
        </w:tc>
      </w:tr>
      <w:tr>
        <w:tc>
          <w:tcPr>
            <w:tcW w:type="dxa" w:w="5008"/>
            <w:tcMar>
              <w:top w:w="70" w:type="dxa"/>
              <w:start w:w="80" w:type="dxa"/>
              <w:bottom w:w="70" w:type="dxa"/>
              <w:end w:w="80" w:type="dxa"/>
            </w:tcMar>
            <w:vAlign w:val="center"/>
          </w:tcPr>
          <w:p>
            <w:pPr>
              <w:spacing w:after="0" w:before="0"/>
            </w:pPr>
            <w:r>
              <w:rPr>
                <w:rFonts w:ascii="Arial" w:hAnsi="Arial"/>
                <w:sz w:val="15"/>
              </w:rPr>
              <w:t>Primary database</w:t>
            </w:r>
          </w:p>
        </w:tc>
        <w:tc>
          <w:tcPr>
            <w:tcW w:type="dxa" w:w="5008"/>
            <w:tcMar>
              <w:top w:w="70" w:type="dxa"/>
              <w:start w:w="80" w:type="dxa"/>
              <w:bottom w:w="70" w:type="dxa"/>
              <w:end w:w="80" w:type="dxa"/>
            </w:tcMar>
            <w:vAlign w:val="center"/>
          </w:tcPr>
          <w:p>
            <w:pPr>
              <w:spacing w:after="0" w:before="0"/>
            </w:pPr>
            <w:r>
              <w:rPr>
                <w:rFonts w:ascii="Arial" w:hAnsi="Arial"/>
                <w:sz w:val="15"/>
              </w:rPr>
              <w:t>Managed PostgreSQL</w:t>
            </w:r>
          </w:p>
        </w:tc>
        <w:tc>
          <w:tcPr>
            <w:tcW w:type="dxa" w:w="5008"/>
            <w:tcMar>
              <w:top w:w="70" w:type="dxa"/>
              <w:start w:w="80" w:type="dxa"/>
              <w:bottom w:w="70" w:type="dxa"/>
              <w:end w:w="80" w:type="dxa"/>
            </w:tcMar>
            <w:vAlign w:val="center"/>
          </w:tcPr>
          <w:p>
            <w:pPr>
              <w:spacing w:after="0" w:before="0"/>
            </w:pPr>
            <w:r>
              <w:rPr>
                <w:rFonts w:ascii="Arial" w:hAnsi="Arial"/>
                <w:sz w:val="15"/>
              </w:rPr>
              <w:t>Managed PostgreSQL provides reliable transactions for finance and clinical data, with flexible JSON fields where needed.</w:t>
            </w:r>
          </w:p>
        </w:tc>
      </w:tr>
      <w:tr>
        <w:tc>
          <w:tcPr>
            <w:tcW w:type="dxa" w:w="5008"/>
            <w:tcMar>
              <w:top w:w="70" w:type="dxa"/>
              <w:start w:w="80" w:type="dxa"/>
              <w:bottom w:w="70" w:type="dxa"/>
              <w:end w:w="80" w:type="dxa"/>
            </w:tcMar>
            <w:vAlign w:val="center"/>
          </w:tcPr>
          <w:p>
            <w:pPr>
              <w:spacing w:after="0" w:before="0"/>
            </w:pPr>
            <w:r>
              <w:rPr>
                <w:rFonts w:ascii="Arial" w:hAnsi="Arial"/>
                <w:sz w:val="15"/>
              </w:rPr>
              <w:t>Cache/session</w:t>
            </w:r>
          </w:p>
        </w:tc>
        <w:tc>
          <w:tcPr>
            <w:tcW w:type="dxa" w:w="5008"/>
            <w:tcMar>
              <w:top w:w="70" w:type="dxa"/>
              <w:start w:w="80" w:type="dxa"/>
              <w:bottom w:w="70" w:type="dxa"/>
              <w:end w:w="80" w:type="dxa"/>
            </w:tcMar>
            <w:vAlign w:val="center"/>
          </w:tcPr>
          <w:p>
            <w:pPr>
              <w:spacing w:after="0" w:before="0"/>
            </w:pPr>
            <w:r>
              <w:rPr>
                <w:rFonts w:ascii="Arial" w:hAnsi="Arial"/>
                <w:sz w:val="15"/>
              </w:rPr>
              <w:t>Redis</w:t>
            </w:r>
          </w:p>
        </w:tc>
        <w:tc>
          <w:tcPr>
            <w:tcW w:type="dxa" w:w="5008"/>
            <w:tcMar>
              <w:top w:w="70" w:type="dxa"/>
              <w:start w:w="80" w:type="dxa"/>
              <w:bottom w:w="70" w:type="dxa"/>
              <w:end w:w="80" w:type="dxa"/>
            </w:tcMar>
            <w:vAlign w:val="center"/>
          </w:tcPr>
          <w:p>
            <w:pPr>
              <w:spacing w:after="0" w:before="0"/>
            </w:pPr>
            <w:r>
              <w:rPr>
                <w:rFonts w:ascii="Arial" w:hAnsi="Arial"/>
                <w:sz w:val="15"/>
              </w:rPr>
              <w:t>Session, rate limiting, cache and selected queue/state use cases.</w:t>
            </w:r>
          </w:p>
        </w:tc>
      </w:tr>
      <w:tr>
        <w:tc>
          <w:tcPr>
            <w:tcW w:type="dxa" w:w="5008"/>
            <w:tcMar>
              <w:top w:w="70" w:type="dxa"/>
              <w:start w:w="80" w:type="dxa"/>
              <w:bottom w:w="70" w:type="dxa"/>
              <w:end w:w="80" w:type="dxa"/>
            </w:tcMar>
            <w:vAlign w:val="center"/>
          </w:tcPr>
          <w:p>
            <w:pPr>
              <w:spacing w:after="0" w:before="0"/>
            </w:pPr>
            <w:r>
              <w:rPr>
                <w:rFonts w:ascii="Arial" w:hAnsi="Arial"/>
                <w:sz w:val="15"/>
              </w:rPr>
              <w:t>Events</w:t>
            </w:r>
          </w:p>
        </w:tc>
        <w:tc>
          <w:tcPr>
            <w:tcW w:type="dxa" w:w="5008"/>
            <w:tcMar>
              <w:top w:w="70" w:type="dxa"/>
              <w:start w:w="80" w:type="dxa"/>
              <w:bottom w:w="70" w:type="dxa"/>
              <w:end w:w="80" w:type="dxa"/>
            </w:tcMar>
            <w:vAlign w:val="center"/>
          </w:tcPr>
          <w:p>
            <w:pPr>
              <w:spacing w:after="0" w:before="0"/>
            </w:pPr>
            <w:r>
              <w:rPr>
                <w:rFonts w:ascii="Arial" w:hAnsi="Arial"/>
                <w:sz w:val="15"/>
              </w:rPr>
              <w:t>RabbitMQ → Kafka only if justified</w:t>
            </w:r>
          </w:p>
        </w:tc>
        <w:tc>
          <w:tcPr>
            <w:tcW w:type="dxa" w:w="5008"/>
            <w:tcMar>
              <w:top w:w="70" w:type="dxa"/>
              <w:start w:w="80" w:type="dxa"/>
              <w:bottom w:w="70" w:type="dxa"/>
              <w:end w:w="80" w:type="dxa"/>
            </w:tcMar>
            <w:vAlign w:val="center"/>
          </w:tcPr>
          <w:p>
            <w:pPr>
              <w:spacing w:after="0" w:before="0"/>
            </w:pPr>
            <w:r>
              <w:rPr>
                <w:rFonts w:ascii="Arial" w:hAnsi="Arial"/>
                <w:sz w:val="15"/>
              </w:rPr>
              <w:t>Operationally simpler at current scale; future throughput path remains open.</w:t>
            </w:r>
          </w:p>
        </w:tc>
      </w:tr>
      <w:tr>
        <w:tc>
          <w:tcPr>
            <w:tcW w:type="dxa" w:w="5008"/>
            <w:tcMar>
              <w:top w:w="70" w:type="dxa"/>
              <w:start w:w="80" w:type="dxa"/>
              <w:bottom w:w="70" w:type="dxa"/>
              <w:end w:w="80" w:type="dxa"/>
            </w:tcMar>
            <w:vAlign w:val="center"/>
          </w:tcPr>
          <w:p>
            <w:pPr>
              <w:spacing w:after="0" w:before="0"/>
            </w:pPr>
            <w:r>
              <w:rPr>
                <w:rFonts w:ascii="Arial" w:hAnsi="Arial"/>
                <w:sz w:val="15"/>
              </w:rPr>
              <w:t>Search</w:t>
            </w:r>
          </w:p>
        </w:tc>
        <w:tc>
          <w:tcPr>
            <w:tcW w:type="dxa" w:w="5008"/>
            <w:tcMar>
              <w:top w:w="70" w:type="dxa"/>
              <w:start w:w="80" w:type="dxa"/>
              <w:bottom w:w="70" w:type="dxa"/>
              <w:end w:w="80" w:type="dxa"/>
            </w:tcMar>
            <w:vAlign w:val="center"/>
          </w:tcPr>
          <w:p>
            <w:pPr>
              <w:spacing w:after="0" w:before="0"/>
            </w:pPr>
            <w:r>
              <w:rPr>
                <w:rFonts w:ascii="Arial" w:hAnsi="Arial"/>
                <w:sz w:val="15"/>
              </w:rPr>
              <w:t>PostgreSQL full-text search → OpenSearch when needed</w:t>
            </w:r>
          </w:p>
        </w:tc>
        <w:tc>
          <w:tcPr>
            <w:tcW w:type="dxa" w:w="5008"/>
            <w:tcMar>
              <w:top w:w="70" w:type="dxa"/>
              <w:start w:w="80" w:type="dxa"/>
              <w:bottom w:w="70" w:type="dxa"/>
              <w:end w:w="80" w:type="dxa"/>
            </w:tcMar>
            <w:vAlign w:val="center"/>
          </w:tcPr>
          <w:p>
            <w:pPr>
              <w:spacing w:after="0" w:before="0"/>
            </w:pPr>
            <w:r>
              <w:rPr>
                <w:rFonts w:ascii="Arial" w:hAnsi="Arial"/>
                <w:sz w:val="15"/>
              </w:rPr>
              <w:t>Start with PostgreSQL search. Add OpenSearch only when catalogue, community or course volume requires it.</w:t>
            </w:r>
          </w:p>
        </w:tc>
      </w:tr>
      <w:tr>
        <w:tc>
          <w:tcPr>
            <w:tcW w:type="dxa" w:w="5008"/>
            <w:tcMar>
              <w:top w:w="70" w:type="dxa"/>
              <w:start w:w="80" w:type="dxa"/>
              <w:bottom w:w="70" w:type="dxa"/>
              <w:end w:w="80" w:type="dxa"/>
            </w:tcMar>
            <w:vAlign w:val="center"/>
          </w:tcPr>
          <w:p>
            <w:pPr>
              <w:spacing w:after="0" w:before="0"/>
            </w:pPr>
            <w:r>
              <w:rPr>
                <w:rFonts w:ascii="Arial" w:hAnsi="Arial"/>
                <w:sz w:val="15"/>
              </w:rPr>
              <w:t>Object/media</w:t>
            </w:r>
          </w:p>
        </w:tc>
        <w:tc>
          <w:tcPr>
            <w:tcW w:type="dxa" w:w="5008"/>
            <w:tcMar>
              <w:top w:w="70" w:type="dxa"/>
              <w:start w:w="80" w:type="dxa"/>
              <w:bottom w:w="70" w:type="dxa"/>
              <w:end w:w="80" w:type="dxa"/>
            </w:tcMar>
            <w:vAlign w:val="center"/>
          </w:tcPr>
          <w:p>
            <w:pPr>
              <w:spacing w:after="0" w:before="0"/>
            </w:pPr>
            <w:r>
              <w:rPr>
                <w:rFonts w:ascii="Arial" w:hAnsi="Arial"/>
                <w:sz w:val="15"/>
              </w:rPr>
              <w:t>S3-compatible object storage + Content Delivery Network</w:t>
            </w:r>
          </w:p>
        </w:tc>
        <w:tc>
          <w:tcPr>
            <w:tcW w:type="dxa" w:w="5008"/>
            <w:tcMar>
              <w:top w:w="70" w:type="dxa"/>
              <w:start w:w="80" w:type="dxa"/>
              <w:bottom w:w="70" w:type="dxa"/>
              <w:end w:w="80" w:type="dxa"/>
            </w:tcMar>
            <w:vAlign w:val="center"/>
          </w:tcPr>
          <w:p>
            <w:pPr>
              <w:spacing w:after="0" w:before="0"/>
            </w:pPr>
            <w:r>
              <w:rPr>
                <w:rFonts w:ascii="Arial" w:hAnsi="Arial"/>
                <w:sz w:val="15"/>
              </w:rPr>
              <w:t>Store food/progress images and education media with compression, Content Delivery Network delivery and lifecycle policies.</w:t>
            </w:r>
          </w:p>
        </w:tc>
      </w:tr>
      <w:tr>
        <w:tc>
          <w:tcPr>
            <w:tcW w:type="dxa" w:w="5008"/>
            <w:tcMar>
              <w:top w:w="70" w:type="dxa"/>
              <w:start w:w="80" w:type="dxa"/>
              <w:bottom w:w="70" w:type="dxa"/>
              <w:end w:w="80" w:type="dxa"/>
            </w:tcMar>
            <w:vAlign w:val="center"/>
          </w:tcPr>
          <w:p>
            <w:pPr>
              <w:spacing w:after="0" w:before="0"/>
            </w:pPr>
            <w:r>
              <w:rPr>
                <w:rFonts w:ascii="Arial" w:hAnsi="Arial"/>
                <w:sz w:val="15"/>
              </w:rPr>
              <w:t>Runtime</w:t>
            </w:r>
          </w:p>
        </w:tc>
        <w:tc>
          <w:tcPr>
            <w:tcW w:type="dxa" w:w="5008"/>
            <w:tcMar>
              <w:top w:w="70" w:type="dxa"/>
              <w:start w:w="80" w:type="dxa"/>
              <w:bottom w:w="70" w:type="dxa"/>
              <w:end w:w="80" w:type="dxa"/>
            </w:tcMar>
            <w:vAlign w:val="center"/>
          </w:tcPr>
          <w:p>
            <w:pPr>
              <w:spacing w:after="0" w:before="0"/>
            </w:pPr>
            <w:r>
              <w:rPr>
                <w:rFonts w:ascii="Arial" w:hAnsi="Arial"/>
                <w:sz w:val="15"/>
              </w:rPr>
              <w:t>Managed Kubernetes</w:t>
            </w:r>
          </w:p>
        </w:tc>
        <w:tc>
          <w:tcPr>
            <w:tcW w:type="dxa" w:w="5008"/>
            <w:tcMar>
              <w:top w:w="70" w:type="dxa"/>
              <w:start w:w="80" w:type="dxa"/>
              <w:bottom w:w="70" w:type="dxa"/>
              <w:end w:w="80" w:type="dxa"/>
            </w:tcMar>
            <w:vAlign w:val="center"/>
          </w:tcPr>
          <w:p>
            <w:pPr>
              <w:spacing w:after="0" w:before="0"/>
            </w:pPr>
            <w:r>
              <w:rPr>
                <w:rFonts w:ascii="Arial" w:hAnsi="Arial"/>
                <w:sz w:val="15"/>
              </w:rPr>
              <w:t>Dev/Staging/Prod parity, horizontal scaling and workload isolation.</w:t>
            </w:r>
          </w:p>
        </w:tc>
      </w:tr>
      <w:tr>
        <w:tc>
          <w:tcPr>
            <w:tcW w:type="dxa" w:w="5008"/>
            <w:tcMar>
              <w:top w:w="70" w:type="dxa"/>
              <w:start w:w="80" w:type="dxa"/>
              <w:bottom w:w="70" w:type="dxa"/>
              <w:end w:w="80" w:type="dxa"/>
            </w:tcMar>
            <w:vAlign w:val="center"/>
          </w:tcPr>
          <w:p>
            <w:pPr>
              <w:spacing w:after="0" w:before="0"/>
            </w:pPr>
            <w:r>
              <w:rPr>
                <w:rFonts w:ascii="Arial" w:hAnsi="Arial"/>
                <w:sz w:val="15"/>
              </w:rPr>
              <w:t>automated build/deployment</w:t>
            </w:r>
          </w:p>
        </w:tc>
        <w:tc>
          <w:tcPr>
            <w:tcW w:type="dxa" w:w="5008"/>
            <w:tcMar>
              <w:top w:w="70" w:type="dxa"/>
              <w:start w:w="80" w:type="dxa"/>
              <w:bottom w:w="70" w:type="dxa"/>
              <w:end w:w="80" w:type="dxa"/>
            </w:tcMar>
            <w:vAlign w:val="center"/>
          </w:tcPr>
          <w:p>
            <w:pPr>
              <w:spacing w:after="0" w:before="0"/>
            </w:pPr>
            <w:r>
              <w:rPr>
                <w:rFonts w:ascii="Arial" w:hAnsi="Arial"/>
                <w:sz w:val="15"/>
              </w:rPr>
              <w:t>GitHub Actions + Argo CD (or equivalent)</w:t>
            </w:r>
          </w:p>
        </w:tc>
        <w:tc>
          <w:tcPr>
            <w:tcW w:type="dxa" w:w="5008"/>
            <w:tcMar>
              <w:top w:w="70" w:type="dxa"/>
              <w:start w:w="80" w:type="dxa"/>
              <w:bottom w:w="70" w:type="dxa"/>
              <w:end w:w="80" w:type="dxa"/>
            </w:tcMar>
            <w:vAlign w:val="center"/>
          </w:tcPr>
          <w:p>
            <w:pPr>
              <w:spacing w:after="0" w:before="0"/>
            </w:pPr>
            <w:r>
              <w:rPr>
                <w:rFonts w:ascii="Arial" w:hAnsi="Arial"/>
                <w:sz w:val="15"/>
              </w:rPr>
              <w:t>Every production change is traceable to source control and passes a controlled deployment process.</w:t>
            </w:r>
          </w:p>
        </w:tc>
      </w:tr>
      <w:tr>
        <w:tc>
          <w:tcPr>
            <w:tcW w:type="dxa" w:w="5008"/>
          </w:tcPr>
          <w:p>
            <w:r>
              <w:t>Reporting</w:t>
            </w:r>
          </w:p>
        </w:tc>
        <w:tc>
          <w:tcPr>
            <w:tcW w:type="dxa" w:w="5008"/>
          </w:tcPr>
          <w:p>
            <w:r>
              <w:t>ERP reporting layer + PostgreSQL reporting/read models</w:t>
            </w:r>
          </w:p>
        </w:tc>
        <w:tc>
          <w:tcPr>
            <w:tcW w:type="dxa" w:w="5008"/>
          </w:tcPr>
          <w:p>
            <w:r>
              <w:t>All management and operational reports are generated from the ERP. Data is synchronized from Odoo during transition and from JK-owned modules after cut-over.</w:t>
            </w:r>
          </w:p>
        </w:tc>
      </w:tr>
    </w:tbl>
    <w:p>
      <w:pPr>
        <w:pStyle w:val="Heading2"/>
      </w:pPr>
      <w:r>
        <w:t>3.8 Data &amp; AI architecture</w:t>
      </w:r>
    </w:p>
    <w:tbl>
      <w:tblPr>
        <w:tblW w:type="auto" w:w="0"/>
        <w:jc w:val="center"/>
        <w:tblLayout w:type="autofit"/>
        <w:tblLook w:firstColumn="1" w:firstRow="1" w:lastColumn="0" w:lastRow="0" w:noHBand="0" w:noVBand="1" w:val="04A0"/>
      </w:tblPr>
      <w:tblGrid>
        <w:gridCol w:w="5008"/>
        <w:gridCol w:w="5008"/>
        <w:gridCol w:w="5008"/>
      </w:tblGrid>
      <w:tr>
        <w:trPr>
          <w:tblHeader w:val="true"/>
        </w:trPr>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Pipeline step</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Architecture</w:t>
            </w:r>
          </w:p>
        </w:tc>
        <w:tc>
          <w:tcPr>
            <w:tcW w:type="dxa" w:w="5008"/>
            <w:tcMar>
              <w:top w:w="70" w:type="dxa"/>
              <w:start w:w="80" w:type="dxa"/>
              <w:bottom w:w="70" w:type="dxa"/>
              <w:end w:w="80" w:type="dxa"/>
            </w:tcMar>
            <w:vAlign w:val="center"/>
            <w:shd w:fill="1F4E79"/>
          </w:tcPr>
          <w:p>
            <w:pPr>
              <w:spacing w:after="0" w:before="0"/>
              <w:jc w:val="center"/>
            </w:pPr>
            <w:r>
              <w:rPr>
                <w:rFonts w:ascii="Arial" w:hAnsi="Arial"/>
                <w:b/>
                <w:color w:val="FFFFFF"/>
                <w:sz w:val="16"/>
              </w:rPr>
              <w:t>Governance / control</w:t>
            </w:r>
          </w:p>
        </w:tc>
      </w:tr>
      <w:tr>
        <w:tc>
          <w:tcPr>
            <w:tcW w:type="dxa" w:w="5008"/>
            <w:tcMar>
              <w:top w:w="70" w:type="dxa"/>
              <w:start w:w="80" w:type="dxa"/>
              <w:bottom w:w="70" w:type="dxa"/>
              <w:end w:w="80" w:type="dxa"/>
            </w:tcMar>
            <w:vAlign w:val="center"/>
          </w:tcPr>
          <w:p>
            <w:pPr>
              <w:spacing w:after="0" w:before="0"/>
            </w:pPr>
            <w:r>
              <w:rPr>
                <w:rFonts w:ascii="Arial" w:hAnsi="Arial"/>
                <w:sz w:val="16"/>
              </w:rPr>
              <w:t>1. Capture</w:t>
            </w:r>
          </w:p>
        </w:tc>
        <w:tc>
          <w:tcPr>
            <w:tcW w:type="dxa" w:w="5008"/>
            <w:tcMar>
              <w:top w:w="70" w:type="dxa"/>
              <w:start w:w="80" w:type="dxa"/>
              <w:bottom w:w="70" w:type="dxa"/>
              <w:end w:w="80" w:type="dxa"/>
            </w:tcMar>
            <w:vAlign w:val="center"/>
          </w:tcPr>
          <w:p>
            <w:pPr>
              <w:spacing w:after="0" w:before="0"/>
            </w:pPr>
            <w:r>
              <w:rPr>
                <w:rFonts w:ascii="Arial" w:hAnsi="Arial"/>
                <w:sz w:val="16"/>
              </w:rPr>
              <w:t>Food photo, user correction, device reading, adherence outcome</w:t>
            </w:r>
          </w:p>
        </w:tc>
        <w:tc>
          <w:tcPr>
            <w:tcW w:type="dxa" w:w="5008"/>
            <w:tcMar>
              <w:top w:w="70" w:type="dxa"/>
              <w:start w:w="80" w:type="dxa"/>
              <w:bottom w:w="70" w:type="dxa"/>
              <w:end w:w="80" w:type="dxa"/>
            </w:tcMar>
            <w:vAlign w:val="center"/>
          </w:tcPr>
          <w:p>
            <w:pPr>
              <w:spacing w:after="0" w:before="0"/>
            </w:pPr>
            <w:r>
              <w:rPr>
                <w:rFonts w:ascii="Arial" w:hAnsi="Arial"/>
                <w:sz w:val="16"/>
              </w:rPr>
              <w:t>Write consent/data-lineage metadata with the event.</w:t>
            </w:r>
          </w:p>
        </w:tc>
      </w:tr>
      <w:tr>
        <w:tc>
          <w:tcPr>
            <w:tcW w:type="dxa" w:w="5008"/>
            <w:tcMar>
              <w:top w:w="70" w:type="dxa"/>
              <w:start w:w="80" w:type="dxa"/>
              <w:bottom w:w="70" w:type="dxa"/>
              <w:end w:w="80" w:type="dxa"/>
            </w:tcMar>
            <w:vAlign w:val="center"/>
          </w:tcPr>
          <w:p>
            <w:pPr>
              <w:spacing w:after="0" w:before="0"/>
            </w:pPr>
            <w:r>
              <w:rPr>
                <w:rFonts w:ascii="Arial" w:hAnsi="Arial"/>
                <w:sz w:val="16"/>
              </w:rPr>
              <w:t>2. Recognize</w:t>
            </w:r>
          </w:p>
        </w:tc>
        <w:tc>
          <w:tcPr>
            <w:tcW w:type="dxa" w:w="5008"/>
            <w:tcMar>
              <w:top w:w="70" w:type="dxa"/>
              <w:start w:w="80" w:type="dxa"/>
              <w:bottom w:w="70" w:type="dxa"/>
              <w:end w:w="80" w:type="dxa"/>
            </w:tcMar>
            <w:vAlign w:val="center"/>
          </w:tcPr>
          <w:p>
            <w:pPr>
              <w:spacing w:after="0" w:before="0"/>
            </w:pPr>
            <w:r>
              <w:rPr>
                <w:rFonts w:ascii="Arial" w:hAnsi="Arial"/>
                <w:sz w:val="16"/>
              </w:rPr>
              <w:t>Third-party food-recognition API + locally curated Bangladeshi nutrition data</w:t>
            </w:r>
          </w:p>
        </w:tc>
        <w:tc>
          <w:tcPr>
            <w:tcW w:type="dxa" w:w="5008"/>
            <w:tcMar>
              <w:top w:w="70" w:type="dxa"/>
              <w:start w:w="80" w:type="dxa"/>
              <w:bottom w:w="70" w:type="dxa"/>
              <w:end w:w="80" w:type="dxa"/>
            </w:tcMar>
            <w:vAlign w:val="center"/>
          </w:tcPr>
          <w:p>
            <w:pPr>
              <w:spacing w:after="0" w:before="0"/>
            </w:pPr>
            <w:r>
              <w:rPr>
                <w:rFonts w:ascii="Arial" w:hAnsi="Arial"/>
                <w:sz w:val="16"/>
              </w:rPr>
              <w:t>Buy phase accelerates launch while local data remains JK-owned.</w:t>
            </w:r>
          </w:p>
        </w:tc>
      </w:tr>
      <w:tr>
        <w:tc>
          <w:tcPr>
            <w:tcW w:type="dxa" w:w="5008"/>
            <w:tcMar>
              <w:top w:w="70" w:type="dxa"/>
              <w:start w:w="80" w:type="dxa"/>
              <w:bottom w:w="70" w:type="dxa"/>
              <w:end w:w="80" w:type="dxa"/>
            </w:tcMar>
            <w:vAlign w:val="center"/>
          </w:tcPr>
          <w:p>
            <w:pPr>
              <w:spacing w:after="0" w:before="0"/>
            </w:pPr>
            <w:r>
              <w:rPr>
                <w:rFonts w:ascii="Arial" w:hAnsi="Arial"/>
                <w:sz w:val="16"/>
              </w:rPr>
              <w:t>3. Human confirm</w:t>
            </w:r>
          </w:p>
        </w:tc>
        <w:tc>
          <w:tcPr>
            <w:tcW w:type="dxa" w:w="5008"/>
            <w:tcMar>
              <w:top w:w="70" w:type="dxa"/>
              <w:start w:w="80" w:type="dxa"/>
              <w:bottom w:w="70" w:type="dxa"/>
              <w:end w:w="80" w:type="dxa"/>
            </w:tcMar>
            <w:vAlign w:val="center"/>
          </w:tcPr>
          <w:p>
            <w:pPr>
              <w:spacing w:after="0" w:before="0"/>
            </w:pPr>
            <w:r>
              <w:rPr>
                <w:rFonts w:ascii="Arial" w:hAnsi="Arial"/>
                <w:sz w:val="16"/>
              </w:rPr>
              <w:t>Confidence score + correction when below threshold</w:t>
            </w:r>
          </w:p>
        </w:tc>
        <w:tc>
          <w:tcPr>
            <w:tcW w:type="dxa" w:w="5008"/>
            <w:tcMar>
              <w:top w:w="70" w:type="dxa"/>
              <w:start w:w="80" w:type="dxa"/>
              <w:bottom w:w="70" w:type="dxa"/>
              <w:end w:w="80" w:type="dxa"/>
            </w:tcMar>
            <w:vAlign w:val="center"/>
          </w:tcPr>
          <w:p>
            <w:pPr>
              <w:spacing w:after="0" w:before="0"/>
            </w:pPr>
            <w:r>
              <w:rPr>
                <w:rFonts w:ascii="Arial" w:hAnsi="Arial"/>
                <w:sz w:val="16"/>
              </w:rPr>
              <w:t>Manual correction is a first-class product path and safety control.</w:t>
            </w:r>
          </w:p>
        </w:tc>
      </w:tr>
      <w:tr>
        <w:tc>
          <w:tcPr>
            <w:tcW w:type="dxa" w:w="5008"/>
            <w:tcMar>
              <w:top w:w="70" w:type="dxa"/>
              <w:start w:w="80" w:type="dxa"/>
              <w:bottom w:w="70" w:type="dxa"/>
              <w:end w:w="80" w:type="dxa"/>
            </w:tcMar>
            <w:vAlign w:val="center"/>
          </w:tcPr>
          <w:p>
            <w:pPr>
              <w:spacing w:after="0" w:before="0"/>
            </w:pPr>
            <w:r>
              <w:rPr>
                <w:rFonts w:ascii="Arial" w:hAnsi="Arial"/>
                <w:sz w:val="16"/>
              </w:rPr>
              <w:t>4. Store &amp; label</w:t>
            </w:r>
          </w:p>
        </w:tc>
        <w:tc>
          <w:tcPr>
            <w:tcW w:type="dxa" w:w="5008"/>
            <w:tcMar>
              <w:top w:w="70" w:type="dxa"/>
              <w:start w:w="80" w:type="dxa"/>
              <w:bottom w:w="70" w:type="dxa"/>
              <w:end w:w="80" w:type="dxa"/>
            </w:tcMar>
            <w:vAlign w:val="center"/>
          </w:tcPr>
          <w:p>
            <w:pPr>
              <w:spacing w:after="0" w:before="0"/>
            </w:pPr>
            <w:r>
              <w:rPr>
                <w:rFonts w:ascii="Arial" w:hAnsi="Arial"/>
                <w:sz w:val="16"/>
              </w:rPr>
              <w:t>Consented events land in warehouse/training dataset</w:t>
            </w:r>
          </w:p>
        </w:tc>
        <w:tc>
          <w:tcPr>
            <w:tcW w:type="dxa" w:w="5008"/>
            <w:tcMar>
              <w:top w:w="70" w:type="dxa"/>
              <w:start w:w="80" w:type="dxa"/>
              <w:bottom w:w="70" w:type="dxa"/>
              <w:end w:w="80" w:type="dxa"/>
            </w:tcMar>
            <w:vAlign w:val="center"/>
          </w:tcPr>
          <w:p>
            <w:pPr>
              <w:spacing w:after="0" w:before="0"/>
            </w:pPr>
            <w:r>
              <w:rPr>
                <w:rFonts w:ascii="Arial" w:hAnsi="Arial"/>
                <w:sz w:val="16"/>
              </w:rPr>
              <w:t>Corrections become labeled examples; preserve source and model/version lineage.</w:t>
            </w:r>
          </w:p>
        </w:tc>
      </w:tr>
      <w:tr>
        <w:tc>
          <w:tcPr>
            <w:tcW w:type="dxa" w:w="5008"/>
            <w:tcMar>
              <w:top w:w="70" w:type="dxa"/>
              <w:start w:w="80" w:type="dxa"/>
              <w:bottom w:w="70" w:type="dxa"/>
              <w:end w:w="80" w:type="dxa"/>
            </w:tcMar>
            <w:vAlign w:val="center"/>
          </w:tcPr>
          <w:p>
            <w:pPr>
              <w:spacing w:after="0" w:before="0"/>
            </w:pPr>
            <w:r>
              <w:rPr>
                <w:rFonts w:ascii="Arial" w:hAnsi="Arial"/>
                <w:sz w:val="16"/>
              </w:rPr>
              <w:t>5. Build decision</w:t>
            </w:r>
          </w:p>
        </w:tc>
        <w:tc>
          <w:tcPr>
            <w:tcW w:type="dxa" w:w="5008"/>
            <w:tcMar>
              <w:top w:w="70" w:type="dxa"/>
              <w:start w:w="80" w:type="dxa"/>
              <w:bottom w:w="70" w:type="dxa"/>
              <w:end w:w="80" w:type="dxa"/>
            </w:tcMar>
            <w:vAlign w:val="center"/>
          </w:tcPr>
          <w:p>
            <w:pPr>
              <w:spacing w:after="0" w:before="0"/>
            </w:pPr>
            <w:r>
              <w:rPr>
                <w:rFonts w:ascii="Arial" w:hAnsi="Arial"/>
                <w:sz w:val="16"/>
              </w:rPr>
              <w:t>Local model proof of concept after sufficient labeled data exists</w:t>
            </w:r>
          </w:p>
        </w:tc>
        <w:tc>
          <w:tcPr>
            <w:tcW w:type="dxa" w:w="5008"/>
            <w:tcMar>
              <w:top w:w="70" w:type="dxa"/>
              <w:start w:w="80" w:type="dxa"/>
              <w:bottom w:w="70" w:type="dxa"/>
              <w:end w:w="80" w:type="dxa"/>
            </w:tcMar>
            <w:vAlign w:val="center"/>
          </w:tcPr>
          <w:p>
            <w:pPr>
              <w:spacing w:after="0" w:before="0"/>
            </w:pPr>
            <w:r>
              <w:rPr>
                <w:rFonts w:ascii="Arial" w:hAnsi="Arial"/>
                <w:sz w:val="16"/>
              </w:rPr>
              <w:t>Compare quality, latency and cost before shifting inference in-house.</w:t>
            </w:r>
          </w:p>
        </w:tc>
      </w:tr>
    </w:tbl>
    <w:p>
      <w:pPr>
        <w:spacing w:after="60"/>
        <w:ind w:left="288" w:hanging="173"/>
      </w:pPr>
      <w:r>
        <w:t>•  Indicative Phase-2 quality target: &gt;=80% correct dish identification with an approximate ±20% macro/portion estimate target; always expose confidence and confirmation when uncertain.</w:t>
      </w:r>
    </w:p>
    <w:p>
      <w:pPr>
        <w:spacing w:after="60"/>
        <w:ind w:left="288" w:hanging="173"/>
      </w:pPr>
      <w:r>
        <w:t>•  Inference cost control: cache common/repeated meals and batch non-urgent recognition rather than paying synchronous vendor cost for every photo.</w:t>
      </w:r>
    </w:p>
    <w:p>
      <w:pPr>
        <w:spacing w:after="60"/>
        <w:ind w:left="288" w:hanging="173"/>
      </w:pPr>
      <w:r>
        <w:t>•  Warehouse prerequisites: event capture, stable metric_code conventions, consent tagging and data lineage are established before predictive models depend on them.</w:t>
      </w:r>
    </w:p>
    <w:p>
      <w:pPr>
        <w:pStyle w:val="Heading2"/>
      </w:pPr>
      <w:r>
        <w:t>3.9 Key end-to-end system flows</w:t>
      </w:r>
    </w:p>
    <w:tbl>
      <w:tblPr>
        <w:tblW w:type="auto" w:w="0"/>
        <w:jc w:val="center"/>
        <w:tblLayout w:type="autofit"/>
        <w:tblLook w:firstColumn="1" w:firstRow="1" w:lastColumn="0" w:lastRow="0" w:noHBand="0" w:noVBand="1" w:val="04A0"/>
      </w:tblPr>
      <w:tblGrid>
        <w:gridCol w:w="5008"/>
        <w:gridCol w:w="5008"/>
        <w:gridCol w:w="5008"/>
      </w:tblGrid>
      <w:tr>
        <w:tc>
          <w:tcPr>
            <w:tcW w:type="dxa" w:w="5008"/>
            <w:tcMar>
              <w:top w:w="60" w:type="dxa"/>
              <w:start w:w="70" w:type="dxa"/>
              <w:bottom w:w="60" w:type="dxa"/>
              <w:end w:w="70" w:type="dxa"/>
            </w:tcMar>
            <w:vAlign w:val="center"/>
            <w:shd w:fill="1F4E79"/>
          </w:tcPr>
          <w:p>
            <w:pPr>
              <w:keepNext w:val="0"/>
              <w:spacing w:after="0" w:before="0"/>
              <w:jc w:val="center"/>
            </w:pPr>
            <w:r>
              <w:rPr>
                <w:rFonts w:ascii="Arial" w:hAnsi="Arial"/>
                <w:b/>
                <w:color w:val="FFFFFF"/>
                <w:sz w:val="14"/>
              </w:rPr>
              <w:t>Flow</w:t>
            </w:r>
          </w:p>
        </w:tc>
        <w:tc>
          <w:tcPr>
            <w:tcW w:type="dxa" w:w="5008"/>
            <w:tcMar>
              <w:top w:w="60" w:type="dxa"/>
              <w:start w:w="70" w:type="dxa"/>
              <w:bottom w:w="60" w:type="dxa"/>
              <w:end w:w="70" w:type="dxa"/>
            </w:tcMar>
            <w:vAlign w:val="center"/>
            <w:shd w:fill="1F4E79"/>
          </w:tcPr>
          <w:p>
            <w:pPr>
              <w:keepNext w:val="0"/>
              <w:spacing w:after="0" w:before="0"/>
              <w:jc w:val="center"/>
            </w:pPr>
            <w:r>
              <w:rPr>
                <w:rFonts w:ascii="Arial" w:hAnsi="Arial"/>
                <w:b/>
                <w:color w:val="FFFFFF"/>
                <w:sz w:val="14"/>
              </w:rPr>
              <w:t>Path</w:t>
            </w:r>
          </w:p>
        </w:tc>
        <w:tc>
          <w:tcPr>
            <w:tcW w:type="dxa" w:w="5008"/>
            <w:tcMar>
              <w:top w:w="60" w:type="dxa"/>
              <w:start w:w="70" w:type="dxa"/>
              <w:bottom w:w="60" w:type="dxa"/>
              <w:end w:w="70" w:type="dxa"/>
            </w:tcMar>
            <w:vAlign w:val="center"/>
            <w:shd w:fill="1F4E79"/>
          </w:tcPr>
          <w:p>
            <w:pPr>
              <w:keepNext w:val="0"/>
              <w:spacing w:after="0" w:before="0"/>
              <w:jc w:val="center"/>
            </w:pPr>
            <w:r>
              <w:rPr>
                <w:rFonts w:ascii="Arial" w:hAnsi="Arial"/>
                <w:b/>
                <w:color w:val="FFFFFF"/>
                <w:sz w:val="14"/>
              </w:rPr>
              <w:t>Architecture intent</w:t>
            </w:r>
          </w:p>
        </w:tc>
      </w:tr>
      <w:tr>
        <w:tc>
          <w:tcPr>
            <w:tcW w:type="dxa" w:w="5008"/>
            <w:tcMar>
              <w:top w:w="60" w:type="dxa"/>
              <w:start w:w="70" w:type="dxa"/>
              <w:bottom w:w="60" w:type="dxa"/>
              <w:end w:w="70" w:type="dxa"/>
            </w:tcMar>
            <w:vAlign w:val="center"/>
          </w:tcPr>
          <w:p>
            <w:r>
              <w:t>Care Plan</w:t>
            </w:r>
          </w:p>
        </w:tc>
        <w:tc>
          <w:tcPr>
            <w:tcW w:type="dxa" w:w="5008"/>
            <w:tcMar>
              <w:top w:w="60" w:type="dxa"/>
              <w:start w:w="70" w:type="dxa"/>
              <w:bottom w:w="60" w:type="dxa"/>
              <w:end w:w="70" w:type="dxa"/>
            </w:tcMar>
            <w:vAlign w:val="center"/>
          </w:tcPr>
          <w:p>
            <w:r>
              <w:t>ERP Clinical Screen → Clinical Service → PostgreSQL → business event → App integration → patient</w:t>
            </w:r>
          </w:p>
        </w:tc>
        <w:tc>
          <w:tcPr>
            <w:tcW w:type="dxa" w:w="5008"/>
            <w:tcMar>
              <w:top w:w="60" w:type="dxa"/>
              <w:start w:w="70" w:type="dxa"/>
              <w:bottom w:w="60" w:type="dxa"/>
              <w:end w:w="70" w:type="dxa"/>
            </w:tcMar>
            <w:vAlign w:val="center"/>
          </w:tcPr>
          <w:p>
            <w:r>
              <w:t>Clinical remains the authoring source of truth. The App receives the Care Plan through a controlled system interface instead of reading clinical database tables directly.</w:t>
            </w:r>
          </w:p>
        </w:tc>
      </w:tr>
      <w:tr>
        <w:tc>
          <w:tcPr>
            <w:tcW w:type="dxa" w:w="5008"/>
            <w:tcMar>
              <w:top w:w="60" w:type="dxa"/>
              <w:start w:w="70" w:type="dxa"/>
              <w:bottom w:w="60" w:type="dxa"/>
              <w:end w:w="70" w:type="dxa"/>
            </w:tcMar>
            <w:vAlign w:val="center"/>
          </w:tcPr>
          <w:p>
            <w:r>
              <w:t>Meal / AI</w:t>
            </w:r>
          </w:p>
        </w:tc>
        <w:tc>
          <w:tcPr>
            <w:tcW w:type="dxa" w:w="5008"/>
            <w:tcMar>
              <w:top w:w="60" w:type="dxa"/>
              <w:start w:w="70" w:type="dxa"/>
              <w:bottom w:w="60" w:type="dxa"/>
              <w:end w:w="70" w:type="dxa"/>
            </w:tcMar>
            <w:vAlign w:val="center"/>
          </w:tcPr>
          <w:p>
            <w:r>
              <w:t>Super App → object storage → food-recognition service/local nutrition data → user confirmation → business event → data warehouse/adherence calculation → clinician dashboard</w:t>
            </w:r>
          </w:p>
        </w:tc>
        <w:tc>
          <w:tcPr>
            <w:tcW w:type="dxa" w:w="5008"/>
            <w:tcMar>
              <w:top w:w="60" w:type="dxa"/>
              <w:start w:w="70" w:type="dxa"/>
              <w:bottom w:w="60" w:type="dxa"/>
              <w:end w:w="70" w:type="dxa"/>
            </w:tcMar>
            <w:vAlign w:val="center"/>
          </w:tcPr>
          <w:p>
            <w:r>
              <w:t>Separate media, inference and analytics paths; corrections become labeled data with consent and lineage.</w:t>
            </w:r>
          </w:p>
        </w:tc>
      </w:tr>
      <w:tr>
        <w:tc>
          <w:tcPr>
            <w:tcW w:type="dxa" w:w="5008"/>
            <w:tcMar>
              <w:top w:w="60" w:type="dxa"/>
              <w:start w:w="70" w:type="dxa"/>
              <w:bottom w:w="60" w:type="dxa"/>
              <w:end w:w="70" w:type="dxa"/>
            </w:tcMar>
            <w:vAlign w:val="center"/>
          </w:tcPr>
          <w:p>
            <w:r>
              <w:t>Online / e-commerce sale</w:t>
            </w:r>
          </w:p>
        </w:tc>
        <w:tc>
          <w:tcPr>
            <w:tcW w:type="dxa" w:w="5008"/>
            <w:tcMar>
              <w:top w:w="60" w:type="dxa"/>
              <w:start w:w="70" w:type="dxa"/>
              <w:bottom w:w="60" w:type="dxa"/>
              <w:end w:w="70" w:type="dxa"/>
            </w:tcMar>
            <w:vAlign w:val="center"/>
          </w:tcPr>
          <w:p>
            <w:r>
              <w:t>Website/Super App → Sales Adapter → Odoo CE during transition → JK Inventory/POS after cut-over → payment/fulfillment → ERP Reporting</w:t>
            </w:r>
          </w:p>
        </w:tc>
        <w:tc>
          <w:tcPr>
            <w:tcW w:type="dxa" w:w="5008"/>
            <w:tcMar>
              <w:top w:w="60" w:type="dxa"/>
              <w:start w:w="70" w:type="dxa"/>
              <w:bottom w:w="60" w:type="dxa"/>
              <w:end w:w="70" w:type="dxa"/>
            </w:tcMar>
            <w:vAlign w:val="center"/>
          </w:tcPr>
          <w:p>
            <w:r>
              <w:t>The customer experience does not change when the backend changes. The adapter points to the active sales/inventory backend, and all results are reported through the ERP.</w:t>
            </w:r>
          </w:p>
        </w:tc>
      </w:tr>
      <w:tr>
        <w:tc>
          <w:tcPr>
            <w:tcW w:type="dxa" w:w="5008"/>
            <w:tcMar>
              <w:top w:w="60" w:type="dxa"/>
              <w:start w:w="70" w:type="dxa"/>
              <w:bottom w:w="60" w:type="dxa"/>
              <w:end w:w="70" w:type="dxa"/>
            </w:tcMar>
            <w:vAlign w:val="center"/>
          </w:tcPr>
          <w:p>
            <w:r>
              <w:t>Outlet / POS sale</w:t>
            </w:r>
          </w:p>
        </w:tc>
        <w:tc>
          <w:tcPr>
            <w:tcW w:type="dxa" w:w="5008"/>
            <w:tcMar>
              <w:top w:w="60" w:type="dxa"/>
              <w:start w:w="70" w:type="dxa"/>
              <w:bottom w:w="60" w:type="dxa"/>
              <w:end w:w="70" w:type="dxa"/>
            </w:tcMar>
            <w:vAlign w:val="center"/>
          </w:tcPr>
          <w:p>
            <w:r>
              <w:t>Excel data → Odoo CE POS/Inventory first → parallel JK POS/Inventory build → shadow reconciliation → outlet-by-outlet JK cut-over → ERP Reporting</w:t>
            </w:r>
          </w:p>
        </w:tc>
        <w:tc>
          <w:tcPr>
            <w:tcW w:type="dxa" w:w="5008"/>
            <w:tcMar>
              <w:top w:w="60" w:type="dxa"/>
              <w:start w:w="70" w:type="dxa"/>
              <w:bottom w:w="60" w:type="dxa"/>
              <w:end w:w="70" w:type="dxa"/>
            </w:tcMar>
            <w:vAlign w:val="center"/>
          </w:tcPr>
          <w:p>
            <w:r>
              <w:t>Odoo CE gets outlets running quickly. JK Tech then replaces POS and Inventory after the new system proves that sales, payment and stock totals match.</w:t>
            </w:r>
          </w:p>
        </w:tc>
      </w:tr>
      <w:tr>
        <w:tc>
          <w:tcPr>
            <w:tcW w:type="dxa" w:w="5008"/>
            <w:tcMar>
              <w:top w:w="60" w:type="dxa"/>
              <w:start w:w="70" w:type="dxa"/>
              <w:bottom w:w="60" w:type="dxa"/>
              <w:end w:w="70" w:type="dxa"/>
            </w:tcMar>
            <w:vAlign w:val="center"/>
          </w:tcPr>
          <w:p>
            <w:r>
              <w:t>Clinical invoice</w:t>
            </w:r>
          </w:p>
        </w:tc>
        <w:tc>
          <w:tcPr>
            <w:tcW w:type="dxa" w:w="5008"/>
            <w:tcMar>
              <w:top w:w="60" w:type="dxa"/>
              <w:start w:w="70" w:type="dxa"/>
              <w:bottom w:w="60" w:type="dxa"/>
              <w:end w:w="70" w:type="dxa"/>
            </w:tcMar>
            <w:vAlign w:val="center"/>
          </w:tcPr>
          <w:p>
            <w:r>
              <w:t>Custom ERP/Clinical → clinical service selection → invoice approval → ERP clinical invoice/payment status → ERP Reporting</w:t>
            </w:r>
          </w:p>
        </w:tc>
        <w:tc>
          <w:tcPr>
            <w:tcW w:type="dxa" w:w="5008"/>
            <w:tcMar>
              <w:top w:w="60" w:type="dxa"/>
              <w:start w:w="70" w:type="dxa"/>
              <w:bottom w:w="60" w:type="dxa"/>
              <w:end w:w="70" w:type="dxa"/>
            </w:tcMar>
            <w:vAlign w:val="center"/>
          </w:tcPr>
          <w:p>
            <w:r>
              <w:t>The custom ERP owns the complete clinical invoice workflow, including the service context, invoice approval and payment status. If a separate accounting system is required, the approved financial summary can be exported or integrated without making Odoo the owner of the clinical invoice.</w:t>
            </w:r>
          </w:p>
        </w:tc>
      </w:tr>
      <w:tr>
        <w:tc>
          <w:tcPr>
            <w:tcW w:type="dxa" w:w="5008"/>
          </w:tcPr>
          <w:p>
            <w:r>
              <w:t>Payroll</w:t>
            </w:r>
          </w:p>
        </w:tc>
        <w:tc>
          <w:tcPr>
            <w:tcW w:type="dxa" w:w="5008"/>
          </w:tcPr>
          <w:p>
            <w:r>
              <w:t>Custom ERP attendance and payroll → payroll approval → ERP payroll records → ERP Reporting → optional accounting export</w:t>
            </w:r>
          </w:p>
        </w:tc>
        <w:tc>
          <w:tcPr>
            <w:tcW w:type="dxa" w:w="5008"/>
          </w:tcPr>
          <w:p>
            <w:r>
              <w:t>The custom ERP owns attendance, payroll calculation, payroll approval and payroll reporting. If the Finance team needs accounting entries in another accounting system, approved payroll totals can be exported or integrated separately.</w:t>
            </w:r>
          </w:p>
        </w:tc>
      </w:tr>
      <w:tr>
        <w:tc>
          <w:tcPr>
            <w:tcW w:type="dxa" w:w="5008"/>
          </w:tcPr>
          <w:p>
            <w:r>
              <w:t>Offline POS</w:t>
            </w:r>
          </w:p>
        </w:tc>
        <w:tc>
          <w:tcPr>
            <w:tcW w:type="dxa" w:w="5008"/>
          </w:tcPr>
          <w:p>
            <w:r>
              <w:t>Odoo CE offline/reconnect validation → later JK POS offline store and background synchronization → reconciliation</w:t>
            </w:r>
          </w:p>
        </w:tc>
        <w:tc>
          <w:tcPr>
            <w:tcW w:type="dxa" w:w="5008"/>
          </w:tcPr>
          <w:p>
            <w:r>
              <w:t>Offline behavior is tested in both phases. The JK POS must safely replay queued transactions and prevent duplicate sales or payments after reconnect.</w:t>
            </w:r>
          </w:p>
        </w:tc>
      </w:tr>
      <w:tr>
        <w:tc>
          <w:tcPr>
            <w:tcW w:type="dxa" w:w="5008"/>
          </w:tcPr>
          <w:p>
            <w:r>
              <w:t>Authentication</w:t>
            </w:r>
          </w:p>
        </w:tc>
        <w:tc>
          <w:tcPr>
            <w:tcW w:type="dxa" w:w="5008"/>
          </w:tcPr>
          <w:p>
            <w:r>
              <w:t>Website/App/Staff channel → JK ID and single sign-on → role and consent check → secure session → central integration gateway → custom module or Odoo connector</w:t>
            </w:r>
          </w:p>
        </w:tc>
        <w:tc>
          <w:tcPr>
            <w:tcW w:type="dxa" w:w="5008"/>
          </w:tcPr>
          <w:p>
            <w:r>
              <w:t>Identity and authorization remain centralized while Odoo customer/employee references are mapped, not duplicated as a competing identity master.</w:t>
            </w:r>
          </w:p>
        </w:tc>
      </w:tr>
      <w:tr>
        <w:tc>
          <w:tcPr>
            <w:tcW w:type="dxa" w:w="5008"/>
          </w:tcPr>
          <w:p>
            <w:r>
              <w:t>Central reporting</w:t>
            </w:r>
          </w:p>
        </w:tc>
        <w:tc>
          <w:tcPr>
            <w:tcW w:type="dxa" w:w="5008"/>
          </w:tcPr>
          <w:p>
            <w:r>
              <w:t>POS/Inventory + Online Sales + Clinical + Human Resources/Payroll → ERP Reporting Layer → Management Reports</w:t>
            </w:r>
          </w:p>
        </w:tc>
        <w:tc>
          <w:tcPr>
            <w:tcW w:type="dxa" w:w="5008"/>
          </w:tcPr>
          <w:p>
            <w:r>
              <w:t>The ERP is the single report interface. During transition it consumes Odoo data; after cut-over it consumes the JK-built operational modules directly.</w:t>
            </w:r>
          </w:p>
        </w:tc>
      </w:tr>
    </w:tbl>
    <w:p>
      <w:pPr>
        <w:pStyle w:val="Heading2"/>
      </w:pPr>
      <w:r>
        <w:t>3.10 Deployment topology &amp; non-functional baseline</w:t>
      </w:r>
    </w:p>
    <w:tbl>
      <w:tblPr>
        <w:tblW w:type="auto" w:w="0"/>
        <w:jc w:val="center"/>
        <w:tblLayout w:type="autofit"/>
        <w:tblLook w:firstColumn="1" w:firstRow="1" w:lastColumn="0" w:lastRow="0" w:noHBand="0" w:noVBand="1" w:val="04A0"/>
      </w:tblPr>
      <w:tblGrid>
        <w:gridCol w:w="5008"/>
        <w:gridCol w:w="5008"/>
        <w:gridCol w:w="5008"/>
      </w:tblGrid>
      <w:tr>
        <w:tc>
          <w:tcPr>
            <w:tcW w:type="dxa" w:w="5008"/>
            <w:tcMar>
              <w:top w:w="60" w:type="dxa"/>
              <w:start w:w="70" w:type="dxa"/>
              <w:bottom w:w="60" w:type="dxa"/>
              <w:end w:w="70" w:type="dxa"/>
            </w:tcMar>
            <w:vAlign w:val="center"/>
            <w:shd w:fill="1F4E79"/>
          </w:tcPr>
          <w:p>
            <w:pPr>
              <w:keepNext w:val="0"/>
              <w:spacing w:after="0" w:before="0"/>
              <w:jc w:val="center"/>
            </w:pPr>
            <w:r>
              <w:rPr>
                <w:rFonts w:ascii="Arial" w:hAnsi="Arial"/>
                <w:b/>
                <w:color w:val="FFFFFF"/>
                <w:sz w:val="14"/>
              </w:rPr>
              <w:t>Area</w:t>
            </w:r>
          </w:p>
        </w:tc>
        <w:tc>
          <w:tcPr>
            <w:tcW w:type="dxa" w:w="5008"/>
            <w:tcMar>
              <w:top w:w="60" w:type="dxa"/>
              <w:start w:w="70" w:type="dxa"/>
              <w:bottom w:w="60" w:type="dxa"/>
              <w:end w:w="70" w:type="dxa"/>
            </w:tcMar>
            <w:vAlign w:val="center"/>
            <w:shd w:fill="1F4E79"/>
          </w:tcPr>
          <w:p>
            <w:pPr>
              <w:keepNext w:val="0"/>
              <w:spacing w:after="0" w:before="0"/>
              <w:jc w:val="center"/>
            </w:pPr>
            <w:r>
              <w:rPr>
                <w:rFonts w:ascii="Arial" w:hAnsi="Arial"/>
                <w:b/>
                <w:color w:val="FFFFFF"/>
                <w:sz w:val="14"/>
              </w:rPr>
              <w:t>Baseline design</w:t>
            </w:r>
          </w:p>
        </w:tc>
        <w:tc>
          <w:tcPr>
            <w:tcW w:type="dxa" w:w="5008"/>
            <w:tcMar>
              <w:top w:w="60" w:type="dxa"/>
              <w:start w:w="70" w:type="dxa"/>
              <w:bottom w:w="60" w:type="dxa"/>
              <w:end w:w="70" w:type="dxa"/>
            </w:tcMar>
            <w:vAlign w:val="center"/>
            <w:shd w:fill="1F4E79"/>
          </w:tcPr>
          <w:p>
            <w:pPr>
              <w:keepNext w:val="0"/>
              <w:spacing w:after="0" w:before="0"/>
              <w:jc w:val="center"/>
            </w:pPr>
            <w:r>
              <w:rPr>
                <w:rFonts w:ascii="Arial" w:hAnsi="Arial"/>
                <w:b/>
                <w:color w:val="FFFFFF"/>
                <w:sz w:val="14"/>
              </w:rPr>
              <w:t>Control / target</w:t>
            </w:r>
          </w:p>
        </w:tc>
      </w:tr>
      <w:tr>
        <w:tc>
          <w:tcPr>
            <w:tcW w:type="dxa" w:w="5008"/>
            <w:tcMar>
              <w:top w:w="60" w:type="dxa"/>
              <w:start w:w="70" w:type="dxa"/>
              <w:bottom w:w="60" w:type="dxa"/>
              <w:end w:w="70" w:type="dxa"/>
            </w:tcMar>
            <w:vAlign w:val="center"/>
          </w:tcPr>
          <w:p>
            <w:pPr>
              <w:keepNext w:val="0"/>
              <w:spacing w:after="0" w:before="0"/>
            </w:pPr>
            <w:r>
              <w:rPr>
                <w:rFonts w:ascii="Arial" w:hAnsi="Arial"/>
                <w:sz w:val="14"/>
              </w:rPr>
              <w:t>Environment model</w:t>
            </w:r>
          </w:p>
        </w:tc>
        <w:tc>
          <w:tcPr>
            <w:tcW w:type="dxa" w:w="5008"/>
            <w:tcMar>
              <w:top w:w="60" w:type="dxa"/>
              <w:start w:w="70" w:type="dxa"/>
              <w:bottom w:w="60" w:type="dxa"/>
              <w:end w:w="70" w:type="dxa"/>
            </w:tcMar>
            <w:vAlign w:val="center"/>
          </w:tcPr>
          <w:p>
            <w:r>
              <w:t>Separate Development, Staging and Production environments with isolated passwords, keys and configuration</w:t>
            </w:r>
          </w:p>
        </w:tc>
        <w:tc>
          <w:tcPr>
            <w:tcW w:type="dxa" w:w="5008"/>
            <w:tcMar>
              <w:top w:w="60" w:type="dxa"/>
              <w:start w:w="70" w:type="dxa"/>
              <w:bottom w:w="60" w:type="dxa"/>
              <w:end w:w="70" w:type="dxa"/>
            </w:tcMar>
            <w:vAlign w:val="center"/>
          </w:tcPr>
          <w:p>
            <w:pPr>
              <w:keepNext w:val="0"/>
              <w:spacing w:after="0" w:before="0"/>
            </w:pPr>
            <w:r>
              <w:rPr>
                <w:rFonts w:ascii="Arial" w:hAnsi="Arial"/>
                <w:sz w:val="14"/>
              </w:rPr>
              <w:t>Every deployment traceable to source control; production promotion is gated.</w:t>
            </w:r>
          </w:p>
        </w:tc>
      </w:tr>
      <w:tr>
        <w:tc>
          <w:tcPr>
            <w:tcW w:type="dxa" w:w="5008"/>
            <w:tcMar>
              <w:top w:w="60" w:type="dxa"/>
              <w:start w:w="70" w:type="dxa"/>
              <w:bottom w:w="60" w:type="dxa"/>
              <w:end w:w="70" w:type="dxa"/>
            </w:tcMar>
            <w:vAlign w:val="center"/>
          </w:tcPr>
          <w:p>
            <w:pPr>
              <w:keepNext w:val="0"/>
              <w:spacing w:after="0" w:before="0"/>
            </w:pPr>
            <w:r>
              <w:rPr>
                <w:rFonts w:ascii="Arial" w:hAnsi="Arial"/>
                <w:sz w:val="14"/>
              </w:rPr>
              <w:t>Cloud runtime</w:t>
            </w:r>
          </w:p>
        </w:tc>
        <w:tc>
          <w:tcPr>
            <w:tcW w:type="dxa" w:w="5008"/>
            <w:tcMar>
              <w:top w:w="60" w:type="dxa"/>
              <w:start w:w="70" w:type="dxa"/>
              <w:bottom w:w="60" w:type="dxa"/>
              <w:end w:w="70" w:type="dxa"/>
            </w:tcMar>
            <w:vAlign w:val="center"/>
          </w:tcPr>
          <w:p>
            <w:r>
              <w:t>Managed Kubernetes + managed PostgreSQL + Redis + RabbitMQ + object storage and content delivery</w:t>
            </w:r>
          </w:p>
        </w:tc>
        <w:tc>
          <w:tcPr>
            <w:tcW w:type="dxa" w:w="5008"/>
            <w:tcMar>
              <w:top w:w="60" w:type="dxa"/>
              <w:start w:w="70" w:type="dxa"/>
              <w:bottom w:w="60" w:type="dxa"/>
              <w:end w:w="70" w:type="dxa"/>
            </w:tcMar>
            <w:vAlign w:val="center"/>
          </w:tcPr>
          <w:p>
            <w:pPr>
              <w:keepNext w:val="0"/>
              <w:spacing w:after="0" w:before="0"/>
            </w:pPr>
            <w:r>
              <w:rPr>
                <w:rFonts w:ascii="Arial" w:hAnsi="Arial"/>
                <w:sz w:val="14"/>
              </w:rPr>
              <w:t>Scale progressively rather than provisioning Phase-5 capacity on day one.</w:t>
            </w:r>
          </w:p>
        </w:tc>
      </w:tr>
      <w:tr>
        <w:tc>
          <w:tcPr>
            <w:tcW w:type="dxa" w:w="5008"/>
            <w:tcMar>
              <w:top w:w="60" w:type="dxa"/>
              <w:start w:w="70" w:type="dxa"/>
              <w:bottom w:w="60" w:type="dxa"/>
              <w:end w:w="70" w:type="dxa"/>
            </w:tcMar>
            <w:vAlign w:val="center"/>
          </w:tcPr>
          <w:p>
            <w:pPr>
              <w:keepNext w:val="0"/>
              <w:spacing w:after="0" w:before="0"/>
            </w:pPr>
            <w:r>
              <w:rPr>
                <w:rFonts w:ascii="Arial" w:hAnsi="Arial"/>
                <w:sz w:val="14"/>
              </w:rPr>
              <w:t>Connectivity</w:t>
            </w:r>
          </w:p>
        </w:tc>
        <w:tc>
          <w:tcPr>
            <w:tcW w:type="dxa" w:w="5008"/>
            <w:tcMar>
              <w:top w:w="60" w:type="dxa"/>
              <w:start w:w="70" w:type="dxa"/>
              <w:bottom w:w="60" w:type="dxa"/>
              <w:end w:w="70" w:type="dxa"/>
            </w:tcMar>
            <w:vAlign w:val="center"/>
          </w:tcPr>
          <w:p>
            <w:pPr>
              <w:keepNext w:val="0"/>
              <w:spacing w:after="0" w:before="0"/>
            </w:pPr>
            <w:r>
              <w:rPr>
                <w:rFonts w:ascii="Arial" w:hAnsi="Arial"/>
                <w:sz w:val="14"/>
              </w:rPr>
              <w:t>Cloud-first, with protected network access for clinical operations and tested outlet offline capability</w:t>
            </w:r>
          </w:p>
        </w:tc>
        <w:tc>
          <w:tcPr>
            <w:tcW w:type="dxa" w:w="5008"/>
            <w:tcMar>
              <w:top w:w="60" w:type="dxa"/>
              <w:start w:w="70" w:type="dxa"/>
              <w:bottom w:w="60" w:type="dxa"/>
              <w:end w:w="70" w:type="dxa"/>
            </w:tcMar>
            <w:vAlign w:val="center"/>
          </w:tcPr>
          <w:p>
            <w:pPr>
              <w:keepNext w:val="0"/>
              <w:spacing w:after="0" w:before="0"/>
            </w:pPr>
            <w:r>
              <w:rPr>
                <w:rFonts w:ascii="Arial" w:hAnsi="Arial"/>
                <w:sz w:val="14"/>
              </w:rPr>
              <w:t>Clinical and outlet operations should continue during internet problems and synchronize safely after connectivity returns.</w:t>
            </w:r>
          </w:p>
        </w:tc>
      </w:tr>
      <w:tr>
        <w:tc>
          <w:tcPr>
            <w:tcW w:type="dxa" w:w="5008"/>
            <w:tcMar>
              <w:top w:w="60" w:type="dxa"/>
              <w:start w:w="70" w:type="dxa"/>
              <w:bottom w:w="60" w:type="dxa"/>
              <w:end w:w="70" w:type="dxa"/>
            </w:tcMar>
            <w:vAlign w:val="center"/>
          </w:tcPr>
          <w:p>
            <w:pPr>
              <w:keepNext w:val="0"/>
              <w:spacing w:after="0" w:before="0"/>
            </w:pPr>
            <w:r>
              <w:rPr>
                <w:rFonts w:ascii="Arial" w:hAnsi="Arial"/>
                <w:sz w:val="14"/>
              </w:rPr>
              <w:t>Scale design</w:t>
            </w:r>
          </w:p>
        </w:tc>
        <w:tc>
          <w:tcPr>
            <w:tcW w:type="dxa" w:w="5008"/>
            <w:tcMar>
              <w:top w:w="60" w:type="dxa"/>
              <w:start w:w="70" w:type="dxa"/>
              <w:bottom w:w="60" w:type="dxa"/>
              <w:end w:w="70" w:type="dxa"/>
            </w:tcMar>
            <w:vAlign w:val="center"/>
          </w:tcPr>
          <w:p>
            <w:pPr>
              <w:keepNext w:val="0"/>
              <w:spacing w:after="0" w:before="0"/>
            </w:pPr>
            <w:r>
              <w:rPr>
                <w:rFonts w:ascii="Arial" w:hAnsi="Arial"/>
                <w:sz w:val="14"/>
              </w:rPr>
              <w:t>11 outlets initially; 500-700 daily patients; 5,000 peak concurrent users; 50,000+ Year-1 registered users</w:t>
            </w:r>
          </w:p>
        </w:tc>
        <w:tc>
          <w:tcPr>
            <w:tcW w:type="dxa" w:w="5008"/>
            <w:tcMar>
              <w:top w:w="60" w:type="dxa"/>
              <w:start w:w="70" w:type="dxa"/>
              <w:bottom w:w="60" w:type="dxa"/>
              <w:end w:w="70" w:type="dxa"/>
            </w:tcMar>
            <w:vAlign w:val="center"/>
          </w:tcPr>
          <w:p>
            <w:r>
              <w:t>Horizontal scaling, caching and content delivery reduce pressure on the main application servers as usage grows.</w:t>
            </w:r>
          </w:p>
        </w:tc>
      </w:tr>
      <w:tr>
        <w:tc>
          <w:tcPr>
            <w:tcW w:type="dxa" w:w="5008"/>
            <w:tcMar>
              <w:top w:w="60" w:type="dxa"/>
              <w:start w:w="70" w:type="dxa"/>
              <w:bottom w:w="60" w:type="dxa"/>
              <w:end w:w="70" w:type="dxa"/>
            </w:tcMar>
            <w:vAlign w:val="center"/>
          </w:tcPr>
          <w:p>
            <w:pPr>
              <w:keepNext w:val="0"/>
              <w:spacing w:after="0" w:before="0"/>
            </w:pPr>
            <w:r>
              <w:rPr>
                <w:rFonts w:ascii="Arial" w:hAnsi="Arial"/>
                <w:sz w:val="14"/>
              </w:rPr>
              <w:t>Resilience</w:t>
            </w:r>
          </w:p>
        </w:tc>
        <w:tc>
          <w:tcPr>
            <w:tcW w:type="dxa" w:w="5008"/>
            <w:tcMar>
              <w:top w:w="60" w:type="dxa"/>
              <w:start w:w="70" w:type="dxa"/>
              <w:bottom w:w="60" w:type="dxa"/>
              <w:end w:w="70" w:type="dxa"/>
            </w:tcMar>
            <w:vAlign w:val="center"/>
          </w:tcPr>
          <w:p>
            <w:pPr>
              <w:keepNext w:val="0"/>
              <w:spacing w:after="0" w:before="0"/>
            </w:pPr>
            <w:r>
              <w:rPr>
                <w:rFonts w:ascii="Arial" w:hAnsi="Arial"/>
                <w:sz w:val="14"/>
              </w:rPr>
              <w:t>Automated backups, restore tests, defined recovery-time and acceptable-data-loss targets and disaster-recovery rehearsal</w:t>
            </w:r>
          </w:p>
        </w:tc>
        <w:tc>
          <w:tcPr>
            <w:tcW w:type="dxa" w:w="5008"/>
            <w:tcMar>
              <w:top w:w="60" w:type="dxa"/>
              <w:start w:w="70" w:type="dxa"/>
              <w:bottom w:w="60" w:type="dxa"/>
              <w:end w:w="70" w:type="dxa"/>
            </w:tcMar>
            <w:vAlign w:val="center"/>
          </w:tcPr>
          <w:p>
            <w:r>
              <w:t>Clinical and financial data receive stricter recovery targets than community and general content workloads.</w:t>
            </w:r>
          </w:p>
        </w:tc>
      </w:tr>
      <w:tr>
        <w:tc>
          <w:tcPr>
            <w:tcW w:type="dxa" w:w="5008"/>
            <w:tcMar>
              <w:top w:w="60" w:type="dxa"/>
              <w:start w:w="70" w:type="dxa"/>
              <w:bottom w:w="60" w:type="dxa"/>
              <w:end w:w="70" w:type="dxa"/>
            </w:tcMar>
            <w:vAlign w:val="center"/>
          </w:tcPr>
          <w:p>
            <w:pPr>
              <w:keepNext w:val="0"/>
              <w:spacing w:after="0" w:before="0"/>
            </w:pPr>
            <w:r>
              <w:rPr>
                <w:rFonts w:ascii="Arial" w:hAnsi="Arial"/>
                <w:sz w:val="14"/>
              </w:rPr>
              <w:t>Observability</w:t>
            </w:r>
          </w:p>
        </w:tc>
        <w:tc>
          <w:tcPr>
            <w:tcW w:type="dxa" w:w="5008"/>
            <w:tcMar>
              <w:top w:w="60" w:type="dxa"/>
              <w:start w:w="70" w:type="dxa"/>
              <w:bottom w:w="60" w:type="dxa"/>
              <w:end w:w="70" w:type="dxa"/>
            </w:tcMar>
            <w:vAlign w:val="center"/>
          </w:tcPr>
          <w:p>
            <w:pPr>
              <w:keepNext w:val="0"/>
              <w:spacing w:after="0" w:before="0"/>
            </w:pPr>
            <w:r>
              <w:rPr>
                <w:rFonts w:ascii="Arial" w:hAnsi="Arial"/>
                <w:sz w:val="14"/>
              </w:rPr>
              <w:t>Structured logs, performance metrics, request trace IDs, service performance dashboard and alerting</w:t>
            </w:r>
          </w:p>
        </w:tc>
        <w:tc>
          <w:tcPr>
            <w:tcW w:type="dxa" w:w="5008"/>
            <w:tcMar>
              <w:top w:w="60" w:type="dxa"/>
              <w:start w:w="70" w:type="dxa"/>
              <w:bottom w:w="60" w:type="dxa"/>
              <w:end w:w="70" w:type="dxa"/>
            </w:tcMar>
            <w:vAlign w:val="center"/>
          </w:tcPr>
          <w:p>
            <w:r>
              <w:rPr>
                <w:sz w:val="14"/>
              </w:rPr>
              <w:t>Review reliability, security issues and cloud cost every month using agreed thresholds.</w:t>
            </w:r>
          </w:p>
        </w:tc>
      </w:tr>
    </w:tbl>
    <w:p>
      <w:pPr>
        <w:pStyle w:val="Heading2"/>
      </w:pPr>
      <w:r>
        <w:t>3.11 Concise answers to key board questions</w:t>
      </w:r>
    </w:p>
    <w:p>
      <w:pPr>
        <w:spacing w:after="120"/>
      </w:pPr>
      <w:r>
        <w:t>These concise answers summarize the controls already defined in the architecture, delivery, risk and operating-cost sections.</w:t>
      </w:r>
    </w:p>
    <w:tbl>
      <w:tblPr>
        <w:tblW w:type="auto" w:w="0"/>
        <w:jc w:val="center"/>
        <w:tblLayout w:type="fixed"/>
        <w:tblLook w:firstColumn="1" w:firstRow="1" w:lastColumn="0" w:lastRow="0" w:noHBand="0" w:noVBand="1" w:val="04A0"/>
      </w:tblPr>
      <w:tblGrid>
        <w:gridCol w:w="5008"/>
        <w:gridCol w:w="5008"/>
        <w:gridCol w:w="5008"/>
      </w:tblGrid>
      <w:tr>
        <w:tc>
          <w:tcPr>
            <w:tcW w:type="dxa" w:w="1080"/>
            <w:tcMar>
              <w:top w:w="80" w:type="dxa"/>
              <w:start w:w="100" w:type="dxa"/>
              <w:bottom w:w="80" w:type="dxa"/>
              <w:end w:w="100" w:type="dxa"/>
            </w:tcMar>
            <w:vAlign w:val="top"/>
            <w:shd w:fill="1F4E79"/>
          </w:tcPr>
          <w:p>
            <w:pPr>
              <w:spacing w:after="0" w:before="0"/>
              <w:jc w:val="center"/>
            </w:pPr>
            <w:r>
              <w:rPr>
                <w:b/>
                <w:color w:val="FFFFFF"/>
                <w:sz w:val="17"/>
              </w:rPr>
              <w:t>Q</w:t>
            </w:r>
          </w:p>
        </w:tc>
        <w:tc>
          <w:tcPr>
            <w:tcW w:type="dxa" w:w="3024"/>
            <w:tcMar>
              <w:top w:w="80" w:type="dxa"/>
              <w:start w:w="100" w:type="dxa"/>
              <w:bottom w:w="80" w:type="dxa"/>
              <w:end w:w="100" w:type="dxa"/>
            </w:tcMar>
            <w:vAlign w:val="top"/>
            <w:shd w:fill="1F4E79"/>
          </w:tcPr>
          <w:p>
            <w:pPr>
              <w:spacing w:after="0" w:before="0"/>
              <w:jc w:val="center"/>
            </w:pPr>
            <w:r>
              <w:rPr>
                <w:b/>
                <w:color w:val="FFFFFF"/>
                <w:sz w:val="17"/>
              </w:rPr>
              <w:t>Question focus</w:t>
            </w:r>
          </w:p>
        </w:tc>
        <w:tc>
          <w:tcPr>
            <w:tcW w:type="dxa" w:w="5903"/>
            <w:tcMar>
              <w:top w:w="80" w:type="dxa"/>
              <w:start w:w="100" w:type="dxa"/>
              <w:bottom w:w="80" w:type="dxa"/>
              <w:end w:w="100" w:type="dxa"/>
            </w:tcMar>
            <w:vAlign w:val="top"/>
            <w:shd w:fill="1F4E79"/>
          </w:tcPr>
          <w:p>
            <w:pPr>
              <w:spacing w:after="0" w:before="0"/>
              <w:jc w:val="center"/>
            </w:pPr>
            <w:r>
              <w:rPr>
                <w:b/>
                <w:color w:val="FFFFFF"/>
                <w:sz w:val="17"/>
              </w:rPr>
              <w:t>Concise answer</w:t>
            </w:r>
          </w:p>
        </w:tc>
      </w:tr>
      <w:tr>
        <w:tc>
          <w:tcPr>
            <w:tcW w:type="dxa" w:w="1080"/>
            <w:tcMar>
              <w:top w:w="80" w:type="dxa"/>
              <w:start w:w="100" w:type="dxa"/>
              <w:bottom w:w="80" w:type="dxa"/>
              <w:end w:w="100" w:type="dxa"/>
            </w:tcMar>
            <w:vAlign w:val="top"/>
          </w:tcPr>
          <w:p>
            <w:pPr>
              <w:spacing w:after="0" w:before="0"/>
            </w:pPr>
            <w:r>
              <w:rPr>
                <w:b/>
                <w:color w:val="1F4E79"/>
                <w:sz w:val="17"/>
              </w:rPr>
              <w:t>Q10</w:t>
            </w:r>
          </w:p>
        </w:tc>
        <w:tc>
          <w:tcPr>
            <w:tcW w:type="dxa" w:w="3024"/>
            <w:tcMar>
              <w:top w:w="80" w:type="dxa"/>
              <w:start w:w="100" w:type="dxa"/>
              <w:bottom w:w="80" w:type="dxa"/>
              <w:end w:w="100" w:type="dxa"/>
            </w:tcMar>
            <w:vAlign w:val="top"/>
          </w:tcPr>
          <w:p>
            <w:pPr>
              <w:spacing w:after="0" w:before="0"/>
            </w:pPr>
            <w:r>
              <w:rPr>
                <w:sz w:val="17"/>
              </w:rPr>
              <w:t>Top project-failure risks</w:t>
            </w:r>
          </w:p>
        </w:tc>
        <w:tc>
          <w:tcPr>
            <w:tcW w:type="dxa" w:w="5903"/>
            <w:tcMar>
              <w:top w:w="80" w:type="dxa"/>
              <w:start w:w="100" w:type="dxa"/>
              <w:bottom w:w="80" w:type="dxa"/>
              <w:end w:w="100" w:type="dxa"/>
            </w:tcMar>
            <w:vAlign w:val="top"/>
          </w:tcPr>
          <w:p>
            <w:pPr>
              <w:spacing w:after="0" w:before="0"/>
            </w:pPr>
            <w:r>
              <w:rPr>
                <w:sz w:val="17"/>
              </w:rPr>
              <w:t>The three biggest risks are: (1) dirty Excel/Odoo/master data, controlled by early data cleaning, staged migration and reconciliation; (2) changing clinical workflows, controlled by early prototypes and clinical expert approval; and (3) team capacity or scope pressure, controlled by phased hiring, clear acceptance criteria, formal change control and quarterly delivery gates.</w:t>
            </w:r>
          </w:p>
        </w:tc>
      </w:tr>
      <w:tr>
        <w:tc>
          <w:tcPr>
            <w:tcW w:type="dxa" w:w="1080"/>
            <w:tcMar>
              <w:top w:w="80" w:type="dxa"/>
              <w:start w:w="100" w:type="dxa"/>
              <w:bottom w:w="80" w:type="dxa"/>
              <w:end w:w="100" w:type="dxa"/>
            </w:tcMar>
            <w:vAlign w:val="top"/>
            <w:shd w:fill="F3F6F9"/>
          </w:tcPr>
          <w:p>
            <w:pPr>
              <w:spacing w:after="0" w:before="0"/>
            </w:pPr>
            <w:r>
              <w:rPr>
                <w:b/>
                <w:color w:val="1F4E79"/>
                <w:sz w:val="17"/>
              </w:rPr>
              <w:t>Q14</w:t>
            </w:r>
          </w:p>
        </w:tc>
        <w:tc>
          <w:tcPr>
            <w:tcW w:type="dxa" w:w="3024"/>
            <w:tcMar>
              <w:top w:w="80" w:type="dxa"/>
              <w:start w:w="100" w:type="dxa"/>
              <w:bottom w:w="80" w:type="dxa"/>
              <w:end w:w="100" w:type="dxa"/>
            </w:tcMar>
            <w:vAlign w:val="top"/>
            <w:shd w:fill="F3F6F9"/>
          </w:tcPr>
          <w:p>
            <w:pPr>
              <w:spacing w:after="0" w:before="0"/>
            </w:pPr>
            <w:r>
              <w:rPr>
                <w:sz w:val="17"/>
              </w:rPr>
              <w:t>Community moderation at scale</w:t>
            </w:r>
          </w:p>
        </w:tc>
        <w:tc>
          <w:tcPr>
            <w:tcW w:type="dxa" w:w="5903"/>
            <w:tcMar>
              <w:top w:w="80" w:type="dxa"/>
              <w:start w:w="100" w:type="dxa"/>
              <w:bottom w:w="80" w:type="dxa"/>
              <w:end w:w="100" w:type="dxa"/>
            </w:tcMar>
            <w:vAlign w:val="top"/>
            <w:shd w:fill="F3F6F9"/>
          </w:tcPr>
          <w:p>
            <w:pPr>
              <w:spacing w:after="0" w:before="0"/>
            </w:pPr>
            <w:r>
              <w:rPr>
                <w:sz w:val="17"/>
              </w:rPr>
              <w:t>Use a hybrid moderation model. Technology automatically flags possible health misinformation, and trained people make the final moderation decision through the Moderation Console within a defined review time. The Community feature cannot go live until the moderation tools and minimum human review capacity are ready.</w:t>
            </w:r>
          </w:p>
        </w:tc>
      </w:tr>
      <w:tr>
        <w:tc>
          <w:tcPr>
            <w:tcW w:type="dxa" w:w="1080"/>
            <w:tcMar>
              <w:top w:w="80" w:type="dxa"/>
              <w:start w:w="100" w:type="dxa"/>
              <w:bottom w:w="80" w:type="dxa"/>
              <w:end w:w="100" w:type="dxa"/>
            </w:tcMar>
            <w:vAlign w:val="top"/>
          </w:tcPr>
          <w:p>
            <w:pPr>
              <w:spacing w:after="0" w:before="0"/>
            </w:pPr>
            <w:r>
              <w:rPr>
                <w:b/>
                <w:color w:val="1F4E79"/>
                <w:sz w:val="17"/>
              </w:rPr>
              <w:t>Q15</w:t>
            </w:r>
          </w:p>
        </w:tc>
        <w:tc>
          <w:tcPr>
            <w:tcW w:type="dxa" w:w="3024"/>
            <w:tcMar>
              <w:top w:w="80" w:type="dxa"/>
              <w:start w:w="100" w:type="dxa"/>
              <w:bottom w:w="80" w:type="dxa"/>
              <w:end w:w="100" w:type="dxa"/>
            </w:tcMar>
            <w:vAlign w:val="top"/>
          </w:tcPr>
          <w:p>
            <w:pPr>
              <w:spacing w:after="0" w:before="0"/>
            </w:pPr>
            <w:r>
              <w:rPr>
                <w:sz w:val="17"/>
              </w:rPr>
              <w:t>Responsibility for dangerous alerts</w:t>
            </w:r>
          </w:p>
        </w:tc>
        <w:tc>
          <w:tcPr>
            <w:tcW w:type="dxa" w:w="5903"/>
            <w:tcMar>
              <w:top w:w="80" w:type="dxa"/>
              <w:start w:w="100" w:type="dxa"/>
              <w:bottom w:w="80" w:type="dxa"/>
              <w:end w:w="100" w:type="dxa"/>
            </w:tcMar>
            <w:vAlign w:val="top"/>
          </w:tcPr>
          <w:p>
            <w:pPr>
              <w:spacing w:after="0" w:before="0"/>
            </w:pPr>
            <w:r>
              <w:rPr>
                <w:sz w:val="17"/>
              </w:rPr>
              <w:t>A dangerous reading triggers the Alert Engine. The patient is notified and the assigned clinician receives a task at the same time. The clinician must respond within a defined time; if there is no response, the alert is escalated to the on-call supervisor. Queued events, safe retries, delivery monitoring, request IDs and audit history make the process reliable. The platform supports monitoring but is not an emergency-response service.</w:t>
            </w:r>
          </w:p>
        </w:tc>
      </w:tr>
      <w:tr>
        <w:tc>
          <w:tcPr>
            <w:tcW w:type="dxa" w:w="1080"/>
            <w:tcMar>
              <w:top w:w="80" w:type="dxa"/>
              <w:start w:w="100" w:type="dxa"/>
              <w:bottom w:w="80" w:type="dxa"/>
              <w:end w:w="100" w:type="dxa"/>
            </w:tcMar>
            <w:vAlign w:val="top"/>
            <w:shd w:fill="F3F6F9"/>
          </w:tcPr>
          <w:p>
            <w:pPr>
              <w:spacing w:after="0" w:before="0"/>
            </w:pPr>
            <w:r>
              <w:rPr>
                <w:b/>
                <w:color w:val="1F4E79"/>
                <w:sz w:val="17"/>
              </w:rPr>
              <w:t>Q16</w:t>
            </w:r>
          </w:p>
        </w:tc>
        <w:tc>
          <w:tcPr>
            <w:tcW w:type="dxa" w:w="3024"/>
            <w:tcMar>
              <w:top w:w="80" w:type="dxa"/>
              <w:start w:w="100" w:type="dxa"/>
              <w:bottom w:w="80" w:type="dxa"/>
              <w:end w:w="100" w:type="dxa"/>
            </w:tcMar>
            <w:vAlign w:val="top"/>
            <w:shd w:fill="F3F6F9"/>
          </w:tcPr>
          <w:p>
            <w:pPr>
              <w:spacing w:after="0" w:before="0"/>
            </w:pPr>
            <w:r>
              <w:rPr>
                <w:sz w:val="17"/>
              </w:rPr>
              <w:t>Controlling media and AI run cost</w:t>
            </w:r>
          </w:p>
        </w:tc>
        <w:tc>
          <w:tcPr>
            <w:tcW w:type="dxa" w:w="5903"/>
            <w:tcMar>
              <w:top w:w="80" w:type="dxa"/>
              <w:start w:w="100" w:type="dxa"/>
              <w:bottom w:w="80" w:type="dxa"/>
              <w:end w:w="100" w:type="dxa"/>
            </w:tcMar>
            <w:vAlign w:val="top"/>
            <w:shd w:fill="F3F6F9"/>
          </w:tcPr>
          <w:p>
            <w:r>
              <w:t>Right-size computing capacity with automatic scaling limits. Compress images, use content-delivery caching, use adaptive video quality and move old media to cheaper storage. Reuse common meal-recognition results and batch non-urgent artificial-intelligence processing. Track storage, content-delivery and artificial-intelligence unit costs every month, and move from third-party services to an in-house model only when quality and economics justify it.</w:t>
            </w:r>
          </w:p>
        </w:tc>
      </w:tr>
    </w:tbl>
    <w:p w:rsidR="00000000" w:rsidDel="00000000" w:rsidP="00000000" w:rsidRDefault="00000000" w:rsidRPr="00000000" w14:paraId="0000006D">
      <w:pPr>
        <w:pStyle w:val="Heading1"/>
        <w:pageBreakBefore w:val="0"/>
        <w:spacing w:after="60" w:lineRule="auto"/>
        <w:rPr/>
      </w:pPr>
      <w:r>
        <w:t>4. 24-Month Delivery Roadmap</w:t>
      </w:r>
    </w:p>
    <w:tbl>
      <w:tblPr>
        <w:tblStyle w:val="Table7"/>
        <w:tblW w:w="15024.0" w:type="dxa"/>
        <w:jc w:val="center"/>
        <w:tblLayout w:type="fixed"/>
        <w:tblLook w:val="0400"/>
      </w:tblPr>
      <w:tblGrid>
        <w:gridCol w:w="15024"/>
        <w:tblGridChange w:id="0">
          <w:tblGrid>
            <w:gridCol w:w="15024"/>
          </w:tblGrid>
        </w:tblGridChange>
      </w:tblGrid>
      <w:tr>
        <w:trPr>
          <w:cantSplit w:val="0"/>
          <w:tblHeader w:val="0"/>
        </w:trPr>
        <w:tc>
          <w:tcPr>
            <w:tcBorders>
              <w:top w:color="d6b25e" w:space="0" w:sz="4" w:val="single"/>
              <w:left w:color="d6b25e" w:space="0" w:sz="4" w:val="single"/>
              <w:bottom w:color="d6b25e" w:space="0" w:sz="4" w:val="single"/>
              <w:right w:color="d6b25e" w:space="0" w:sz="4" w:val="single"/>
            </w:tcBorders>
            <w:shd w:fill="eaf1f7" w:val="clea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203040"/>
                <w:sz w:val="18"/>
                <w:szCs w:val="18"/>
                <w:u w:val="none"/>
                <w:shd w:fill="auto" w:val="clear"/>
                <w:vertAlign w:val="baseline"/>
                <w:rtl w:val="0"/>
              </w:rPr>
              <w:t>Scheduling model.  The phases intentionally overlap. Dependencies are respected (identity/master data before integration testing; Clinical authoring before the App Care Plan loop), while independent teams work in parallel to reduce calendar time. User acceptance testing happens throughout the program rather than as a final-stage activity.</w:t>
            </w:r>
          </w:p>
        </w:tc>
      </w:tr>
    </w:tbl>
    <w:p w:rsidR="00000000" w:rsidDel="00000000" w:rsidP="00000000" w:rsidRDefault="00000000" w:rsidRPr="00000000" w14:paraId="0000006F">
      <w:pPr>
        <w:spacing w:after="20" w:lineRule="auto"/>
        <w:rPr/>
      </w:pPr>
      <w:r w:rsidDel="00000000" w:rsidR="00000000" w:rsidRPr="00000000">
        <w:rPr>
          <w:rtl w:val="0"/>
        </w:rPr>
      </w:r>
    </w:p>
    <w:p w:rsidR="00000000" w:rsidDel="00000000" w:rsidP="00000000" w:rsidRDefault="00000000" w:rsidRPr="00000000" w14:paraId="00000070">
      <w:pPr>
        <w:pStyle w:val="Heading2"/>
        <w:spacing w:after="60" w:lineRule="auto"/>
        <w:rPr/>
      </w:pPr>
      <w:r>
        <w:t>4.1 Months 1-12</w:t>
      </w:r>
    </w:p>
    <w:tbl>
      <w:tblPr>
        <w:tblStyle w:val="Table8"/>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tblHeader w:val="1"/>
          <w:cantSplit/>
        </w:trPr>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4"/>
                <w:u w:val="none"/>
                <w:shd w:fill="auto" w:val="clear"/>
                <w:vertAlign w:val="baseline"/>
                <w:rtl w:val="0"/>
              </w:rPr>
              <w:t xml:space="preserve">Month</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4"/>
                <w:u w:val="none"/>
                <w:shd w:fill="auto" w:val="clear"/>
                <w:vertAlign w:val="baseline"/>
                <w:rtl w:val="0"/>
              </w:rPr>
              <w:t xml:space="preserve">Primary Focus</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4"/>
                <w:u w:val="none"/>
                <w:shd w:fill="auto" w:val="clear"/>
                <w:vertAlign w:val="baseline"/>
                <w:rtl w:val="0"/>
              </w:rPr>
              <w:t xml:space="preserve">Major Deliverables</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4"/>
                <w:u w:val="none"/>
                <w:shd w:fill="auto" w:val="clear"/>
                <w:vertAlign w:val="baseline"/>
                <w:rtl w:val="0"/>
              </w:rPr>
              <w:t>Acceptance / user acceptance testing Gate</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M1</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Mobilize &amp; discover</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Confirm business owners; create the architecture decision log; review Excel, Odoo and current systems; define security/performance requirements; prioritize the backlog.</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Scope v1 approved; risk register ready; backlog prioritized.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M2</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Foundation + data preparation</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Set up Development, Staging and Production environments, automated deployment, the central integration gateway, JK ID, master-data rules and detailed Excel-to-Odoo migration mapping.</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Environment ready; identity approved; Excel data-quality report completed.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M3</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Excel to Odoo CE migration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Clean product, outlet and opening-stock data from Excel; configure Odoo CE Inventory and POS; create migration scripts and ERP reporting synchronization.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Migration rehearsal #1; opening stock reconciled; pilot dataset approved.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M4</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Odoo CE outlet pilot + ERP start</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Run the first Odoo CE outlet pilot for POS and Inventory. Start Doctor Profile, Appointment and patient medical-record design. Define the first ERP report catalogue.</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Outlet user acceptance test passed; stock and sales reconciled; clinical workflow approved.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M5</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ERP workforce + reporting core</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Keep Odoo CE live for outlet POS and Inventory. Build employee management, attendance, leave and roster, payroll, patient registration, appointment/outpatient queue and the first ERP sales, stock and clinical reports.</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Outlet workflow accepted; employee workflow accepted; first report reconciliation passed.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M6</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Odoo transition Gate 1</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Stabilize the Odoo CE pilot, reconcile sales, payments and stock, train outlet users and approve requirements for the JK-built Inventory and POS modules.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Gate 1: Odoo CE pilot accepted; reconciliation passed; independent security test #1 completed.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M7</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Odoo rollout + JK Inventory build</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Move the first outlet wave to Odoo CE. Build the JK Inventory service, continue patient medical records and consent/audit work, and connect the website through a sales adapter that can later switch away from Odoo.</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Outlet wave accepted; Inventory prototype reviewed; medical-record tests approved.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M8</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JK POS build + App starts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Build the JK POS core on the new Inventory service. Continue Care Plan authoring, website sales integration, Flutter foundation, notifications and food-recognition service procurement.</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JK POS alpha accepted; Website beta reviewed; mobile architecture approved.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M9</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Parallel POS/Inventory test</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Run Odoo CE and the JK-built POS/Inventory side by side at a pilot outlet. Compare sales, returns, payments, stock and closing balances while continuing the Clinical and App pilot.</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5"/>
              </w:rPr>
              <w:t>Parallel reconciliation passed; clinical pilot accepted; website regression passed.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M10</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Clinical + Website v1 and first JK cut-over</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Go live with Doctor, Patient, Appointment, outpatient workflow, patient medical records and basic Care Plan. If reconciliation succeeds, move the first approved outlet from Odoo CE to the JK POS/Inventory modules.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5"/>
              </w:rPr>
              <w:t>Gate 2: production go-live accepted; first outlet cut-over accepted; independent security test #2 completed.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M11</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Care loop + outlet migration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Continue App planner, food log, reminders, membership and customer-view work while moving additional approved outlets to the JK POS/Inventory platform.</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App features accepted; outlet reconciliation remains clean.</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 xml:space="preserve">M12</w:t>
            </w:r>
            <w:r w:rsidDel="00000000" w:rsidR="00000000" w:rsidRPr="00000000">
              <w:rPr>
                <w:sz w:val="15"/>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AI, devices + migration review</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Start food-recognition service use, Health Connect/HealthKit integration, moderation tools and analytics events. Review the remaining Odoo-to-JK outlet migration plan.</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4"/>
                <w:u w:val="none"/>
                <w:shd w:fill="auto" w:val="clear"/>
                <w:vertAlign w:val="baseline"/>
                <w:rtl w:val="0"/>
              </w:rPr>
              <w:t>AI quality baseline agreed; migration progress reviewed.</w:t>
            </w:r>
          </w:p>
        </w:tc>
      </w:tr>
    </w:tbl>
    <w:p w:rsidR="00000000" w:rsidDel="00000000" w:rsidP="00000000" w:rsidRDefault="00000000" w:rsidRPr="00000000" w14:paraId="000000A5">
      <w:pPr>
        <w:spacing w:after="20" w:lineRule="auto"/>
        <w:rPr/>
      </w:pPr>
      <w:r w:rsidDel="00000000" w:rsidR="00000000" w:rsidRPr="00000000">
        <w:rPr>
          <w:rtl w:val="0"/>
        </w:rPr>
      </w:r>
    </w:p>
    <w:p w:rsidR="00000000" w:rsidDel="00000000" w:rsidP="00000000" w:rsidRDefault="00000000" w:rsidRPr="00000000" w14:paraId="000000A6">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2"/>
        <w:spacing w:after="60" w:lineRule="auto"/>
        <w:rPr/>
      </w:pPr>
      <w:r>
        <w:t>4.2 Months 13-24</w:t>
      </w:r>
    </w:p>
    <w:tbl>
      <w:tblPr>
        <w:tblStyle w:val="Table9"/>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tblHeader w:val="1"/>
          <w:cantSplit/>
        </w:trPr>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4"/>
                <w:u w:val="none"/>
                <w:shd w:fill="auto" w:val="clear"/>
                <w:vertAlign w:val="baseline"/>
                <w:rtl w:val="0"/>
              </w:rPr>
              <w:t xml:space="preserve">Month</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4"/>
                <w:u w:val="none"/>
                <w:shd w:fill="auto" w:val="clear"/>
                <w:vertAlign w:val="baseline"/>
                <w:rtl w:val="0"/>
              </w:rPr>
              <w:t xml:space="preserve">Primary Focus</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4"/>
                <w:u w:val="none"/>
                <w:shd w:fill="auto" w:val="clear"/>
                <w:vertAlign w:val="baseline"/>
                <w:rtl w:val="0"/>
              </w:rPr>
              <w:t xml:space="preserve">Major Deliverables</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4"/>
                <w:u w:val="none"/>
                <w:shd w:fill="auto" w:val="clear"/>
                <w:vertAlign w:val="baseline"/>
                <w:rtl w:val="0"/>
              </w:rPr>
              <w:t>Acceptance / user acceptance testing Gate</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M13</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Super App beta + JK POS/Inventory rollout</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Run the Super App beta and continue outlet migration to the JK POS/Inventory modules with sales, stock and payment reconciliation.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Closed beta; outlet cut-over evidence approved.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M14</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Super App v1 go-live</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Release the end-to-end Care Plan loop, Food Log AI and basic wearable path while keeping central ERP reporting across all modules.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Gate 3: App v1 accepted; independent security test #3.</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M15</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Complete main POS/Inventory migration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Move the remaining priority outlets from Odoo CE to the JK POS/Inventory platform and close major operational gaps.</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Priority outlet migration accepted; Odoo transition reduced.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M16</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Community live + reporting scale</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Release Community/Education v1 and expand ERP reporting and central data pipelines.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Content-safety gate; report reconciliation passed.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M17</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Franchise &amp; staff operations</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Add franchise/distribution, selected partner integrations and field staff applications.</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Integration acceptance; field pilot.</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M18</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Phase 4 Gate</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Complete Community/Education/Franchise release, operating procedures, training and ownership handover.</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Gate 4: business acceptance; operational handover.</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M19</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Reporting and analytics scale</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Expand ERP dashboards for outlet sales, Inventory, online sales, clinical operations, attendance and payroll.</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ERP reports reconcile with all source systems.</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M20</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Predictive analytics prototype</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Prototype adherence/drop-off analysis, review alert quality and strengthen dataset governance.</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Offline model evaluation; clinical expert review.</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M21</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In-house food model proof of concept</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Train on the local dataset, test model serving and compare build cost with third-party API cost.</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Model quality/cost decision gate.</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M22</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Scale-out</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Support 15-20 outlets, tune performance, test autoscaling and complete a disaster-recovery rehearsal.</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Load/performance acceptance; disaster-recovery test passed.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M23</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Hardening &amp; transition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Complete security hardening, audit cleanup, upgrade rehearsal, documentation and knowledge transfer.</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Knowledge transfer accepted; runbooks reviewed; resilience tested.</w:t>
            </w:r>
          </w:p>
        </w:tc>
      </w:tr>
      <w:tr>
        <w:trPr>
          <w:tblHeader w:val="0"/>
          <w:cantSplit/>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M24</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Program close / steady operations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Stabilize the platform, close critical backlog items, review the service performance dashboard, confirm the annual operating model and approve the Year-3 roadmap.</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Gate 5: normal operational ownership accepted.</w:t>
            </w:r>
          </w:p>
        </w:tc>
      </w:tr>
    </w:tbl>
    <w:p w:rsidR="00000000" w:rsidDel="00000000" w:rsidP="00000000" w:rsidRDefault="00000000" w:rsidRPr="00000000" w14:paraId="000000DC">
      <w:pPr>
        <w:spacing w:after="20" w:lineRule="auto"/>
        <w:rPr/>
      </w:pPr>
      <w:r w:rsidDel="00000000" w:rsidR="00000000" w:rsidRPr="00000000">
        <w:rPr>
          <w:rtl w:val="0"/>
        </w:rPr>
      </w:r>
    </w:p>
    <w:p w:rsidR="00000000" w:rsidDel="00000000" w:rsidP="00000000" w:rsidRDefault="00000000" w:rsidRPr="00000000" w14:paraId="000000DD">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spacing w:after="60" w:lineRule="auto"/>
        <w:rPr/>
      </w:pPr>
      <w:r>
        <w:t>5. First 90 Days - Week-by-Week Execution Plan</w:t>
      </w:r>
    </w:p>
    <w:tbl>
      <w:tblPr>
        <w:tblStyle w:val="Table10"/>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4"/>
                <w:u w:val="none"/>
                <w:shd w:fill="auto" w:val="clear"/>
                <w:vertAlign w:val="baseline"/>
                <w:rtl w:val="0"/>
              </w:rPr>
              <w:t xml:space="preserve">Week</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4"/>
                <w:u w:val="none"/>
                <w:shd w:fill="auto" w:val="clear"/>
                <w:vertAlign w:val="baseline"/>
                <w:rtl w:val="0"/>
              </w:rPr>
              <w:t xml:space="preserve">Focus</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4"/>
                <w:u w:val="none"/>
                <w:shd w:fill="auto" w:val="clear"/>
                <w:vertAlign w:val="baseline"/>
                <w:rtl w:val="0"/>
              </w:rPr>
              <w:t xml:space="preserve">Deliverables</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Mar>
              <w:top w:w="45" w:type="dxa"/>
              <w:bottom w:w="45" w:type="dxa"/>
              <w:left w:w="70" w:type="dxa"/>
              <w:right w:w="70" w:type="dxa"/>
            </w:tcMa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4"/>
                <w:u w:val="none"/>
                <w:shd w:fill="auto" w:val="clear"/>
                <w:vertAlign w:val="baseline"/>
                <w:rtl w:val="0"/>
              </w:rPr>
              <w:t xml:space="preserve">Done / Acceptance</w:t>
            </w:r>
            <w:r w:rsidDel="00000000" w:rsidR="00000000" w:rsidRPr="00000000">
              <w:rPr>
                <w:sz w:val="16"/>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W1</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Program mobilization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Confirm sponsors, business owners, risks, decision cadence, repository ownership and required system access.</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Kickoff minutes + accountable owner per business area.</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W2</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Current-state &amp; data audit</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Review Excel files, current Odoo use, website, outlet operations, clinical workflows, duplicate master data and integrations.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Current-state inventory + migration risk report.</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W3</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Cloud / engineering baseline</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Set up Development, Staging and Production, network access, secrets, repositories, release rules and automated build/deployment.</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Environment checklist.</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W4</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Platform skeleton</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Create the central integration gateway, system monitoring, request tracking, authentication design, backup baseline and security standards.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Architecture review #1.</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W5</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JK ID / single sign-on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Create the person-and-role model, one-time-password login, staff two-factor login, secure session flow, consent linkage and the first end-to-end login.</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Identity demo + security acceptance.</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W6</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Clean and map Excel data</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Clean product, outlet, stock, customer and employee data; define mapping IDs; prepare staged imports into Odoo CE and the ERP reporting layer.</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Migration rehearsal #1.</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W7</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Configure Odoo CE POS &amp; Inventory</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Configure products, outlets, opening stock, POS sessions, users and permissions; confirm the API and reporting synchronization needed by the ERP.</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Odoo CE pilot configuration approved.</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W8</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Odoo CE outlet pilot</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Test sale, return, payment, outlet closing, stock movement, receipt/printer and internet-loss/reconnect behavior in Odoo CE.</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Odoo CE POS &amp; Inventory alpha demo.</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W9</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Reconciliation &amp; replacement requirements</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Compare Excel opening data with Odoo, test network failure/reconnect, document gaps, and convert real outlet workflows into requirements for the JK-built POS and Inventory modules.</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Reconciliation report + approved replacement backlog.</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W10</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ERP reporting v1</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Build the first ERP reports for outlet sales and stock using synchronized Odoo data, and for online sales using the Website/App order source. Reconcile the combined report totals.</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ERP report totals match Odoo for outlet/stock data and the Website/App source for online sales; migration rehearsal #2 completed.</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W11</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Pilot outlet user acceptance</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Train outlet users and test device, printer, payment, stock and reporting workflows. Finalize support and rollback steps.</w:t>
            </w:r>
          </w:p>
        </w:tc>
        <w:tc>
          <w:tcPr>
            <w:tcBorders>
              <w:top w:color="b9c3cc" w:space="0" w:sz="4" w:val="single"/>
              <w:left w:color="b9c3cc" w:space="0" w:sz="4" w:val="single"/>
              <w:bottom w:color="b9c3cc" w:space="0" w:sz="4" w:val="single"/>
              <w:right w:color="b9c3cc" w:space="0" w:sz="4" w:val="single"/>
            </w:tcBorders>
            <w:shd w:fill="ffffff" w:val="clear"/>
            <w:vAlign w:val="center"/>
            <w:tcMar>
              <w:top w:w="45" w:type="dxa"/>
              <w:bottom w:w="45" w:type="dxa"/>
              <w:left w:w="70" w:type="dxa"/>
              <w:right w:w="70" w:type="dxa"/>
            </w:tcMar>
          </w:tcPr>
          <w:p>
            <w:pPr>
              <w:spacing w:before="0" w:after="0" w:line="240" w:lineRule="auto"/>
            </w:pPr>
            <w:r>
              <w:rPr>
                <w:sz w:val="16"/>
              </w:rPr>
              <w:t>Pilot-readiness checklist.</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4"/>
                <w:u w:val="none"/>
                <w:shd w:fill="auto" w:val="clear"/>
                <w:vertAlign w:val="baseline"/>
                <w:rtl w:val="0"/>
              </w:rPr>
              <w:t xml:space="preserve">W12</w:t>
            </w:r>
            <w:r w:rsidDel="00000000" w:rsidR="00000000" w:rsidRPr="00000000">
              <w:rPr>
                <w:sz w:val="16"/>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Odoo CE live pilot &amp; JK build plan</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Run the controlled Odoo CE pilot, close critical defects, reconcile sales/stock, demonstrate ERP reports and approve the next-quarter plan for the JK Inventory and POS build.</w:t>
            </w:r>
          </w:p>
        </w:tc>
        <w:tc>
          <w:tcPr>
            <w:tcBorders>
              <w:top w:color="b9c3cc" w:space="0" w:sz="4" w:val="single"/>
              <w:left w:color="b9c3cc" w:space="0" w:sz="4" w:val="single"/>
              <w:bottom w:color="b9c3cc" w:space="0" w:sz="4" w:val="single"/>
              <w:right w:color="b9c3cc" w:space="0" w:sz="4" w:val="single"/>
            </w:tcBorders>
            <w:shd w:fill="f6f8fa" w:val="clear"/>
            <w:vAlign w:val="center"/>
            <w:tcMar>
              <w:top w:w="45" w:type="dxa"/>
              <w:bottom w:w="45" w:type="dxa"/>
              <w:left w:w="70" w:type="dxa"/>
              <w:right w:w="70" w:type="dxa"/>
            </w:tcMar>
          </w:tcPr>
          <w:p>
            <w:pPr>
              <w:spacing w:before="0" w:after="0" w:line="240" w:lineRule="auto"/>
            </w:pPr>
            <w:r>
              <w:rPr>
                <w:sz w:val="16"/>
              </w:rPr>
              <w:t>Go/no-go for wider Odoo transition + approved JK replacement plan.</w:t>
            </w:r>
          </w:p>
        </w:tc>
      </w:tr>
    </w:tbl>
    <w:p w:rsidR="00000000" w:rsidDel="00000000" w:rsidP="00000000" w:rsidRDefault="00000000" w:rsidRPr="00000000" w14:paraId="00000113">
      <w:pPr>
        <w:spacing w:after="20" w:lineRule="auto"/>
        <w:rPr/>
      </w:pPr>
      <w:r w:rsidDel="00000000" w:rsidR="00000000" w:rsidRPr="00000000">
        <w:rPr>
          <w:rtl w:val="0"/>
        </w:rPr>
      </w:r>
    </w:p>
    <w:p w:rsidR="00000000" w:rsidDel="00000000" w:rsidP="00000000" w:rsidRDefault="00000000" w:rsidRPr="00000000" w14:paraId="00000114">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1"/>
        <w:spacing w:after="60" w:lineRule="auto"/>
        <w:rPr/>
      </w:pPr>
      <w:r>
        <w:t>6. Workstreams, Parallelism &amp; Critical Dependencies</w:t>
      </w:r>
    </w:p>
    <w:tbl>
      <w:tblPr>
        <w:tblStyle w:val="Table11"/>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Workstream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Active Window</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Scope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Critical Dependency</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Foundation / Platform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M1-M24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
              <w:t>JK ID, central integration gateway, automated build/deployment, system monitoring, security, notifications and integration rules</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Blocks integration testing for every product stream</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
              <w:t>Odoo CE POS / Inventory Transition</w:t>
            </w:r>
          </w:p>
        </w:tc>
        <w:tc>
          <w:tcPr>
            <w:tcBorders>
              <w:top w:color="b9c3cc" w:space="0" w:sz="4" w:val="single"/>
              <w:left w:color="b9c3cc" w:space="0" w:sz="4" w:val="single"/>
              <w:bottom w:color="b9c3cc" w:space="0" w:sz="4" w:val="single"/>
              <w:right w:color="b9c3cc" w:space="0" w:sz="4" w:val="single"/>
            </w:tcBorders>
            <w:shd w:fill="f6f8fa" w:val="clear"/>
            <w:vAlign w:val="center"/>
          </w:tcPr>
          <w:p>
            <w:r>
              <w:t>M2-M15 transition</w:t>
            </w:r>
          </w:p>
        </w:tc>
        <w:tc>
          <w:tcPr>
            <w:tcBorders>
              <w:top w:color="b9c3cc" w:space="0" w:sz="4" w:val="single"/>
              <w:left w:color="b9c3cc" w:space="0" w:sz="4" w:val="single"/>
              <w:bottom w:color="b9c3cc" w:space="0" w:sz="4" w:val="single"/>
              <w:right w:color="b9c3cc" w:space="0" w:sz="4" w:val="single"/>
            </w:tcBorders>
            <w:shd w:fill="f6f8fa" w:val="clear"/>
            <w:vAlign w:val="center"/>
          </w:tcPr>
          <w:p>
            <w:r>
              <w:t>Clean Excel data, configure Odoo CE Inventory/POS, run pilot/rollout, provide transition APIs and support parallel reconciliation.</w:t>
            </w:r>
          </w:p>
        </w:tc>
        <w:tc>
          <w:tcPr>
            <w:tcBorders>
              <w:top w:color="b9c3cc" w:space="0" w:sz="4" w:val="single"/>
              <w:left w:color="b9c3cc" w:space="0" w:sz="4" w:val="single"/>
              <w:bottom w:color="b9c3cc" w:space="0" w:sz="4" w:val="single"/>
              <w:right w:color="b9c3cc" w:space="0" w:sz="4" w:val="single"/>
            </w:tcBorders>
            <w:shd w:fill="f6f8fa" w:val="clear"/>
            <w:vAlign w:val="center"/>
          </w:tcPr>
          <w:p>
            <w:r>
              <w:t>Excel data quality + Odoo pilot + outlet reconciliation</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
              <w:t>Custom ERP / Clinical / Human Resources / Reporting</w:t>
            </w:r>
          </w:p>
        </w:tc>
        <w:tc>
          <w:tcPr>
            <w:tcBorders>
              <w:top w:color="b9c3cc" w:space="0" w:sz="4" w:val="single"/>
              <w:left w:color="b9c3cc" w:space="0" w:sz="4" w:val="single"/>
              <w:bottom w:color="b9c3cc" w:space="0" w:sz="4" w:val="single"/>
              <w:right w:color="b9c3cc" w:space="0" w:sz="4" w:val="single"/>
            </w:tcBorders>
            <w:shd w:fill="ffffff" w:val="clear"/>
            <w:vAlign w:val="center"/>
          </w:tcPr>
          <w:p>
            <w:r>
              <w:t>M4-M24</w:t>
            </w:r>
          </w:p>
        </w:tc>
        <w:tc>
          <w:tcPr>
            <w:tcBorders>
              <w:top w:color="b9c3cc" w:space="0" w:sz="4" w:val="single"/>
              <w:left w:color="b9c3cc" w:space="0" w:sz="4" w:val="single"/>
              <w:bottom w:color="b9c3cc" w:space="0" w:sz="4" w:val="single"/>
              <w:right w:color="b9c3cc" w:space="0" w:sz="4" w:val="single"/>
            </w:tcBorders>
            <w:shd w:fill="ffffff" w:val="clear"/>
            <w:vAlign w:val="center"/>
          </w:tcPr>
          <w:p>
            <w:r>
              <w:t>Doctor Profile, Patient, Appointment, outpatient operations, patient medical records, Care Plan, Clinical Billing, employee management, Attendance, Leave/Roster, Payroll and central Reporting.</w:t>
            </w:r>
          </w:p>
        </w:tc>
        <w:tc>
          <w:tcPr>
            <w:tcBorders>
              <w:top w:color="b9c3cc" w:space="0" w:sz="4" w:val="single"/>
              <w:left w:color="b9c3cc" w:space="0" w:sz="4" w:val="single"/>
              <w:bottom w:color="b9c3cc" w:space="0" w:sz="4" w:val="single"/>
              <w:right w:color="b9c3cc" w:space="0" w:sz="4" w:val="single"/>
            </w:tcBorders>
            <w:shd w:fill="ffffff" w:val="clear"/>
            <w:vAlign w:val="center"/>
          </w:tcPr>
          <w:p>
            <w:r>
              <w:t>Clinical experts + identity + reporting rules + security</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Website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M4-M10</w:t>
            </w:r>
          </w:p>
        </w:tc>
        <w:tc>
          <w:tcPr>
            <w:tcBorders>
              <w:top w:color="b9c3cc" w:space="0" w:sz="4" w:val="single"/>
              <w:left w:color="b9c3cc" w:space="0" w:sz="4" w:val="single"/>
              <w:bottom w:color="b9c3cc" w:space="0" w:sz="4" w:val="single"/>
              <w:right w:color="b9c3cc" w:space="0" w:sz="4" w:val="single"/>
            </w:tcBorders>
            <w:shd w:fill="f6f8fa" w:val="clear"/>
            <w:vAlign w:val="center"/>
          </w:tcPr>
          <w:p>
            <w:r>
              <w:t>Group hub and customer commerce experience, Health Revolution booking, unified login/cart. The sales adapter points to Odoo during transition and the JK Inventory platform later.</w:t>
            </w:r>
          </w:p>
        </w:tc>
        <w:tc>
          <w:tcPr>
            <w:tcBorders>
              <w:top w:color="b9c3cc" w:space="0" w:sz="4" w:val="single"/>
              <w:left w:color="b9c3cc" w:space="0" w:sz="4" w:val="single"/>
              <w:bottom w:color="b9c3cc" w:space="0" w:sz="4" w:val="single"/>
              <w:right w:color="b9c3cc" w:space="0" w:sz="4" w:val="single"/>
            </w:tcBorders>
            <w:shd w:fill="f6f8fa" w:val="clear"/>
            <w:vAlign w:val="center"/>
          </w:tcPr>
          <w:p>
            <w:r>
              <w:t>JK ID + stable sales/inventory adapter + booking APIs</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Super App / Care Plan</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M8-M14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Customer app, care plan loop, food log, membership, devices, notifications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Clinical authoring model must be stable</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Community / Education</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M12-M18</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Feed, moderation, learning platform, content/video, expert presence</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Moderation console and content policy are hard go-live gates</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Franchise / Staff Apps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M14-M18</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Distribution, corporate/health tourism integrations, field staff apps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
              <w:t>Verified partner system interfaces + stable Inventory and identity</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Analytics / AI</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M1 event capture; M4 Reporting; M16-M24 analytics/AI</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Data warehouse, analytics dashboards, adherence analysis and AI model evolution. Business and operational reports remain in the ERP.</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Reliable source data + event lineage + consent capture</w:t>
            </w:r>
          </w:p>
        </w:tc>
      </w:tr>
      <w:tr>
        <w:tc>
          <w:tcPr>
            <w:tcW w:type="dxa" w:w="3756"/>
          </w:tcPr>
          <w:p>
            <w:r>
              <w:t>JK-built POS / Inventory</w:t>
            </w:r>
          </w:p>
        </w:tc>
        <w:tc>
          <w:tcPr>
            <w:tcW w:type="dxa" w:w="3756"/>
          </w:tcPr>
          <w:p>
            <w:r>
              <w:t>M7-M16</w:t>
            </w:r>
          </w:p>
        </w:tc>
        <w:tc>
          <w:tcPr>
            <w:tcW w:type="dxa" w:w="3756"/>
          </w:tcPr>
          <w:p>
            <w:r>
              <w:t>Build Inventory, stock movement, outlet POS, sale/return/payment, offline/reconnect, reconciliation and phased outlet migration.</w:t>
            </w:r>
          </w:p>
        </w:tc>
        <w:tc>
          <w:tcPr>
            <w:tcW w:type="dxa" w:w="3756"/>
          </w:tcPr>
          <w:p>
            <w:r>
              <w:t>Stable business rules from Odoo pilot + clean data + outlet acceptance testing</w:t>
            </w:r>
          </w:p>
        </w:tc>
      </w:tr>
    </w:tbl>
    <w:p w:rsidR="00000000" w:rsidDel="00000000" w:rsidP="00000000" w:rsidRDefault="00000000" w:rsidRPr="00000000" w14:paraId="0000013A">
      <w:pPr>
        <w:spacing w:after="20" w:lineRule="auto"/>
        <w:rPr/>
      </w:pPr>
      <w:r w:rsidDel="00000000" w:rsidR="00000000" w:rsidRPr="00000000">
        <w:rPr>
          <w:rtl w:val="0"/>
        </w:rPr>
      </w:r>
    </w:p>
    <w:p w:rsidR="00000000" w:rsidDel="00000000" w:rsidP="00000000" w:rsidRDefault="00000000" w:rsidRPr="00000000" w14:paraId="0000013B">
      <w:pPr>
        <w:pStyle w:val="Heading1"/>
        <w:spacing w:after="60" w:lineRule="auto"/>
        <w:rPr/>
      </w:pPr>
      <w:r>
        <w:t>7. Team Ramp &amp; Responsibility Model</w:t>
      </w:r>
    </w:p>
    <w:tbl>
      <w:tblPr>
        <w:tblStyle w:val="Table12"/>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Period</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Approx. Team Size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Composition</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Primary Delivery Load</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M1-2</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6.0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Architect, 2 backend, DevOps, 0.5 QA, Odoo specialist, 0.5 UI/UX</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Foundation + Excel/Odoo discovery</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M3-6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8.5</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Architect, 3 backend, DevOps, QA, Frontend, Odoo specialist, 0.5 UI/UX</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Odoo CE transition + early ERP/Clinical/Reporting</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M7-10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13.5</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Architect, 4 backend, DevOps, 2 QA, 2 Frontend, 2 Mobile, Odoo specialist, 0.5 UI/UX</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JK Inventory/POS build + Clinical/Website + App start</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M11-14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14.0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Architect, 4 backend, DevOps, 2 QA, 2 Frontend, 3 Mobile, ERP/Odoo engineer</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Super App + outlet migration + Reporting</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M15-18</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12.0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Architect, 4 backend, DevOps, 2 QA, Frontend, 2 Mobile, ERP/Odoo engineer</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Finish POS/Inventory migration + Community/Franchise</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M19-24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11.0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Architect, 3 backend, DevOps, 2 QA, Frontend, 2 Mobile, ERP/Odoo engineer</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Reporting, analytics, hardening and knowledge transfer</w:t>
            </w:r>
          </w:p>
        </w:tc>
      </w:tr>
    </w:tbl>
    <w:p w:rsidR="00000000" w:rsidDel="00000000" w:rsidP="00000000" w:rsidRDefault="00000000" w:rsidRPr="00000000" w14:paraId="00000158">
      <w:pPr>
        <w:spacing w:after="20" w:lineRule="auto"/>
        <w:rPr/>
      </w:pPr>
      <w:r w:rsidDel="00000000" w:rsidR="00000000" w:rsidRPr="00000000">
        <w:rPr>
          <w:rtl w:val="0"/>
        </w:rPr>
      </w:r>
    </w:p>
    <w:tbl>
      <w:tblPr>
        <w:tblStyle w:val="Table13"/>
        <w:tblW w:w="15024.0" w:type="dxa"/>
        <w:jc w:val="center"/>
        <w:tblLayout w:type="fixed"/>
        <w:tblLook w:val="0400"/>
      </w:tblPr>
      <w:tblGrid>
        <w:gridCol w:w="15024"/>
        <w:tblGridChange w:id="0">
          <w:tblGrid>
            <w:gridCol w:w="15024"/>
          </w:tblGrid>
        </w:tblGridChange>
      </w:tblGrid>
      <w:tr>
        <w:trPr>
          <w:cantSplit w:val="0"/>
          <w:tblHeader w:val="0"/>
        </w:trPr>
        <w:tc>
          <w:tcPr>
            <w:tcBorders>
              <w:top w:color="d6b25e" w:space="0" w:sz="4" w:val="single"/>
              <w:left w:color="d6b25e" w:space="0" w:sz="4" w:val="single"/>
              <w:bottom w:color="d6b25e" w:space="0" w:sz="4" w:val="single"/>
              <w:right w:color="d6b25e" w:space="0" w:sz="4" w:val="single"/>
            </w:tcBorders>
            <w:shd w:fill="eaf4ea" w:val="clear"/>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203040"/>
                <w:sz w:val="18"/>
                <w:szCs w:val="18"/>
                <w:u w:val="none"/>
                <w:shd w:fill="auto" w:val="clear"/>
                <w:vertAlign w:val="baseline"/>
                <w:rtl w:val="0"/>
              </w:rPr>
              <w:t>Role consolidation. The current budget does not include separate positions for Product Owner, Data/AI Engineer, AI Specialist or Community Moderator. The Tech Lead / Architect covers those responsibilities. Clinical subject-matter experts are provided by Health Revolution and are not counted as additional payroll, but their availability is still required for workflow and safety approval.</w:t>
            </w:r>
          </w:p>
        </w:tc>
      </w:tr>
    </w:tbl>
    <w:p w:rsidR="00000000" w:rsidDel="00000000" w:rsidP="00000000" w:rsidRDefault="00000000" w:rsidRPr="00000000" w14:paraId="0000015A">
      <w:pPr>
        <w:spacing w:after="20" w:lineRule="auto"/>
        <w:rPr/>
      </w:pPr>
      <w:r w:rsidDel="00000000" w:rsidR="00000000" w:rsidRPr="00000000">
        <w:rPr>
          <w:rtl w:val="0"/>
        </w:rPr>
      </w:r>
    </w:p>
    <w:p w:rsidR="00000000" w:rsidDel="00000000" w:rsidP="00000000" w:rsidRDefault="00000000" w:rsidRPr="00000000" w14:paraId="0000015B">
      <w:pPr>
        <w:spacing w:after="60" w:lineRule="auto"/>
        <w:rPr/>
      </w:pPr>
      <w:r w:rsidDel="00000000" w:rsidR="00000000" w:rsidRPr="00000000"/>
      <w:r w:rsidDel="00000000" w:rsidR="00000000" w:rsidRPr="00000000">
        <w:rPr>
          <w:rtl w:val="0"/>
        </w:rPr>
      </w:r>
    </w:p>
    <w:p w:rsidR="00000000" w:rsidDel="00000000" w:rsidP="00000000" w:rsidRDefault="00000000" w:rsidRPr="00000000" w14:paraId="0000015C">
      <w:pPr>
        <w:pStyle w:val="Heading1"/>
        <w:keepNext/>
        <w:spacing w:after="60" w:lineRule="auto"/>
        <w:rPr/>
      </w:pPr>
      <w:r>
        <w:t>8. Cost Model</w:t>
      </w:r>
    </w:p>
    <w:tbl>
      <w:tblPr>
        <w:tblW w:type="auto" w:w="0"/>
        <w:jc w:val="center"/>
        <w:tblLayout w:type="autofit"/>
        <w:tblLook w:firstColumn="1" w:firstRow="1" w:lastColumn="0" w:lastRow="0" w:noHBand="0" w:noVBand="1" w:val="04A0"/>
      </w:tblPr>
      <w:tblGrid>
        <w:gridCol w:w="15024"/>
      </w:tblGrid>
      <w:tr>
        <w:tc>
          <w:tcPr>
            <w:tcW w:type="dxa" w:w="15024"/>
            <w:shd w:fill="EEF3F7"/>
            <w:tcMar>
              <w:top w:w="70" w:type="dxa"/>
              <w:start w:w="80" w:type="dxa"/>
              <w:bottom w:w="70" w:type="dxa"/>
              <w:end w:w="80" w:type="dxa"/>
            </w:tcMar>
            <w:vAlign w:val="center"/>
          </w:tcPr>
          <w:p>
            <w:pPr>
              <w:spacing w:after="0" w:before="0"/>
            </w:pPr>
            <w:r>
              <w:rPr>
                <w:rFonts w:ascii="Arial" w:hAnsi="Arial"/>
                <w:sz w:val="17"/>
              </w:rPr>
              <w:t>Costing follows the architecture and delivery model above. The current baseline keeps the same role rates, in-house cost loading, Odoo/UIUX specialist support, infrastructure ramp and centrally controlled contingency. The detailed JK-built POS and Inventory scope should be re-estimated after the first two months of data and process discovery. If the new build is larger than the current team can absorb, the quarterly budget should be updated before development expands.</w:t>
            </w:r>
          </w:p>
        </w:tc>
      </w:tr>
    </w:tbl>
    <w:p w:rsidR="00000000" w:rsidDel="00000000" w:rsidP="00000000" w:rsidRDefault="00000000" w:rsidRPr="00000000" w14:paraId="0000003A">
      <w:pPr>
        <w:pStyle w:val="Heading2"/>
        <w:spacing w:after="60" w:lineRule="auto"/>
        <w:rPr/>
      </w:pPr>
      <w:r>
        <w:t>8.1 Costing basis &amp; numeric assumptions</w:t>
      </w:r>
    </w:p>
    <w:tbl>
      <w:tblPr>
        <w:tblStyle w:val="Table5"/>
        <w:tblW w:w="15024.0" w:type="dxa"/>
        <w:jc w:val="center"/>
        <w:tblLayout w:type="fixed"/>
        <w:tblLook w:val="0400"/>
      </w:tblPr>
      <w:tblGrid>
        <w:gridCol w:w="15024"/>
        <w:tblGridChange w:id="0">
          <w:tblGrid>
            <w:gridCol w:w="15024"/>
          </w:tblGrid>
        </w:tblGridChange>
      </w:tblGrid>
      <w:tr>
        <w:trPr>
          <w:cantSplit w:val="0"/>
          <w:tblHeader w:val="0"/>
        </w:trPr>
        <w:tc>
          <w:tcPr>
            <w:tcBorders>
              <w:top w:color="d6b25e" w:space="0" w:sz="4" w:val="single"/>
              <w:left w:color="d6b25e" w:space="0" w:sz="4" w:val="single"/>
              <w:bottom w:color="d6b25e" w:space="0" w:sz="4" w:val="single"/>
              <w:right w:color="d6b25e" w:space="0" w:sz="4" w:val="single"/>
            </w:tcBorders>
            <w:shd w:fill="eaf1f7" w:val="clea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203040"/>
                <w:sz w:val="18"/>
                <w:szCs w:val="18"/>
                <w:u w:val="none"/>
                <w:shd w:fill="auto" w:val="clear"/>
                <w:vertAlign w:val="baseline"/>
                <w:rtl w:val="0"/>
              </w:rPr>
              <w:t>Why numeric assumptions are required.  The baseline document intentionally used relative cost weights instead of fixed currency values. For financial planning, this version converts that shape into a BDT baseline using role-rate assumptions. These rates are placeholders for budgeting and must be replaced by Human Resources-approved salary offers and signed supplier quotations before procurement.</w:t>
            </w:r>
            <w:r w:rsidDel="00000000" w:rsidR="00000000" w:rsidRPr="00000000">
              <w:rPr>
                <w:rFonts w:ascii="Liberation Sans" w:cs="Liberation Sans" w:eastAsia="Liberation Sans" w:hAnsi="Liberation Sans"/>
                <w:b w:val="0"/>
                <w:bCs w:val="0"/>
                <w:i w:val="0"/>
                <w:iCs w:val="0"/>
                <w:smallCaps w:val="0"/>
                <w:strike w:val="0"/>
                <w:color w:val="000000"/>
                <w:sz w:val="18"/>
                <w:szCs w:val="18"/>
                <w:u w:val="none"/>
                <w:shd w:fill="auto" w:val="clear"/>
                <w:vertAlign w:val="baseline"/>
                <w:rtl w:val="0"/>
              </w:rPr>
            </w:r>
            <w:r w:rsidDel="00000000" w:rsidR="00000000" w:rsidRPr="00000000">
              <w:rPr>
                <w:rtl w:val="0"/>
              </w:rPr>
            </w:r>
          </w:p>
        </w:tc>
      </w:tr>
    </w:tbl>
    <w:p w:rsidR="00000000" w:rsidDel="00000000" w:rsidP="00000000" w:rsidRDefault="00000000" w:rsidRPr="00000000" w14:paraId="0000003D">
      <w:pPr>
        <w:pStyle w:val="Heading2"/>
        <w:spacing w:after="60" w:lineRule="auto"/>
        <w:rPr/>
      </w:pPr>
      <w:r>
        <w:t>8.2 Role-rate assumptions</w:t>
      </w:r>
    </w:p>
    <w:tbl>
      <w:tblPr>
        <w:tblStyle w:val="Table6"/>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Role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Mode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Planning Rate (BDT/month)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Scope</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Tech Lead / Architect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In-house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 xml:space="preserve">2</w:t>
            </w: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color w:val="203040"/>
                <w:sz w:val="15"/>
                <w:szCs w:val="15"/>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Architecture, security, vendor governance, product/backlog ownership, process mapping, acceptance criteria, Data/AI &amp; machine learning oversight, community moderation governance, final go-live sign-off</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Senior Backend Engineer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In-house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 xml:space="preserve">10</w:t>
            </w: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
              <w:t>central integration gateway, core platform, domain architecture</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Mid Backend Engineer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In-house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 xml:space="preserve">8</w:t>
            </w: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
              <w:t>Custom ERP/Clinical, employee management, Attendance, Payroll, central Reporting, Odoo transition adapters, Membership and Community services</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Frontend Engineer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In-house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 xml:space="preserve">8</w:t>
            </w: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Next.js website/admin experiences</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Flutter Mobile Engineer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In-house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70,000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Super App, offline sync, device integrations</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QA / Test Engineer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In-house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 xml:space="preserve">5</w:t>
            </w: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Manual testing, automation, release testing and user acceptance coordination</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DevOps / Platform Engineer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In-house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 xml:space="preserve">1</w:t>
            </w: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Cloud, Kubernetes, automated build/deployment, security baseline and system monitoring</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ERP / Odoo Engineer</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In-house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 xml:space="preserve">7</w:t>
            </w: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
              <w:t>Odoo CE transition support, ERP reporting integration and migration to JK-built POS/Inventory</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Odoo Specialist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Outsourced</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70,000 / person-month</w:t>
            </w:r>
          </w:p>
        </w:tc>
        <w:tc>
          <w:tcPr>
            <w:tcBorders>
              <w:top w:color="b9c3cc" w:space="0" w:sz="4" w:val="single"/>
              <w:left w:color="b9c3cc" w:space="0" w:sz="4" w:val="single"/>
              <w:bottom w:color="b9c3cc" w:space="0" w:sz="4" w:val="single"/>
              <w:right w:color="b9c3cc" w:space="0" w:sz="4" w:val="single"/>
            </w:tcBorders>
            <w:shd w:fill="f6f8fa" w:val="clear"/>
            <w:vAlign w:val="center"/>
          </w:tcPr>
          <w:p>
            <w:r>
              <w:t>Initial Excel migration, Odoo CE Inventory/POS setup, pilot support, integration support and knowledge transfer</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UI/UX Designer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Contract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color w:val="203040"/>
                <w:sz w:val="15"/>
                <w:szCs w:val="15"/>
                <w:rtl w:val="0"/>
              </w:rPr>
              <w:t xml:space="preserve">8</w:t>
            </w: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0,000 / month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Design system, low-literacy UX, service flows</w:t>
            </w:r>
            <w:r w:rsidDel="00000000" w:rsidR="00000000" w:rsidRPr="00000000">
              <w:rPr>
                <w:rtl w:val="0"/>
              </w:rPr>
            </w:r>
          </w:p>
        </w:tc>
      </w:tr>
    </w:tbl>
    <w:p w:rsidR="00000000" w:rsidDel="00000000" w:rsidP="00000000" w:rsidRDefault="00000000" w:rsidRPr="00000000" w14:paraId="0000015D">
      <w:pPr>
        <w:pStyle w:val="Heading2"/>
        <w:spacing w:after="60" w:lineRule="auto"/>
        <w:rPr/>
      </w:pPr>
      <w:r>
        <w:t>8.3 Development and specialist cost by delivery block</w:t>
      </w:r>
    </w:p>
    <w:tbl>
      <w:tblPr>
        <w:tblStyle w:val="Table14"/>
        <w:tblW w:w="1502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005"/>
        <w:gridCol w:w="3005"/>
        <w:gridCol w:w="3005"/>
        <w:gridCol w:w="3005"/>
        <w:tblGridChange w:id="0">
          <w:tblGrid>
            <w:gridCol w:w="3005"/>
            <w:gridCol w:w="3005"/>
            <w:gridCol w:w="3005"/>
            <w:gridCol w:w="3005"/>
            <w:gridCol w:w="3005"/>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Period</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In-house Payroll / mo (M BDT)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External / mo (M BDT)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Loaded Dev Cost / mo* (M BDT)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Period Total (M BDT)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M1-2</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0.505</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0.110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0.691</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1.382</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M3-6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0.690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0.110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0.904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3.614</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M7-10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1.040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0.110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1.306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5.224</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M11-14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1.180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1.357</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5.428</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M15-18</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1.030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1.185</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4.738</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M19-24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0.950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0.000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1.093</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6.555</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TOTAL</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26.941</w:t>
            </w:r>
            <w:r w:rsidDel="00000000" w:rsidR="00000000" w:rsidRPr="00000000">
              <w:rPr>
                <w:rtl w:val="0"/>
              </w:rPr>
            </w:r>
          </w:p>
        </w:tc>
      </w:tr>
    </w:tbl>
    <w:p w:rsidR="00000000" w:rsidDel="00000000" w:rsidP="00000000" w:rsidRDefault="00000000" w:rsidRPr="00000000" w14:paraId="00000186">
      <w:pPr>
        <w:spacing w:after="20" w:lineRule="auto"/>
        <w:rPr/>
      </w:pPr>
      <w:r w:rsidDel="00000000" w:rsidR="00000000" w:rsidRPr="00000000">
        <w:rPr>
          <w:rtl w:val="0"/>
        </w:rPr>
      </w:r>
    </w:p>
    <w:tbl>
      <w:tblPr>
        <w:tblStyle w:val="Table15"/>
        <w:tblW w:w="15024.0" w:type="dxa"/>
        <w:jc w:val="center"/>
        <w:tblLayout w:type="fixed"/>
        <w:tblLook w:val="0400"/>
      </w:tblPr>
      <w:tblGrid>
        <w:gridCol w:w="15024"/>
        <w:tblGridChange w:id="0">
          <w:tblGrid>
            <w:gridCol w:w="15024"/>
          </w:tblGrid>
        </w:tblGridChange>
      </w:tblGrid>
      <w:tr>
        <w:trPr>
          <w:cantSplit w:val="0"/>
          <w:tblHeader w:val="0"/>
        </w:trPr>
        <w:tc>
          <w:tcPr>
            <w:tcBorders>
              <w:top w:color="d6b25e" w:space="0" w:sz="4" w:val="single"/>
              <w:left w:color="d6b25e" w:space="0" w:sz="4" w:val="single"/>
              <w:bottom w:color="d6b25e" w:space="0" w:sz="4" w:val="single"/>
              <w:right w:color="d6b25e" w:space="0" w:sz="4" w:val="single"/>
            </w:tcBorders>
            <w:shd w:fill="eaf1f7" w:val="clea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203040"/>
                <w:sz w:val="18"/>
                <w:szCs w:val="18"/>
                <w:u w:val="none"/>
                <w:shd w:fill="auto" w:val="clear"/>
                <w:vertAlign w:val="baseline"/>
                <w:rtl w:val="0"/>
              </w:rPr>
              <w:t>*Loaded development cost. In-house payroll is loaded with 15% for employer overhead, benefits and recruitment friction; external specialist rates are treated as fully loaded. No separate Product Owner, Data/AI Engineer, AI Specialist or Community Moderator position is budgeted; those responsibilities are included under the Tech Lead / Architect baseline. The separate recruitment/onboarding budget covers hiring campaigns, equipment gaps and exceptional onboarding costs.</w:t>
            </w:r>
          </w:p>
        </w:tc>
      </w:tr>
    </w:tbl>
    <w:p w:rsidR="00000000" w:rsidDel="00000000" w:rsidP="00000000" w:rsidRDefault="00000000" w:rsidRPr="00000000" w14:paraId="00000188">
      <w:pPr>
        <w:spacing w:after="20" w:lineRule="auto"/>
        <w:rPr/>
      </w:pPr>
      <w:r w:rsidDel="00000000" w:rsidR="00000000" w:rsidRPr="00000000">
        <w:rPr>
          <w:rtl w:val="0"/>
        </w:rPr>
      </w:r>
    </w:p>
    <w:tbl>
      <w:tblPr>
        <w:tblStyle w:val="Table16"/>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8"/>
        <w:gridCol w:w="5008"/>
        <w:gridCol w:w="5008"/>
        <w:tblGridChange w:id="0">
          <w:tblGrid>
            <w:gridCol w:w="5008"/>
            <w:gridCol w:w="5008"/>
            <w:gridCol w:w="5008"/>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7"/>
                <w:szCs w:val="16"/>
                <w:u w:val="none"/>
                <w:shd w:fill="auto" w:val="clear"/>
                <w:vertAlign w:val="baseline"/>
                <w:rtl w:val="0"/>
              </w:rPr>
              <w:t xml:space="preserve">Cost Category</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7"/>
                <w:szCs w:val="16"/>
                <w:u w:val="none"/>
                <w:shd w:fill="auto" w:val="clear"/>
                <w:vertAlign w:val="baseline"/>
                <w:rtl w:val="0"/>
              </w:rPr>
              <w:t xml:space="preserve">24-Month Base (M BDT)</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7"/>
                <w:szCs w:val="16"/>
                <w:u w:val="none"/>
                <w:shd w:fill="auto" w:val="clear"/>
                <w:vertAlign w:val="baseline"/>
                <w:rtl w:val="0"/>
              </w:rPr>
              <w:t xml:space="preserve">Planning Note</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Loaded engineering + outsourced specialists</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26.9</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Core technical delivery team plus Odoo/UIUX specialist support; consolidated roles absorbed by Tech Lead</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Cloud / platform infrastructure</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10.0</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
              <w:t>Application servers, managed database, Redis, messaging, object storage/content delivery and backup/disaster recovery; cost grows by phase</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AI / Nutrition API consumption</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1.8</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Buy-phase food recognition/nutrition baseline; controlled by caching/batching</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Communication / Maps / Monitoring / SaaS</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2.4</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SMS/email/WhatsApp baseline, maps, APM/logging, low-volume tools</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Independent security testing</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1.8</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Three major pre-go-live security assessments at approximately BDT 0.6M each</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Engineering/test equipment &amp; field hardware</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2.5</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Developer/test devices, mobile devices, POS/peripheral lab and pilot equipment</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Data migration, training &amp; change management</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2.0</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Rehearsals, outlet/clinic training, cut-over support and reconciliation</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Recruitment &amp; onboarding reserve</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1.0</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Hiring campaigns, screening, joining/onboarding costs</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Subtotal before contingency</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48.4</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Approved delivery baseline</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Contingency reserve (12%)</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5.8</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Only released against approved risk/change</w:t>
            </w:r>
            <w:r w:rsidDel="00000000" w:rsidR="00000000" w:rsidRPr="00000000">
              <w:rPr>
                <w:sz w:val="17"/>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 xml:space="preserve">TOTAL PROGRAM ENVELOPE</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54.3</w:t>
            </w:r>
            <w:r w:rsidDel="00000000" w:rsidR="00000000" w:rsidRPr="00000000">
              <w:rPr>
                <w:sz w:val="17"/>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7"/>
                <w:szCs w:val="16"/>
                <w:u w:val="none"/>
                <w:shd w:fill="auto" w:val="clear"/>
                <w:vertAlign w:val="baseline"/>
                <w:rtl w:val="0"/>
              </w:rPr>
              <w:t>~BDT 5.43 crore over 24 months</w:t>
            </w:r>
            <w:r w:rsidDel="00000000" w:rsidR="00000000" w:rsidRPr="00000000">
              <w:rPr>
                <w:sz w:val="17"/>
                <w:rtl w:val="0"/>
              </w:rPr>
            </w:r>
          </w:p>
        </w:tc>
      </w:tr>
    </w:tbl>
    <w:p w:rsidR="00000000" w:rsidDel="00000000" w:rsidP="00000000" w:rsidRDefault="00000000" w:rsidRPr="00000000" w14:paraId="000001AD">
      <w:pPr>
        <w:spacing w:after="20" w:lineRule="auto"/>
        <w:rPr/>
      </w:pPr>
      <w:r w:rsidDel="00000000" w:rsidR="00000000" w:rsidRPr="00000000">
        <w:rPr>
          <w:rtl w:val="0"/>
        </w:rPr>
      </w:r>
    </w:p>
    <w:p w:rsidR="00000000" w:rsidDel="00000000" w:rsidP="00000000" w:rsidRDefault="00000000" w:rsidRPr="00000000" w14:paraId="000001AE">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1AF">
      <w:pPr>
        <w:pStyle w:val="Heading2"/>
        <w:spacing w:after="60" w:lineRule="auto"/>
        <w:rPr/>
      </w:pPr>
      <w:r>
        <w:t>8.4 Infrastructure ramp assumption</w:t>
      </w:r>
    </w:p>
    <w:tbl>
      <w:tblPr>
        <w:tblStyle w:val="Table17"/>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Period</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Monthly Infra (M BDT)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Period Total (M BDT)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What drives cost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M1-3</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0.12</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0.36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Foundation/dev/test + small production footprint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M4-6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0.20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0.60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
              <w:t>Odoo CE outlet pilot + early ERP/Clinical/Website</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M7-12</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0.30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1.80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
              <w:t>Odoo transition + JK POS/Inventory build + Website/Clinical/App beta</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M13-18</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0.50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3.00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Super App, media, Community/Education and Reporting/data platform</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M19-24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0.70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4.20</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Higher usage, reporting/analytics/AI and 15-20 outlet support</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TOTAL</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9.96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Rounded to BDT 10.0M in the program budget</w:t>
            </w:r>
            <w:r w:rsidDel="00000000" w:rsidR="00000000" w:rsidRPr="00000000">
              <w:rPr>
                <w:rtl w:val="0"/>
              </w:rPr>
            </w:r>
          </w:p>
        </w:tc>
      </w:tr>
    </w:tbl>
    <w:p w:rsidR="00000000" w:rsidDel="00000000" w:rsidP="00000000" w:rsidRDefault="00000000" w:rsidRPr="00000000" w14:paraId="000001CC">
      <w:pPr>
        <w:spacing w:after="20" w:lineRule="auto"/>
        <w:rPr/>
      </w:pPr>
      <w:r w:rsidDel="00000000" w:rsidR="00000000" w:rsidRPr="00000000">
        <w:rPr>
          <w:rtl w:val="0"/>
        </w:rPr>
      </w:r>
    </w:p>
    <w:p w:rsidR="00000000" w:rsidDel="00000000" w:rsidP="00000000" w:rsidRDefault="00000000" w:rsidRPr="00000000" w14:paraId="000001CD">
      <w:pPr>
        <w:pStyle w:val="Heading1"/>
        <w:spacing w:after="80" w:lineRule="auto" w:before="120"/>
        <w:rPr/>
      </w:pPr>
      <w:r>
        <w:t>9. Quarterly Budget Release &amp; Delivery Gates</w:t>
      </w:r>
    </w:p>
    <w:tbl>
      <w:tblPr>
        <w:tblStyle w:val="Table18"/>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Budget Window</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Base Release (M BDT)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Delivery Focus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Release / Acceptance Gate</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Q1 - M1-3</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4.79</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
              <w:t>Foundation + Excel cleanup + Odoo CE migration start</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Architecture baseline, environments live, identity demonstrated, Excel data-quality/migration rehearsal complete.</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Q2 - M4-6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5.06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
              <w:t>Odoo CE POS/Inventory pilot + ERP/Clinical/Reporting start</w:t>
            </w:r>
          </w:p>
        </w:tc>
        <w:tc>
          <w:tcPr>
            <w:tcBorders>
              <w:top w:color="b9c3cc" w:space="0" w:sz="4" w:val="single"/>
              <w:left w:color="b9c3cc" w:space="0" w:sz="4" w:val="single"/>
              <w:bottom w:color="b9c3cc" w:space="0" w:sz="4" w:val="single"/>
              <w:right w:color="b9c3cc" w:space="0" w:sz="4" w:val="single"/>
            </w:tcBorders>
            <w:shd w:fill="f6f8fa" w:val="clear"/>
            <w:vAlign w:val="center"/>
          </w:tcPr>
          <w:p>
            <w:r>
              <w:t>Odoo CE outlet pilot accepted; sales/stock reconciliation passed; independent security test #1.</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Q3 - M7-9</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6.06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
              <w:t>JK Inventory/POS build + Odoo rollout + Clinical/Website/App foundation</w:t>
            </w:r>
          </w:p>
        </w:tc>
        <w:tc>
          <w:tcPr>
            <w:tcBorders>
              <w:top w:color="b9c3cc" w:space="0" w:sz="4" w:val="single"/>
              <w:left w:color="b9c3cc" w:space="0" w:sz="4" w:val="single"/>
              <w:bottom w:color="b9c3cc" w:space="0" w:sz="4" w:val="single"/>
              <w:right w:color="b9c3cc" w:space="0" w:sz="4" w:val="single"/>
            </w:tcBorders>
            <w:shd w:fill="ffffff" w:val="clear"/>
            <w:vAlign w:val="center"/>
          </w:tcPr>
          <w:p>
            <w:r>
              <w:t>JK Inventory/POS prototype and parallel reconciliation ready; Clinical pilot ready; Website beta accepted.</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Q4 - M10-12</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7.06</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
              <w:t>First JK POS/Inventory cut-over + Clinical/Website go-live + App build</w:t>
            </w:r>
          </w:p>
        </w:tc>
        <w:tc>
          <w:tcPr>
            <w:tcBorders>
              <w:top w:color="b9c3cc" w:space="0" w:sz="4" w:val="single"/>
              <w:left w:color="b9c3cc" w:space="0" w:sz="4" w:val="single"/>
              <w:bottom w:color="b9c3cc" w:space="0" w:sz="4" w:val="single"/>
              <w:right w:color="b9c3cc" w:space="0" w:sz="4" w:val="single"/>
            </w:tcBorders>
            <w:shd w:fill="f6f8fa" w:val="clear"/>
            <w:vAlign w:val="center"/>
          </w:tcPr>
          <w:p>
            <w:r>
              <w:t>First outlet cut-over accepted; Clinical/Website production stable; independent security test #2.</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Q5 - M13-15</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6.88</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Super App go-live + Community/Learning platform beta</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App v1 accepted + independent security testing #3; closed-loop care functioning</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Q6 - M16-18</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6.33</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Community/Education/Franchise + warehouse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Phase-4 business acceptance; operational training complete</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Q7 - M19-21</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6.11</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ERP reporting/analytics + AI maturity</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ERP reports reconcile with source systems; model quality/cost decision completed.</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Q8 - M22-24</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6.15</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Scale, disaster recovery, hardening and handover</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Performance, disaster recovery and knowledge transfer accepted; normal operational ownership signed.</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Program contingency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5.81</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Central reserve; not pre-allocated to quarters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Release only through Steering Committee change/risk approval</w:t>
            </w:r>
            <w:r w:rsidDel="00000000" w:rsidR="00000000" w:rsidRPr="00000000">
              <w:rPr>
                <w:rtl w:val="0"/>
              </w:rPr>
            </w:r>
          </w:p>
        </w:tc>
      </w:tr>
    </w:tbl>
    <w:p w:rsidR="00000000" w:rsidDel="00000000" w:rsidP="00000000" w:rsidRDefault="00000000" w:rsidRPr="00000000" w14:paraId="000001F6">
      <w:pPr>
        <w:spacing w:after="20" w:lineRule="auto"/>
        <w:rPr/>
      </w:pPr>
      <w:r w:rsidDel="00000000" w:rsidR="00000000" w:rsidRPr="00000000">
        <w:rPr>
          <w:rtl w:val="0"/>
        </w:rPr>
      </w:r>
    </w:p>
    <w:p>
      <w:pPr>
        <w:keepNext w:val="0"/>
        <w:keepLines w:val="0"/>
        <w:spacing w:before="40" w:after="40"/>
        <w:shd w:fill="FFF8E6"/>
        <w:pBdr>
          <w:top w:val="single" w:sz="4" w:space="2" w:color="D6A84A"/>
          <w:left w:val="single" w:sz="4" w:space="2" w:color="D6A84A"/>
          <w:bottom w:val="single" w:sz="4" w:space="2" w:color="D6A84A"/>
          <w:right w:val="single" w:sz="4" w:space="2" w:color="D6A84A"/>
        </w:pBdr>
      </w:pPr>
      <w:r>
        <w:rPr>
          <w:color w:val="232D37"/>
          <w:sz w:val="17"/>
        </w:rPr>
        <w:t>Budget-control rule. Quarterly funds should be approved against the next delivery gate; monthly burn is reviewed by the Tech Lead and Finance. A forecast variance above 5% requires a written recovery plan; above 10% requires Steering Committee scope/time/budget approval.</w:t>
      </w:r>
    </w:p>
    <w:p w:rsidR="00000000" w:rsidDel="00000000" w:rsidP="00000000" w:rsidRDefault="00000000" w:rsidRPr="00000000" w14:paraId="000001F8">
      <w:pPr>
        <w:spacing w:after="20" w:lineRule="auto"/>
        <w:rPr/>
      </w:pPr>
      <w:r w:rsidDel="00000000" w:rsidR="00000000" w:rsidRPr="00000000">
        <w:rPr>
          <w:rtl w:val="0"/>
        </w:rPr>
      </w:r>
    </w:p>
    <w:p w:rsidR="00000000" w:rsidDel="00000000" w:rsidP="00000000" w:rsidRDefault="00000000" w:rsidRPr="00000000" w14:paraId="000001FA">
      <w:pPr>
        <w:pStyle w:val="Heading1"/>
        <w:keepNext/>
        <w:spacing w:after="80" w:lineRule="auto" w:before="120"/>
        <w:rPr/>
      </w:pPr>
      <w:r>
        <w:t>10. Quality, user acceptance testing, Security &amp; Release Strategy</w:t>
      </w:r>
    </w:p>
    <w:tbl>
      <w:tblPr>
        <w:tblStyle w:val="Table20"/>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8"/>
        <w:gridCol w:w="5008"/>
        <w:gridCol w:w="5008"/>
        <w:tblGridChange w:id="0">
          <w:tblGrid>
            <w:gridCol w:w="5008"/>
            <w:gridCol w:w="5008"/>
            <w:gridCol w:w="5008"/>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6"/>
                <w:u w:val="none"/>
                <w:shd w:fill="auto" w:val="clear"/>
                <w:vertAlign w:val="baseline"/>
                <w:rtl w:val="0"/>
              </w:rPr>
              <w:t xml:space="preserve">Cadence / Gate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6"/>
                <w:u w:val="none"/>
                <w:shd w:fill="auto" w:val="clear"/>
                <w:vertAlign w:val="baseline"/>
                <w:rtl w:val="0"/>
              </w:rPr>
              <w:t xml:space="preserve">Required Activities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6"/>
                <w:u w:val="none"/>
                <w:shd w:fill="auto" w:val="clear"/>
                <w:vertAlign w:val="baseline"/>
                <w:rtl w:val="0"/>
              </w:rPr>
              <w:t xml:space="preserve">Exit Condition</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Every sprint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Run unit/integration tests, API contract checks, targeted user acceptance tests, demos and security/dependency scans.</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Critical defects are triaged before the next sprint.</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Every month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Regression pack, cloud-cost review, vulnerability backlog, data reconciliation checks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Monthly delivery + burn report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Before outlet/clinic rollout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Migration rehearsal, staff training, parallel run, rollback plan, support roster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Business owner cut-over approval</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Before major public go-live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Run performance/load testing, independent security testing, disaster-recovery and backup-restore testing, system-monitoring checks, agreed service performance targets and privacy/consent verification.</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The Tech Lead and Business Owner make the formal go/no-go decision.</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Post-launch support for 2-4 weeks</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Provide focused post-launch support, review incidents, adoption and open defects.</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Exit focused support only when agreed service targets and defect levels are stable.</w:t>
            </w:r>
          </w:p>
        </w:tc>
      </w:tr>
    </w:tbl>
    <w:p w:rsidR="00000000" w:rsidDel="00000000" w:rsidP="00000000" w:rsidRDefault="00000000" w:rsidRPr="00000000" w14:paraId="0000020D">
      <w:pPr>
        <w:spacing w:after="20" w:lineRule="auto"/>
        <w:rPr/>
      </w:pPr>
      <w:r w:rsidDel="00000000" w:rsidR="00000000" w:rsidRPr="00000000">
        <w:rPr>
          <w:rtl w:val="0"/>
        </w:rPr>
      </w:r>
    </w:p>
    <w:p w:rsidR="00000000" w:rsidDel="00000000" w:rsidP="00000000" w:rsidRDefault="00000000" w:rsidRPr="00000000" w14:paraId="0000020E">
      <w:pPr>
        <w:pStyle w:val="Heading1"/>
        <w:keepNext/>
        <w:spacing w:after="80" w:lineRule="auto" w:before="120"/>
        <w:rPr/>
      </w:pPr>
      <w:r>
        <w:t>11. Budget &amp; Timeline Risks with Controls</w:t>
      </w:r>
    </w:p>
    <w:tbl>
      <w:tblPr>
        <w:tblStyle w:val="Table21"/>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Risk</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Exposure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Impact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Control</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Hiring delay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High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Pushes critical path because JK Tech starts with no bench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Start Phase-2/3 hiring during Phase 0-1; keep approved specialist bridge contracts</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Dirty Excel / Odoo data</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High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Bad source data can cause stock errors, failed reconciliation and rollout delay.</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Profile and clean data early, stage migrations and perform physical stock checks before outlet cut-over.</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Clinical workflow churn</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High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Late workflow changes can cause repeated work in patient records and Care Plans.</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Keep clinical subject-matter experts involved, prototype early and approve acceptance criteria before full build.</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Odoo transition becomes permanent</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Medium/High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
              <w:t>A temporary bridge can become long-term technical debt if the JK replacement is delayed.</w:t>
            </w:r>
          </w:p>
        </w:tc>
        <w:tc>
          <w:tcPr>
            <w:tcBorders>
              <w:top w:color="b9c3cc" w:space="0" w:sz="4" w:val="single"/>
              <w:left w:color="b9c3cc" w:space="0" w:sz="4" w:val="single"/>
              <w:bottom w:color="b9c3cc" w:space="0" w:sz="4" w:val="single"/>
              <w:right w:color="b9c3cc" w:space="0" w:sz="4" w:val="single"/>
            </w:tcBorders>
            <w:shd w:fill="f6f8fa" w:val="clear"/>
            <w:vAlign w:val="center"/>
          </w:tcPr>
          <w:p>
            <w:r>
              <w:t>Give the JK Inventory/POS replacement a dated roadmap, run parallel reconciliation and move outlets in controlled waves.</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Cloud/media/AI usage spike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Medium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Run-cost exceeds envelope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Compression/lifecycle, caching/batching, quotas, monthly unit-cost dashboard</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Vendor/API availability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Medium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Blocks Sinbad, wearable or AI features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Adapter interfaces; manual fallback; defer integrations that are not verified</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Scope expansion</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High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Uncontrolled additions can increase budget and timeline.</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Use a clear Definition of Done, formal change control and quarterly approval gates.</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Security/compliance defect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High</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A serious defect can delay go-live and create business risk.</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Use security-by-design, encryption, access audit logs and independent security testing before major releases.</w:t>
            </w:r>
          </w:p>
        </w:tc>
      </w:tr>
      <w:tr>
        <w:tc>
          <w:tcPr>
            <w:tcW w:type="dxa" w:w="3756"/>
          </w:tcPr>
          <w:p>
            <w:r>
              <w:t>Reporting mismatch</w:t>
            </w:r>
          </w:p>
        </w:tc>
        <w:tc>
          <w:tcPr>
            <w:tcW w:type="dxa" w:w="3756"/>
          </w:tcPr>
          <w:p>
            <w:r>
              <w:t>High</w:t>
            </w:r>
          </w:p>
        </w:tc>
        <w:tc>
          <w:tcPr>
            <w:tcW w:type="dxa" w:w="3756"/>
          </w:tcPr>
          <w:p>
            <w:r>
              <w:t>Management can lose trust if ERP reports do not match outlet, Inventory, clinical or payroll source totals.</w:t>
            </w:r>
          </w:p>
        </w:tc>
        <w:tc>
          <w:tcPr>
            <w:tcW w:type="dxa" w:w="3756"/>
          </w:tcPr>
          <w:p>
            <w:r>
              <w:t>Use source references, daily reconciliation and report sign-off during every migration wave.</w:t>
            </w:r>
          </w:p>
        </w:tc>
      </w:tr>
    </w:tbl>
    <w:p w:rsidR="00000000" w:rsidDel="00000000" w:rsidP="00000000" w:rsidRDefault="00000000" w:rsidRPr="00000000" w14:paraId="00000233">
      <w:pPr>
        <w:spacing w:after="20" w:lineRule="auto"/>
        <w:rPr/>
      </w:pPr>
      <w:r w:rsidDel="00000000" w:rsidR="00000000" w:rsidRPr="00000000">
        <w:rPr>
          <w:rtl w:val="0"/>
        </w:rPr>
      </w:r>
    </w:p>
    <w:p w:rsidR="00000000" w:rsidDel="00000000" w:rsidP="00000000" w:rsidRDefault="00000000" w:rsidRPr="00000000" w14:paraId="00000234">
      <w:pPr>
        <w:pStyle w:val="Heading1"/>
        <w:spacing w:after="80" w:lineRule="auto" w:before="120"/>
        <w:rPr/>
      </w:pPr>
      <w:r>
        <w:t>12. Limited-Budget / Half-Year-1-Budget Fallback</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t>•  Defer Community Platform and Education/Learning platform before cutting the shared foundation, Odoo CE POS/Inventory transition, or Custom ERP/Clinical.</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8"/>
          <w:szCs w:val="18"/>
          <w:u w:val="none"/>
          <w:shd w:fill="auto" w:val="clear"/>
          <w:vertAlign w:val="baseline"/>
          <w:rtl w:val="0"/>
        </w:rPr>
        <w:t>•  Delay deep Wearable/continuous glucose monitor integration; keep manual entry and basic Health Connect/HealthKit capability where affordable.</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8"/>
          <w:szCs w:val="18"/>
          <w:u w:val="none"/>
          <w:shd w:fill="auto" w:val="clear"/>
          <w:vertAlign w:val="baseline"/>
          <w:rtl w:val="0"/>
        </w:rPr>
        <w:t xml:space="preserve">•  Keep Food Recognition in buy-mode longer and delay the in-house model build; this preserves user value while avoiding early model investment.</w:t>
      </w:r>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8"/>
          <w:szCs w:val="18"/>
          <w:u w:val="none"/>
          <w:shd w:fill="auto" w:val="clear"/>
          <w:vertAlign w:val="baseline"/>
          <w:rtl w:val="0"/>
        </w:rPr>
        <w:t xml:space="preserve">•  Defer Franchise Management and Health Tourism/Sinbad integration until the core operating system is stable.</w:t>
      </w:r>
      <w:r w:rsidDel="00000000" w:rsidR="00000000" w:rsidRPr="00000000">
        <w:rPr>
          <w:rtl w:val="0"/>
        </w:rPr>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t>•  Do not cut JK ID / single sign-on, the central integration gateway, clean master data, core security, the Odoo Community Edition transition needed for current outlet operations, or the custom ERP / Clinical / Reporting foundation.</w:t>
      </w:r>
    </w:p>
    <w:p w:rsidR="00000000" w:rsidDel="00000000" w:rsidP="00000000" w:rsidRDefault="00000000" w:rsidRPr="00000000" w14:paraId="0000023A">
      <w:pPr>
        <w:pStyle w:val="Heading1"/>
        <w:keepNext/>
        <w:spacing w:after="80" w:lineRule="auto" w:before="120"/>
        <w:rPr/>
      </w:pPr>
      <w:r>
        <w:t>13. Program Governance &amp; Reporting</w:t>
      </w:r>
    </w:p>
    <w:tbl>
      <w:tblPr>
        <w:tblStyle w:val="Table22"/>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56"/>
        <w:gridCol w:w="3756"/>
        <w:gridCol w:w="3756"/>
        <w:gridCol w:w="3756"/>
        <w:tblGridChange w:id="0">
          <w:tblGrid>
            <w:gridCol w:w="3756"/>
            <w:gridCol w:w="3756"/>
            <w:gridCol w:w="3756"/>
            <w:gridCol w:w="3756"/>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Cadence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Meeting / Control</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Participants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5"/>
                <w:szCs w:val="15"/>
                <w:u w:val="none"/>
                <w:shd w:fill="auto" w:val="clear"/>
                <w:vertAlign w:val="baseline"/>
                <w:rtl w:val="0"/>
              </w:rPr>
              <w:t xml:space="preserve">Output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Daily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Engineering stand-up per workstream</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Engineering leads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Blockers, defects, environment issues</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Weekly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Architecture/vendor/risk review</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Tech Lead + DevOps + module leads</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risk/issue/action/decision, architecture decisions, dependency plan, actual progress and spending versus plan</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Bi-weekly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Sprint review + user acceptance testing + planning</w:t>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Business owners + engineering</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Accepted increments and next sprint commitment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Monthly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Steering committee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GMO/CEO/CFO/Tech Lead</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Budget, timeline, scope changes, risk decisions</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Quarterly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Phase gate / budget release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Steering committee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5"/>
                <w:szCs w:val="15"/>
                <w:u w:val="none"/>
                <w:shd w:fill="auto" w:val="clear"/>
                <w:vertAlign w:val="baseline"/>
                <w:rtl w:val="0"/>
              </w:rPr>
              <w:t xml:space="preserve">Acceptance gate, next-quarter budget, hiring/vendor decisions</w:t>
            </w:r>
            <w:r w:rsidDel="00000000" w:rsidR="00000000" w:rsidRPr="00000000">
              <w:rPr>
                <w:rtl w:val="0"/>
              </w:rPr>
            </w:r>
          </w:p>
        </w:tc>
      </w:tr>
    </w:tbl>
    <w:p w:rsidR="00000000" w:rsidDel="00000000" w:rsidP="00000000" w:rsidRDefault="00000000" w:rsidRPr="00000000" w14:paraId="00000253">
      <w:pPr>
        <w:spacing w:after="20" w:lineRule="auto"/>
        <w:rPr/>
      </w:pPr>
      <w:r w:rsidDel="00000000" w:rsidR="00000000" w:rsidRPr="00000000">
        <w:rPr>
          <w:rtl w:val="0"/>
        </w:rPr>
      </w:r>
    </w:p>
    <w:p w:rsidR="00000000" w:rsidDel="00000000" w:rsidP="00000000" w:rsidRDefault="00000000" w:rsidRPr="00000000" w14:paraId="00000254">
      <w:pPr>
        <w:pStyle w:val="Heading1"/>
        <w:keepNext/>
        <w:spacing w:after="80" w:lineRule="auto" w:before="120"/>
        <w:rPr/>
      </w:pPr>
      <w:r>
        <w:t>14. Architect Recommendation</w:t>
      </w:r>
    </w:p>
    <w:p w:rsidR="00000000" w:rsidDel="00000000" w:rsidP="00000000" w:rsidRDefault="00000000" w:rsidRPr="00000000" w14:paraId="00000255">
      <w:pPr>
        <w:spacing w:after="120" w:lineRule="auto"/>
        <w:rPr/>
      </w:pPr>
      <w:r>
        <w:t>Adopt the architecture-led 24-month roadmap with quarterly funding gates and a BDT 54.3M planning ceiling, while treating BDT 48.4M as the delivery baseline and BDT 5.8M as controlled contingency. Keep the transition simple: clean the Excel data, move outlet POS and Inventory into Odoo Community Edition for immediate stability, build the custom ERP and central Reporting, then build and replace POS and Inventory with JK-owned modules after parallel testing and reconciliation. The ERP remains the single reporting interface throughout the program. Scale the Super App, Community and AI only after the operational data is reliable.</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9"/>
          <w:szCs w:val="19"/>
          <w:u w:val="none"/>
          <w:shd w:fill="auto" w:val="clear"/>
          <w:vertAlign w:val="baseline"/>
          <w:rtl w:val="0"/>
        </w:rPr>
        <w:t xml:space="preserve">•  Approve Phase 0 and Q1 budget immediately only after named business owners and data-access owners are confirmed.</w:t>
      </w: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t>•  Validate all remaining role rates with Human Resources and replace the Odoo and user-interface-design placeholders with signed quotations before Quarter 2 approval. Validate Odoo hosting/add-on/support costs and third-party artificial-intelligence service costs separately as operating/vendor costs.</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t>•  Confirm the Odoo Community Edition version and modules for the transition, validate Excel migration and outlet POS/Inventory operation, and approve the detailed requirements and migration plan for the JK-built POS and Inventory replacement.</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000000"/>
          <w:sz w:val="19"/>
          <w:szCs w:val="19"/>
          <w:u w:val="none"/>
          <w:shd w:fill="auto" w:val="clear"/>
          <w:vertAlign w:val="baseline"/>
          <w:rtl w:val="0"/>
        </w:rPr>
        <w:t>•  Use business acceptance and measurable technical gates (reconciliation, independent security testing, performance, disaster recovery, user acceptance testing) as the condition for go-live and next-quarter budget release.</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283" w:right="0" w:hanging="142"/>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t>•  Review the cost model every quarter using actual salary, cloud unit cost, artificial-intelligence cost per food log, SMS cost per active patient, and storage/content-delivery cost per active user.</w:t>
      </w:r>
    </w:p>
    <w:p w:rsidR="00000000" w:rsidDel="00000000" w:rsidP="00000000" w:rsidRDefault="00000000" w:rsidRPr="00000000" w14:paraId="0000025B">
      <w:pPr>
        <w:pStyle w:val="Heading1"/>
        <w:spacing w:after="80" w:lineRule="auto" w:before="120"/>
        <w:rPr/>
      </w:pPr>
      <w:r w:rsidDel="00000000" w:rsidR="00000000" w:rsidRPr="00000000">
        <w:rPr>
          <w:rtl w:val="0"/>
        </w:rPr>
        <w:t xml:space="preserve">Appendix A - Budget Formula &amp; Reforecast Method</w:t>
      </w:r>
    </w:p>
    <w:tbl>
      <w:tblPr>
        <w:tblStyle w:val="Table23"/>
        <w:tblW w:w="15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8"/>
        <w:gridCol w:w="5008"/>
        <w:gridCol w:w="5008"/>
        <w:tblGridChange w:id="0">
          <w:tblGrid>
            <w:gridCol w:w="5008"/>
            <w:gridCol w:w="5008"/>
            <w:gridCol w:w="5008"/>
          </w:tblGrid>
        </w:tblGridChange>
      </w:tblGrid>
      <w:tr>
        <w:trPr>
          <w:cantSplit w:val="1"/>
          <w:tblHeader w:val="1"/>
        </w:trPr>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6"/>
                <w:u w:val="none"/>
                <w:shd w:fill="auto" w:val="clear"/>
                <w:vertAlign w:val="baseline"/>
                <w:rtl w:val="0"/>
              </w:rPr>
              <w:t xml:space="preserve">Cost Driver</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6"/>
                <w:u w:val="none"/>
                <w:shd w:fill="auto" w:val="clear"/>
                <w:vertAlign w:val="baseline"/>
                <w:rtl w:val="0"/>
              </w:rPr>
              <w:t xml:space="preserve">Formula</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1f4e78" w:val="clear"/>
            <w:vAlign w:val="cente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ffffff"/>
                <w:sz w:val="16"/>
                <w:szCs w:val="16"/>
                <w:u w:val="none"/>
                <w:shd w:fill="auto" w:val="clear"/>
                <w:vertAlign w:val="baseline"/>
                <w:rtl w:val="0"/>
              </w:rPr>
              <w:t xml:space="preserve">Control</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People cost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Sum(role count x monthly rate x active months) + 15% in-house loading</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Reforecast on hiring date/rate changes; no separate PO/Data-AI and machine learning/moderator team members in baseline</w:t>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Cloud cost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
              <w:t>Application servers + database + cache/messaging + object storage/content delivery + backup/disaster recovery</w:t>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Track actual monthly unit cost; forecast from active users/content volume</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AI cost</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Recognition API calls x unit price + nutrition data + model serving compute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Track cost per confirmed food-log and cache hit rate</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Communication</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SMS/WhatsApp/email message volume x unit rate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6f8fa" w:val="clear"/>
            <w:vAlign w:val="cente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Track messages per active customer/patient</w:t>
            </w:r>
            <w:r w:rsidDel="00000000" w:rsidR="00000000" w:rsidRPr="00000000">
              <w:rPr>
                <w:rtl w:val="0"/>
              </w:rPr>
            </w:r>
          </w:p>
        </w:tc>
      </w:tr>
      <w:tr>
        <w:trPr>
          <w:cantSplit w:val="1"/>
          <w:tblHeader w:val="0"/>
        </w:trPr>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Contingency</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12% of approved baseline</w:t>
            </w:r>
            <w:r w:rsidDel="00000000" w:rsidR="00000000" w:rsidRPr="00000000">
              <w:rPr>
                <w:rtl w:val="0"/>
              </w:rPr>
            </w:r>
          </w:p>
        </w:tc>
        <w:tc>
          <w:tcPr>
            <w:tcBorders>
              <w:top w:color="b9c3cc" w:space="0" w:sz="4" w:val="single"/>
              <w:left w:color="b9c3cc" w:space="0" w:sz="4" w:val="single"/>
              <w:bottom w:color="b9c3cc" w:space="0" w:sz="4" w:val="single"/>
              <w:right w:color="b9c3cc" w:space="0" w:sz="4" w:val="single"/>
            </w:tcBorders>
            <w:shd w:fill="ffffff" w:val="clear"/>
            <w:vAlign w:val="center"/>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Liberation Sans" w:cs="Liberation Sans" w:eastAsia="Liberation Sans" w:hAnsi="Liberation Sans"/>
                <w:b w:val="0"/>
                <w:bCs w:val="0"/>
                <w:i w:val="0"/>
                <w:iCs w:val="0"/>
                <w:smallCaps w:val="0"/>
                <w:strike w:val="0"/>
                <w:color w:val="000000"/>
                <w:sz w:val="17"/>
                <w:szCs w:val="17"/>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203040"/>
                <w:sz w:val="16"/>
                <w:szCs w:val="16"/>
                <w:u w:val="none"/>
                <w:shd w:fill="auto" w:val="clear"/>
                <w:vertAlign w:val="baseline"/>
                <w:rtl w:val="0"/>
              </w:rPr>
              <w:t xml:space="preserve">Not part of team discretionary spend; requires change/risk approval</w:t>
            </w:r>
            <w:r w:rsidDel="00000000" w:rsidR="00000000" w:rsidRPr="00000000">
              <w:rPr>
                <w:rtl w:val="0"/>
              </w:rPr>
            </w:r>
          </w:p>
        </w:tc>
      </w:tr>
    </w:tbl>
    <w:p w:rsidR="00000000" w:rsidDel="00000000" w:rsidP="00000000" w:rsidRDefault="00000000" w:rsidRPr="00000000" w14:paraId="0000026E">
      <w:pPr>
        <w:spacing w:after="20" w:lineRule="auto"/>
        <w:rPr/>
      </w:pPr>
      <w:r w:rsidDel="00000000" w:rsidR="00000000" w:rsidRPr="00000000">
        <w:rPr>
          <w:rtl w:val="0"/>
        </w:rPr>
      </w:r>
    </w:p>
    <w:p>
      <w:pPr>
        <w:keepNext w:val="0"/>
        <w:keepLines w:val="0"/>
        <w:spacing w:before="40" w:after="40"/>
        <w:shd w:fill="EEF6EC"/>
        <w:pBdr>
          <w:top w:val="single" w:sz="4" w:space="2" w:color="D6A84A"/>
          <w:left w:val="single" w:sz="4" w:space="2" w:color="D6A84A"/>
          <w:bottom w:val="single" w:sz="4" w:space="2" w:color="D6A84A"/>
          <w:right w:val="single" w:sz="4" w:space="2" w:color="D6A84A"/>
        </w:pBdr>
      </w:pPr>
      <w:r>
        <w:t>Final validation checklist. Before approval, Finance and Human Resources should validate salary bands. Procurement should obtain quotations for Odoo Community Edition implementation/hosting/support, artificial-intelligence services, SMS, cloud infrastructure and independent security testing. Business Owners should confirm the Excel migration volumes and POS/Inventory rules. The Odoo pilot must validate sales, payments, stock, returns and reconciliation. ERP report totals must match the source systems. Legal/Compliance should confirm health-data residency and consent requirements. Any material variance should be included in the next quarterly budget review.</w:t>
      </w:r>
    </w:p>
    <w:p w:rsidR="00000000" w:rsidDel="00000000" w:rsidP="00000000" w:rsidRDefault="00000000" w:rsidRPr="00000000" w14:paraId="00000270">
      <w:pPr>
        <w:spacing w:after="20" w:lineRule="auto"/>
        <w:rPr/>
      </w:pPr>
      <w:r w:rsidDel="00000000" w:rsidR="00000000" w:rsidRPr="00000000">
        <w:rPr>
          <w:rtl w:val="0"/>
        </w:rPr>
      </w:r>
    </w:p>
    <w:sectPr>
      <w:headerReference r:id="rId7" w:type="default"/>
      <w:footerReference r:id="rId8" w:type="default"/>
      <w:pgSz w:h="11906" w:w="16838" w:orient="landscape"/>
      <w:pgMar w:bottom="794" w:top="85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Liberation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Liberation Sans" w:cs="Liberation Sans" w:eastAsia="Liberation Sans" w:hAnsi="Liberation Sans"/>
        <w:b w:val="0"/>
        <w:bCs w:val="0"/>
        <w:i w:val="0"/>
        <w:iCs w:val="0"/>
        <w:smallCaps w:val="0"/>
        <w:strike w:val="0"/>
        <w:color w:val="000000"/>
        <w:sz w:val="18"/>
        <w:szCs w:val="18"/>
        <w:u w:val="none"/>
        <w:shd w:fill="auto" w:val="clear"/>
        <w:vertAlign w:val="baseline"/>
      </w:rPr>
    </w:pPr>
    <w:r w:rsidDel="00000000" w:rsidR="00000000" w:rsidRPr="00000000">
      <w:rPr>
        <w:rFonts w:ascii="Liberation Sans" w:cs="Liberation Sans" w:eastAsia="Liberation Sans" w:hAnsi="Liberation Sans"/>
        <w:b w:val="0"/>
        <w:bCs w:val="0"/>
        <w:i w:val="0"/>
        <w:iCs w:val="0"/>
        <w:smallCaps w:val="0"/>
        <w:strike w:val="0"/>
        <w:color w:val="5f6b76"/>
        <w:sz w:val="15"/>
        <w:szCs w:val="15"/>
        <w:u w:val="none"/>
        <w:shd w:fill="auto" w:val="clear"/>
        <w:vertAlign w:val="baseline"/>
        <w:rtl w:val="0"/>
      </w:rPr>
      <w:t xml:space="preserve">Confidential  |  September 2026  |  Planning-level budget - subject to HR/vendor validation</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Liberation Sans" w:cs="Liberation Sans" w:eastAsia="Liberation Sans" w:hAnsi="Liberation Sans"/>
        <w:b w:val="0"/>
        <w:bCs w:val="0"/>
        <w:i w:val="0"/>
        <w:iCs w:val="0"/>
        <w:smallCaps w:val="0"/>
        <w:strike w:val="0"/>
        <w:color w:val="000000"/>
        <w:sz w:val="18"/>
        <w:szCs w:val="18"/>
        <w:u w:val="none"/>
        <w:shd w:fill="auto" w:val="clear"/>
        <w:vertAlign w:val="baseline"/>
      </w:rPr>
    </w:pPr>
    <w:r>
      <w:rPr>
        <w:rFonts w:ascii="Arial" w:hAnsi="Arial"/>
        <w:color w:val="5B6978"/>
        <w:sz w:val="16"/>
      </w:rPr>
      <w:t>JK Lifestyle Digital Ecosystem - Technical Architecture, Execution &amp; Costing Plan</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ans" w:cs="Liberation Sans" w:eastAsia="Liberation Sans" w:hAnsi="Liberation Sans"/>
        <w:sz w:val="18"/>
        <w:szCs w:val="1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Liberation Sans" w:cs="Liberation Sans" w:eastAsia="Liberation Sans" w:hAnsi="Liberation Sans"/>
      <w:b w:val="1"/>
      <w:bCs w:val="1"/>
      <w:color w:val="1f4e78"/>
      <w:sz w:val="36"/>
      <w:szCs w:val="36"/>
    </w:rPr>
  </w:style>
  <w:style w:type="paragraph" w:styleId="Heading2">
    <w:name w:val="heading 2"/>
    <w:basedOn w:val="Normal"/>
    <w:next w:val="Normal"/>
    <w:pPr>
      <w:keepNext w:val="1"/>
      <w:keepLines w:val="1"/>
      <w:spacing w:after="0" w:before="200" w:lineRule="auto"/>
    </w:pPr>
    <w:rPr>
      <w:rFonts w:ascii="Liberation Sans" w:cs="Liberation Sans" w:eastAsia="Liberation Sans" w:hAnsi="Liberation Sans"/>
      <w:b w:val="1"/>
      <w:bCs w:val="1"/>
      <w:color w:val="203040"/>
      <w:sz w:val="27"/>
      <w:szCs w:val="27"/>
    </w:rPr>
  </w:style>
  <w:style w:type="paragraph" w:styleId="Heading3">
    <w:name w:val="heading 3"/>
    <w:basedOn w:val="Normal"/>
    <w:next w:val="Normal"/>
    <w:pPr>
      <w:keepNext w:val="1"/>
      <w:keepLines w:val="1"/>
      <w:spacing w:after="0" w:before="200" w:lineRule="auto"/>
    </w:pPr>
    <w:rPr>
      <w:rFonts w:ascii="Liberation Sans" w:cs="Liberation Sans" w:eastAsia="Liberation Sans" w:hAnsi="Liberation Sans"/>
      <w:b w:val="1"/>
      <w:bCs w:val="1"/>
      <w:color w:val="c58a22"/>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Liberation Sans" w:cs="Liberation Sans" w:eastAsia="Liberation Sans" w:hAnsi="Liberation Sans"/>
      <w:b w:val="1"/>
      <w:bCs w:val="1"/>
      <w:color w:val="1f4e78"/>
      <w:sz w:val="56"/>
      <w:szCs w:val="5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Compact" w:customStyle="1">
    <w:name w:val="Compact"/>
    <w:pPr>
      <w:spacing w:after="40" w:line="240" w:lineRule="auto"/>
    </w:pPr>
    <w:rPr>
      <w:rFonts w:ascii="Liberation Sans" w:hAnsi="Liberation Sans"/>
      <w:sz w:val="17"/>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id1l5UTJ7gQRSyy0RfStfQ7poQ==">CgMxLjA4AHIhMTQwdWdfNDgtNnN3dFZRVDNXLS03M0ZoVHRZWnBUcjE1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Technical Architecture Planning</dc:creator>
</cp:coreProperties>
</file>