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6007" w14:textId="2E92E01F" w:rsidR="009D5569" w:rsidRPr="0029507C" w:rsidRDefault="00137A90" w:rsidP="00137A90">
      <w:pPr>
        <w:rPr>
          <w:b/>
          <w:bCs/>
          <w:lang w:val="de-DE"/>
        </w:rPr>
      </w:pPr>
      <w:r w:rsidRPr="0029507C">
        <w:rPr>
          <w:b/>
          <w:bCs/>
        </w:rPr>
        <w:t>SAMAR: Symbolic Arabic Music Generation via Attention-Based Robust Control</w:t>
      </w:r>
    </w:p>
    <w:p w14:paraId="2AB291B6" w14:textId="38A961AB" w:rsidR="00137A90" w:rsidRDefault="00137A90" w:rsidP="00137A90">
      <w:pPr>
        <w:rPr>
          <w:lang w:val="de-DE"/>
        </w:rPr>
      </w:pPr>
      <w:r>
        <w:rPr>
          <w:lang w:val="de-DE"/>
        </w:rPr>
        <w:t>By Zaher Alkaei</w:t>
      </w:r>
    </w:p>
    <w:p w14:paraId="16938EDA" w14:textId="77777777" w:rsidR="00137A90" w:rsidRDefault="00137A90" w:rsidP="00137A90">
      <w:pPr>
        <w:rPr>
          <w:lang w:val="de-DE"/>
        </w:rPr>
      </w:pPr>
    </w:p>
    <w:p w14:paraId="551A9B91" w14:textId="1ED57E4D" w:rsidR="00137A90" w:rsidRDefault="00137A90" w:rsidP="00137A90">
      <w:pPr>
        <w:rPr>
          <w:lang w:val="de-DE"/>
        </w:rPr>
      </w:pPr>
      <w:r>
        <w:rPr>
          <w:lang w:val="de-DE"/>
        </w:rPr>
        <w:t>Abstract</w:t>
      </w:r>
    </w:p>
    <w:p w14:paraId="53805463" w14:textId="189A9CF7" w:rsidR="0029507C" w:rsidRPr="0029507C" w:rsidRDefault="0029507C" w:rsidP="0029507C">
      <w:pPr>
        <w:rPr>
          <w:lang w:val="en-US"/>
        </w:rPr>
      </w:pPr>
      <w:r w:rsidRPr="0029507C">
        <w:rPr>
          <w:lang w:val="en-US"/>
        </w:rPr>
        <w:t xml:space="preserve">Recent research in music generation has made significant strides, especially with the rise of deep generative models. This work contributes to the growing interest in controllable symbolic music generation, focusing on user-driven input through language conditioning. I present </w:t>
      </w:r>
      <w:r w:rsidRPr="0029507C">
        <w:rPr>
          <w:b/>
          <w:bCs/>
          <w:lang w:val="en-US"/>
        </w:rPr>
        <w:t>SAMAR</w:t>
      </w:r>
      <w:r w:rsidRPr="0029507C">
        <w:rPr>
          <w:lang w:val="en-US"/>
        </w:rPr>
        <w:t xml:space="preserve">, a Transformer-based conditional model trained to generate symbolic music from sequences of high-level textual control codes. Inspired by von </w:t>
      </w:r>
      <w:proofErr w:type="spellStart"/>
      <w:r w:rsidRPr="0029507C">
        <w:rPr>
          <w:lang w:val="en-US"/>
        </w:rPr>
        <w:t>Rütte</w:t>
      </w:r>
      <w:proofErr w:type="spellEnd"/>
      <w:r w:rsidRPr="0029507C">
        <w:rPr>
          <w:lang w:val="en-US"/>
        </w:rPr>
        <w:t xml:space="preserve"> et al.'s</w:t>
      </w:r>
      <w:r w:rsidR="001F5CE8">
        <w:rPr>
          <w:lang w:val="en-US"/>
        </w:rPr>
        <w:t xml:space="preserve"> </w:t>
      </w:r>
      <w:r w:rsidRPr="0029507C">
        <w:rPr>
          <w:lang w:val="en-US"/>
        </w:rPr>
        <w:t>FIGARO system (2023), I adopt a description-to-sequence approach, framing music generation as a sequence-to-sequence task grounded in natural language input.</w:t>
      </w:r>
    </w:p>
    <w:p w14:paraId="0C80FA6A" w14:textId="77777777" w:rsidR="0029507C" w:rsidRPr="0029507C" w:rsidRDefault="0029507C" w:rsidP="0029507C">
      <w:pPr>
        <w:rPr>
          <w:lang w:val="en-US"/>
        </w:rPr>
      </w:pPr>
      <w:r w:rsidRPr="0029507C">
        <w:rPr>
          <w:lang w:val="en-US"/>
        </w:rPr>
        <w:t>To better reflect the nuances of Middle Eastern music, the symbolic representation is extended to include microtonal information using 24-tone equal temperament (24 EDO), where the octave is divided into 24 steps to account for quarter tones. In addition, I propose a set of domain-informed evaluation metrics for more musically meaningful assessment of the generated output.</w:t>
      </w:r>
    </w:p>
    <w:p w14:paraId="6609D19F" w14:textId="4AC2084A" w:rsidR="00137A90" w:rsidRDefault="0029507C" w:rsidP="0029507C">
      <w:pPr>
        <w:rPr>
          <w:lang w:val="en-US"/>
        </w:rPr>
      </w:pPr>
      <w:r w:rsidRPr="0029507C">
        <w:rPr>
          <w:lang w:val="en-US"/>
        </w:rPr>
        <w:t xml:space="preserve">As part of this work, I also </w:t>
      </w:r>
      <w:proofErr w:type="gramStart"/>
      <w:r w:rsidRPr="0029507C">
        <w:rPr>
          <w:lang w:val="en-US"/>
        </w:rPr>
        <w:t>release</w:t>
      </w:r>
      <w:proofErr w:type="gramEnd"/>
      <w:r w:rsidRPr="0029507C">
        <w:rPr>
          <w:lang w:val="en-US"/>
        </w:rPr>
        <w:t xml:space="preserve"> a curated </w:t>
      </w:r>
      <w:r w:rsidRPr="0029507C">
        <w:rPr>
          <w:b/>
          <w:bCs/>
          <w:lang w:val="en-US"/>
        </w:rPr>
        <w:t>Symbolic Arabic Music Dataset</w:t>
      </w:r>
      <w:r>
        <w:rPr>
          <w:b/>
          <w:bCs/>
          <w:lang w:val="en-US"/>
        </w:rPr>
        <w:t xml:space="preserve"> (SAMD)</w:t>
      </w:r>
      <w:r w:rsidRPr="0029507C">
        <w:rPr>
          <w:lang w:val="en-US"/>
        </w:rPr>
        <w:t>, which includes annotated, microtonal MIDI files and serves as a resource for future research in Arabic music generation and computational musicology.</w:t>
      </w:r>
    </w:p>
    <w:p w14:paraId="6BBAD75E" w14:textId="77777777" w:rsidR="0029507C" w:rsidRDefault="0029507C" w:rsidP="0029507C">
      <w:pPr>
        <w:rPr>
          <w:lang w:val="en-US"/>
        </w:rPr>
      </w:pPr>
    </w:p>
    <w:p w14:paraId="7389280F" w14:textId="77777777" w:rsidR="00E12B10" w:rsidRPr="00E12B10" w:rsidRDefault="00E12B10" w:rsidP="00E12B10">
      <w:pPr>
        <w:rPr>
          <w:b/>
          <w:bCs/>
          <w:lang w:val="en-US"/>
        </w:rPr>
      </w:pPr>
      <w:r w:rsidRPr="00E12B10">
        <w:rPr>
          <w:b/>
          <w:bCs/>
          <w:lang w:val="en-US"/>
        </w:rPr>
        <w:t>Introduction</w:t>
      </w:r>
    </w:p>
    <w:p w14:paraId="6FD2C3E7" w14:textId="77777777" w:rsidR="00E12B10" w:rsidRPr="00E12B10" w:rsidRDefault="00E12B10" w:rsidP="00E12B10">
      <w:pPr>
        <w:rPr>
          <w:lang w:val="en-US"/>
        </w:rPr>
      </w:pPr>
      <w:r w:rsidRPr="00E12B10">
        <w:rPr>
          <w:lang w:val="en-US"/>
        </w:rPr>
        <w:t>Creating music is a creative task that is challenging to model and imitate. There have been many approaches, dating back centuries, to generate music automatically. Scholars, researchers, and composers have used a wide range of methods to achieve this goal—probabilistic models, rule-based systems, mechanical devices, generative grammars, genetic and evolutionary algorithms, and deep learning techniques.</w:t>
      </w:r>
    </w:p>
    <w:p w14:paraId="03B269E3" w14:textId="77777777" w:rsidR="00E12B10" w:rsidRPr="00E12B10" w:rsidRDefault="00E12B10" w:rsidP="00E12B10">
      <w:pPr>
        <w:rPr>
          <w:lang w:val="en-US"/>
        </w:rPr>
      </w:pPr>
    </w:p>
    <w:p w14:paraId="6E94CB68" w14:textId="77777777" w:rsidR="00E12B10" w:rsidRPr="00E12B10" w:rsidRDefault="00E12B10" w:rsidP="00E12B10">
      <w:pPr>
        <w:rPr>
          <w:lang w:val="en-US"/>
        </w:rPr>
      </w:pPr>
      <w:r w:rsidRPr="00E12B10">
        <w:rPr>
          <w:lang w:val="en-US"/>
        </w:rPr>
        <w:t xml:space="preserve">Deep learning has been significantly advanced by the invention of </w:t>
      </w:r>
      <w:proofErr w:type="gramStart"/>
      <w:r w:rsidRPr="00E12B10">
        <w:rPr>
          <w:lang w:val="en-US"/>
        </w:rPr>
        <w:t>the Transformer</w:t>
      </w:r>
      <w:proofErr w:type="gramEnd"/>
      <w:r w:rsidRPr="00E12B10">
        <w:rPr>
          <w:lang w:val="en-US"/>
        </w:rPr>
        <w:t xml:space="preserve"> architecture, which introduced new capabilities for generative models. Yet, controllability in music generation remains a challenging topic. In this work, I focus on symbolic music generation as opposed to audio generation, because I believe symbolic representations offer valuable insights due to their interpretability through musical scores. Moreover, training large-scale audio generative systems exceeds the computational capacity available to most individual researchers.</w:t>
      </w:r>
    </w:p>
    <w:p w14:paraId="5D4C397C" w14:textId="77777777" w:rsidR="00E12B10" w:rsidRPr="00E12B10" w:rsidRDefault="00E12B10" w:rsidP="00E12B10">
      <w:pPr>
        <w:rPr>
          <w:lang w:val="en-US"/>
        </w:rPr>
      </w:pPr>
    </w:p>
    <w:p w14:paraId="504628AE" w14:textId="77777777" w:rsidR="00E12B10" w:rsidRPr="00E12B10" w:rsidRDefault="00E12B10" w:rsidP="00E12B10">
      <w:pPr>
        <w:rPr>
          <w:b/>
          <w:bCs/>
          <w:lang w:val="en-US"/>
        </w:rPr>
      </w:pPr>
      <w:r w:rsidRPr="00E12B10">
        <w:rPr>
          <w:b/>
          <w:bCs/>
          <w:lang w:val="en-US"/>
        </w:rPr>
        <w:t>Related Work</w:t>
      </w:r>
    </w:p>
    <w:p w14:paraId="2E9384DC" w14:textId="77777777" w:rsidR="00E12B10" w:rsidRPr="00E12B10" w:rsidRDefault="00E12B10" w:rsidP="00E12B10">
      <w:pPr>
        <w:rPr>
          <w:lang w:val="en-US"/>
        </w:rPr>
      </w:pPr>
      <w:r w:rsidRPr="00E12B10">
        <w:rPr>
          <w:lang w:val="en-US"/>
        </w:rPr>
        <w:t xml:space="preserve">There has been extensive work in the field of symbolic music generation. However, </w:t>
      </w:r>
      <w:proofErr w:type="gramStart"/>
      <w:r w:rsidRPr="00E12B10">
        <w:rPr>
          <w:lang w:val="en-US"/>
        </w:rPr>
        <w:t>controllability remains</w:t>
      </w:r>
      <w:proofErr w:type="gramEnd"/>
      <w:r w:rsidRPr="00E12B10">
        <w:rPr>
          <w:lang w:val="en-US"/>
        </w:rPr>
        <w:t xml:space="preserve"> an under-researched aspect. Non-Western music is still rarely studied, and even datasets for non-classical Western music are limited.</w:t>
      </w:r>
    </w:p>
    <w:p w14:paraId="6C5CCA1B" w14:textId="77777777" w:rsidR="00E12B10" w:rsidRPr="00E12B10" w:rsidRDefault="00E12B10" w:rsidP="00E12B10">
      <w:pPr>
        <w:rPr>
          <w:lang w:val="en-US"/>
        </w:rPr>
      </w:pPr>
    </w:p>
    <w:p w14:paraId="3EC25403" w14:textId="77777777" w:rsidR="00E12B10" w:rsidRPr="00E12B10" w:rsidRDefault="00E12B10" w:rsidP="00E12B10">
      <w:pPr>
        <w:rPr>
          <w:b/>
          <w:bCs/>
          <w:lang w:val="en-US"/>
        </w:rPr>
      </w:pPr>
      <w:r w:rsidRPr="00E12B10">
        <w:rPr>
          <w:b/>
          <w:bCs/>
          <w:lang w:val="en-US"/>
        </w:rPr>
        <w:t>Methods</w:t>
      </w:r>
    </w:p>
    <w:p w14:paraId="401DC7A3" w14:textId="77777777" w:rsidR="00E12B10" w:rsidRPr="00E12B10" w:rsidRDefault="00E12B10" w:rsidP="00E12B10">
      <w:pPr>
        <w:rPr>
          <w:b/>
          <w:bCs/>
          <w:lang w:val="en-US"/>
        </w:rPr>
      </w:pPr>
      <w:r w:rsidRPr="00E12B10">
        <w:rPr>
          <w:b/>
          <w:bCs/>
          <w:lang w:val="en-US"/>
        </w:rPr>
        <w:t>Description extraction</w:t>
      </w:r>
    </w:p>
    <w:p w14:paraId="51809C2B" w14:textId="155EAADF" w:rsidR="00E12B10" w:rsidRDefault="000C25B4" w:rsidP="00E12B10">
      <w:pPr>
        <w:rPr>
          <w:lang w:val="en-US"/>
        </w:rPr>
      </w:pPr>
      <w:r w:rsidRPr="000C25B4">
        <w:rPr>
          <w:lang w:val="en-US"/>
        </w:rPr>
        <w:t>global and fine-grained control</w:t>
      </w:r>
    </w:p>
    <w:p w14:paraId="57DF84EA" w14:textId="77777777" w:rsidR="001F5CE8" w:rsidRDefault="001F5CE8" w:rsidP="00E12B10">
      <w:pPr>
        <w:rPr>
          <w:lang w:val="en-US"/>
        </w:rPr>
      </w:pPr>
    </w:p>
    <w:p w14:paraId="6604A661" w14:textId="6BCCAB1E" w:rsidR="001F5CE8" w:rsidRPr="001F5CE8" w:rsidRDefault="001F5CE8" w:rsidP="001F5CE8">
      <w:pPr>
        <w:rPr>
          <w:color w:val="FF0000"/>
          <w:lang w:val="en-US"/>
        </w:rPr>
      </w:pPr>
      <w:r w:rsidRPr="0029507C">
        <w:rPr>
          <w:lang w:val="en-US"/>
        </w:rPr>
        <w:t xml:space="preserve">von </w:t>
      </w:r>
      <w:proofErr w:type="spellStart"/>
      <w:r w:rsidRPr="0029507C">
        <w:rPr>
          <w:lang w:val="en-US"/>
        </w:rPr>
        <w:t>Rütte</w:t>
      </w:r>
      <w:proofErr w:type="spellEnd"/>
      <w:r w:rsidRPr="0029507C">
        <w:rPr>
          <w:lang w:val="en-US"/>
        </w:rPr>
        <w:t xml:space="preserve"> et al.'s</w:t>
      </w:r>
      <w:r w:rsidRPr="001F5CE8">
        <w:rPr>
          <w:lang w:val="en-US"/>
        </w:rPr>
        <w:t xml:space="preserve"> </w:t>
      </w:r>
      <w:r>
        <w:rPr>
          <w:lang w:val="en-US"/>
        </w:rPr>
        <w:t xml:space="preserve">point out that </w:t>
      </w:r>
      <w:r w:rsidRPr="001F5CE8">
        <w:rPr>
          <w:color w:val="FF0000"/>
          <w:lang w:val="en-US"/>
        </w:rPr>
        <w:t>w</w:t>
      </w:r>
      <w:r w:rsidRPr="001F5CE8">
        <w:rPr>
          <w:color w:val="FF0000"/>
          <w:lang w:val="en-US"/>
        </w:rPr>
        <w:t>hile the expert description is human-friendly and interpretable, it has two major limitations:</w:t>
      </w:r>
      <w:r w:rsidRPr="001F5CE8">
        <w:rPr>
          <w:color w:val="FF0000"/>
          <w:lang w:val="en-US"/>
        </w:rPr>
        <w:t xml:space="preserve"> </w:t>
      </w:r>
      <w:r w:rsidRPr="001F5CE8">
        <w:rPr>
          <w:color w:val="FF0000"/>
          <w:lang w:val="en-US"/>
        </w:rPr>
        <w:t>Low fidelity:</w:t>
      </w:r>
    </w:p>
    <w:p w14:paraId="5B6FCB00" w14:textId="77777777" w:rsidR="001F5CE8" w:rsidRPr="001F5CE8" w:rsidRDefault="001F5CE8" w:rsidP="001F5CE8">
      <w:pPr>
        <w:rPr>
          <w:color w:val="FF0000"/>
          <w:lang w:val="en-US"/>
        </w:rPr>
      </w:pPr>
      <w:r w:rsidRPr="001F5CE8">
        <w:rPr>
          <w:color w:val="FF0000"/>
          <w:lang w:val="en-US"/>
        </w:rPr>
        <w:t>It only captures broad, coarse-grained features (like average pitch or general chord labels), and misses the fine musical details (e.g., exact note timing, expressive nuances).</w:t>
      </w:r>
    </w:p>
    <w:p w14:paraId="1982E2A4" w14:textId="098F6ED0" w:rsidR="001F5CE8" w:rsidRPr="001F5CE8" w:rsidRDefault="001F5CE8" w:rsidP="001F5CE8">
      <w:pPr>
        <w:rPr>
          <w:color w:val="FF0000"/>
          <w:lang w:val="en-US"/>
        </w:rPr>
      </w:pPr>
      <w:r w:rsidRPr="001F5CE8">
        <w:rPr>
          <w:color w:val="FF0000"/>
          <w:lang w:val="en-US"/>
        </w:rPr>
        <w:t>Non-injectivity:</w:t>
      </w:r>
      <w:r w:rsidRPr="001F5CE8">
        <w:rPr>
          <w:color w:val="FF0000"/>
          <w:lang w:val="en-US"/>
        </w:rPr>
        <w:t xml:space="preserve"> </w:t>
      </w:r>
      <w:r w:rsidRPr="001F5CE8">
        <w:rPr>
          <w:color w:val="FF0000"/>
          <w:lang w:val="en-US"/>
        </w:rPr>
        <w:t>Many different musical sequences can result in the same expert description, meaning the description is not uniquely identifying. This makes reconstruction harder.</w:t>
      </w:r>
    </w:p>
    <w:p w14:paraId="75CEC816" w14:textId="04A68701" w:rsidR="001F5CE8" w:rsidRPr="00E12B10" w:rsidRDefault="001F5CE8" w:rsidP="001F5CE8">
      <w:pPr>
        <w:rPr>
          <w:lang w:val="en-US"/>
        </w:rPr>
      </w:pPr>
      <w:r>
        <w:rPr>
          <w:lang w:val="en-US"/>
        </w:rPr>
        <w:t xml:space="preserve">They show that using both descriptions yields best results. </w:t>
      </w:r>
    </w:p>
    <w:p w14:paraId="4DF4034C" w14:textId="77777777" w:rsidR="00E12B10" w:rsidRPr="00E12B10" w:rsidRDefault="00E12B10" w:rsidP="00E12B10">
      <w:pPr>
        <w:rPr>
          <w:b/>
          <w:bCs/>
          <w:lang w:val="en-US"/>
        </w:rPr>
      </w:pPr>
      <w:r w:rsidRPr="00E12B10">
        <w:rPr>
          <w:b/>
          <w:bCs/>
          <w:lang w:val="en-US"/>
        </w:rPr>
        <w:t>Model configuration</w:t>
      </w:r>
    </w:p>
    <w:p w14:paraId="252F671C" w14:textId="70016FC3" w:rsidR="00E12B10" w:rsidRPr="00315F18" w:rsidRDefault="00315F18" w:rsidP="00E12B10">
      <w:pPr>
        <w:rPr>
          <w:b/>
          <w:bCs/>
          <w:lang w:val="en-US"/>
        </w:rPr>
      </w:pPr>
      <w:r w:rsidRPr="00315F18">
        <w:rPr>
          <w:b/>
          <w:bCs/>
          <w:lang w:val="en-US"/>
        </w:rPr>
        <w:t>In FIGARO:</w:t>
      </w:r>
    </w:p>
    <w:p w14:paraId="5C868143" w14:textId="237EAE59" w:rsidR="00315F18" w:rsidRPr="00315F18" w:rsidRDefault="00315F18" w:rsidP="00315F18">
      <w:pPr>
        <w:rPr>
          <w:lang w:val="en-US"/>
        </w:rPr>
      </w:pPr>
      <w:r w:rsidRPr="00315F18">
        <w:rPr>
          <w:lang w:val="en-US"/>
        </w:rPr>
        <w:t xml:space="preserve">Expert-only: Uses </w:t>
      </w:r>
      <w:proofErr w:type="spellStart"/>
      <w:r w:rsidRPr="00315F18">
        <w:rPr>
          <w:lang w:val="en-US"/>
        </w:rPr>
        <w:t>F_expert</w:t>
      </w:r>
      <w:proofErr w:type="spellEnd"/>
      <w:r w:rsidRPr="00315F18">
        <w:rPr>
          <w:lang w:val="en-US"/>
        </w:rPr>
        <w:t>(x) (hand-crafted descriptions)</w:t>
      </w:r>
    </w:p>
    <w:p w14:paraId="0E56425F" w14:textId="4DF3601A" w:rsidR="00315F18" w:rsidRPr="00315F18" w:rsidRDefault="00315F18" w:rsidP="00315F18">
      <w:pPr>
        <w:rPr>
          <w:lang w:val="en-US"/>
        </w:rPr>
      </w:pPr>
      <w:r w:rsidRPr="00315F18">
        <w:rPr>
          <w:lang w:val="en-US"/>
        </w:rPr>
        <w:t xml:space="preserve">Learned-only: Uses </w:t>
      </w:r>
      <w:proofErr w:type="spellStart"/>
      <w:r w:rsidRPr="00315F18">
        <w:rPr>
          <w:lang w:val="en-US"/>
        </w:rPr>
        <w:t>F_learned</w:t>
      </w:r>
      <w:proofErr w:type="spellEnd"/>
      <w:r w:rsidRPr="00315F18">
        <w:rPr>
          <w:lang w:val="en-US"/>
        </w:rPr>
        <w:t>(x) (VQ-VAE descriptions)</w:t>
      </w:r>
    </w:p>
    <w:p w14:paraId="0C845B04" w14:textId="1E3CF48E" w:rsidR="00315F18" w:rsidRDefault="00315F18" w:rsidP="00315F18">
      <w:pPr>
        <w:rPr>
          <w:lang w:val="en-US"/>
        </w:rPr>
      </w:pPr>
      <w:r w:rsidRPr="00315F18">
        <w:rPr>
          <w:lang w:val="en-US"/>
        </w:rPr>
        <w:t>Combined: Uses both, by adding their token embeddings together.</w:t>
      </w:r>
    </w:p>
    <w:p w14:paraId="3A7DFFCA" w14:textId="77777777" w:rsidR="00315F18" w:rsidRPr="00315F18" w:rsidRDefault="00315F18" w:rsidP="00315F18">
      <w:pPr>
        <w:rPr>
          <w:b/>
          <w:bCs/>
          <w:lang w:val="en-US"/>
        </w:rPr>
      </w:pPr>
      <w:r w:rsidRPr="00315F18">
        <w:rPr>
          <w:b/>
          <w:bCs/>
          <w:lang w:val="en-US"/>
        </w:rPr>
        <w:t>VQ-VAE Model (for Learned Descriptions)</w:t>
      </w:r>
    </w:p>
    <w:p w14:paraId="693CE8CF" w14:textId="231409AE" w:rsidR="00315F18" w:rsidRPr="00315F18" w:rsidRDefault="00315F18" w:rsidP="00315F18">
      <w:pPr>
        <w:rPr>
          <w:lang w:val="en-US"/>
        </w:rPr>
      </w:pPr>
      <w:r>
        <w:rPr>
          <w:lang w:val="en-US"/>
        </w:rPr>
        <w:t>B</w:t>
      </w:r>
      <w:r w:rsidRPr="00315F18">
        <w:rPr>
          <w:lang w:val="en-US"/>
        </w:rPr>
        <w:t>ased on the Transformer autoencoder.</w:t>
      </w:r>
    </w:p>
    <w:p w14:paraId="2EA54B9F" w14:textId="136431AC" w:rsidR="00315F18" w:rsidRPr="00315F18" w:rsidRDefault="00315F18" w:rsidP="00315F18">
      <w:pPr>
        <w:rPr>
          <w:lang w:val="en-US"/>
        </w:rPr>
      </w:pPr>
      <w:r w:rsidRPr="00315F18">
        <w:rPr>
          <w:lang w:val="en-US"/>
        </w:rPr>
        <w:t>But adds a quantization bottleneck for discrete latent codes:</w:t>
      </w:r>
    </w:p>
    <w:p w14:paraId="070C38F5" w14:textId="1314789F" w:rsidR="00315F18" w:rsidRPr="00315F18" w:rsidRDefault="00315F18" w:rsidP="00315F18">
      <w:pPr>
        <w:rPr>
          <w:lang w:val="en-US"/>
        </w:rPr>
      </w:pPr>
      <w:r w:rsidRPr="00315F18">
        <w:rPr>
          <w:lang w:val="en-US"/>
        </w:rPr>
        <w:t>Each bar is compressed into 16 latent codes.</w:t>
      </w:r>
    </w:p>
    <w:p w14:paraId="7AF1BA76" w14:textId="77777777" w:rsidR="00315F18" w:rsidRPr="00315F18" w:rsidRDefault="00315F18" w:rsidP="00315F18">
      <w:pPr>
        <w:rPr>
          <w:lang w:val="en-US"/>
        </w:rPr>
      </w:pPr>
      <w:r w:rsidRPr="00315F18">
        <w:rPr>
          <w:lang w:val="en-US"/>
        </w:rPr>
        <w:t>The latent codes are selected from a shared codebook of size 2048.</w:t>
      </w:r>
    </w:p>
    <w:p w14:paraId="268B2832" w14:textId="77777777" w:rsidR="00315F18" w:rsidRPr="00315F18" w:rsidRDefault="00315F18" w:rsidP="00315F18">
      <w:pPr>
        <w:rPr>
          <w:lang w:val="en-US"/>
        </w:rPr>
      </w:pPr>
    </w:p>
    <w:p w14:paraId="4391CC39" w14:textId="55D9B0AD" w:rsidR="00315F18" w:rsidRPr="00315F18" w:rsidRDefault="00315F18" w:rsidP="00315F18">
      <w:pPr>
        <w:rPr>
          <w:b/>
          <w:bCs/>
          <w:lang w:val="en-US"/>
        </w:rPr>
      </w:pPr>
      <w:r w:rsidRPr="00315F18">
        <w:rPr>
          <w:b/>
          <w:bCs/>
          <w:lang w:val="en-US"/>
        </w:rPr>
        <w:t>Training Strategy</w:t>
      </w:r>
    </w:p>
    <w:p w14:paraId="02DFF787" w14:textId="1B5BB5F1" w:rsidR="00315F18" w:rsidRPr="00315F18" w:rsidRDefault="00315F18" w:rsidP="00315F18">
      <w:pPr>
        <w:rPr>
          <w:lang w:val="en-US"/>
        </w:rPr>
      </w:pPr>
      <w:r w:rsidRPr="00315F18">
        <w:rPr>
          <w:lang w:val="en-US"/>
        </w:rPr>
        <w:t>Step 1: Train the VQ-VAE separately on bar-level reconstruction tasks.</w:t>
      </w:r>
    </w:p>
    <w:p w14:paraId="6527AE16" w14:textId="77777777" w:rsidR="00315F18" w:rsidRPr="00315F18" w:rsidRDefault="00315F18" w:rsidP="00315F18">
      <w:pPr>
        <w:rPr>
          <w:lang w:val="en-US"/>
        </w:rPr>
      </w:pPr>
      <w:r w:rsidRPr="00315F18">
        <w:rPr>
          <w:lang w:val="en-US"/>
        </w:rPr>
        <w:t xml:space="preserve">Step 2: Freeze the VQ-VAE. Then use it to compute </w:t>
      </w:r>
      <w:proofErr w:type="spellStart"/>
      <w:r w:rsidRPr="00315F18">
        <w:rPr>
          <w:lang w:val="en-US"/>
        </w:rPr>
        <w:t>F_learned</w:t>
      </w:r>
      <w:proofErr w:type="spellEnd"/>
      <w:r w:rsidRPr="00315F18">
        <w:rPr>
          <w:lang w:val="en-US"/>
        </w:rPr>
        <w:t>(x) as input to the main description-to-sequence model.</w:t>
      </w:r>
    </w:p>
    <w:p w14:paraId="6EEAC046" w14:textId="486CDAD8" w:rsidR="00315F18" w:rsidRPr="00E12B10" w:rsidRDefault="00315F18" w:rsidP="00315F18">
      <w:pPr>
        <w:rPr>
          <w:lang w:val="en-US"/>
        </w:rPr>
      </w:pPr>
      <w:r w:rsidRPr="00315F18">
        <w:rPr>
          <w:lang w:val="en-US"/>
        </w:rPr>
        <w:t>Why freeze the VQ-VAE?</w:t>
      </w:r>
      <w:r>
        <w:rPr>
          <w:lang w:val="en-US"/>
        </w:rPr>
        <w:t xml:space="preserve"> </w:t>
      </w:r>
      <w:r w:rsidRPr="00315F18">
        <w:rPr>
          <w:lang w:val="en-US"/>
        </w:rPr>
        <w:t>This ensures the learned representation remains stable and consistent while training the generation model.</w:t>
      </w:r>
    </w:p>
    <w:p w14:paraId="26935140" w14:textId="77777777" w:rsidR="00E12B10" w:rsidRPr="00E12B10" w:rsidRDefault="00E12B10" w:rsidP="00E12B10">
      <w:pPr>
        <w:rPr>
          <w:b/>
          <w:bCs/>
          <w:lang w:val="en-US"/>
        </w:rPr>
      </w:pPr>
      <w:r w:rsidRPr="00E12B10">
        <w:rPr>
          <w:b/>
          <w:bCs/>
          <w:lang w:val="en-US"/>
        </w:rPr>
        <w:t>The Dataset</w:t>
      </w:r>
    </w:p>
    <w:p w14:paraId="3E16BC56" w14:textId="26EDD10F" w:rsidR="00E12B10" w:rsidRPr="00E12B10" w:rsidRDefault="00E12B10" w:rsidP="00E12B10">
      <w:pPr>
        <w:rPr>
          <w:lang w:val="en-US"/>
        </w:rPr>
      </w:pPr>
      <w:r w:rsidRPr="00E12B10">
        <w:rPr>
          <w:lang w:val="en-US"/>
        </w:rPr>
        <w:t>Collection process</w:t>
      </w:r>
    </w:p>
    <w:p w14:paraId="0944008B" w14:textId="77777777" w:rsidR="00E12B10" w:rsidRPr="00E12B10" w:rsidRDefault="00E12B10" w:rsidP="00E12B10">
      <w:pPr>
        <w:rPr>
          <w:lang w:val="en-US"/>
        </w:rPr>
      </w:pPr>
      <w:r w:rsidRPr="00E12B10">
        <w:rPr>
          <w:lang w:val="en-US"/>
        </w:rPr>
        <w:t>Structure</w:t>
      </w:r>
    </w:p>
    <w:p w14:paraId="10D58B0C" w14:textId="77777777" w:rsidR="00E12B10" w:rsidRPr="00E12B10" w:rsidRDefault="00E12B10" w:rsidP="00E12B10">
      <w:pPr>
        <w:rPr>
          <w:lang w:val="en-US"/>
        </w:rPr>
      </w:pPr>
    </w:p>
    <w:p w14:paraId="2BED19E6" w14:textId="404776F1" w:rsidR="00E12B10" w:rsidRPr="00E12B10" w:rsidRDefault="00E12B10" w:rsidP="00E12B10">
      <w:pPr>
        <w:rPr>
          <w:b/>
          <w:bCs/>
          <w:lang w:val="en-US"/>
        </w:rPr>
      </w:pPr>
      <w:r w:rsidRPr="00E12B10">
        <w:rPr>
          <w:b/>
          <w:bCs/>
          <w:lang w:val="en-US"/>
        </w:rPr>
        <w:lastRenderedPageBreak/>
        <w:t>Evaluation</w:t>
      </w:r>
      <w:r w:rsidRPr="00E12B10">
        <w:rPr>
          <w:b/>
          <w:bCs/>
          <w:lang w:val="en-US"/>
        </w:rPr>
        <w:t xml:space="preserve"> </w:t>
      </w:r>
      <w:r w:rsidRPr="00E12B10">
        <w:rPr>
          <w:b/>
          <w:bCs/>
          <w:lang w:val="en-US"/>
        </w:rPr>
        <w:t>Metrics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742"/>
        <w:gridCol w:w="30"/>
        <w:gridCol w:w="2111"/>
        <w:gridCol w:w="1034"/>
        <w:gridCol w:w="1719"/>
        <w:gridCol w:w="2679"/>
        <w:gridCol w:w="45"/>
      </w:tblGrid>
      <w:tr w:rsidR="00315F18" w:rsidRPr="00315F18" w14:paraId="462E0AD3" w14:textId="77777777" w:rsidTr="00315F18">
        <w:trPr>
          <w:gridAfter w:val="1"/>
          <w:tblHeader/>
          <w:tblCellSpacing w:w="15" w:type="dxa"/>
        </w:trPr>
        <w:tc>
          <w:tcPr>
            <w:tcW w:w="0" w:type="auto"/>
            <w:gridSpan w:val="2"/>
            <w:vAlign w:val="center"/>
            <w:hideMark/>
          </w:tcPr>
          <w:p w14:paraId="6B6AE3D2" w14:textId="77777777" w:rsidR="00315F18" w:rsidRPr="00315F18" w:rsidRDefault="00315F18" w:rsidP="00315F18">
            <w:pPr>
              <w:rPr>
                <w:b/>
                <w:bCs/>
              </w:rPr>
            </w:pPr>
            <w:r w:rsidRPr="00315F18">
              <w:rPr>
                <w:b/>
                <w:bCs/>
              </w:rPr>
              <w:t>Evaluation Aspect</w:t>
            </w:r>
          </w:p>
        </w:tc>
        <w:tc>
          <w:tcPr>
            <w:tcW w:w="0" w:type="auto"/>
            <w:gridSpan w:val="2"/>
            <w:vAlign w:val="center"/>
            <w:hideMark/>
          </w:tcPr>
          <w:p w14:paraId="7EB2CD2C" w14:textId="77777777" w:rsidR="00315F18" w:rsidRPr="00315F18" w:rsidRDefault="00315F18" w:rsidP="00315F18">
            <w:pPr>
              <w:rPr>
                <w:b/>
                <w:bCs/>
              </w:rPr>
            </w:pPr>
            <w:r w:rsidRPr="00315F18">
              <w:rPr>
                <w:b/>
                <w:bCs/>
              </w:rPr>
              <w:t>Metric Used</w:t>
            </w:r>
          </w:p>
        </w:tc>
        <w:tc>
          <w:tcPr>
            <w:tcW w:w="0" w:type="auto"/>
            <w:gridSpan w:val="2"/>
            <w:vAlign w:val="center"/>
            <w:hideMark/>
          </w:tcPr>
          <w:p w14:paraId="2C7601C1" w14:textId="77777777" w:rsidR="00315F18" w:rsidRPr="00315F18" w:rsidRDefault="00315F18" w:rsidP="00315F18">
            <w:pPr>
              <w:rPr>
                <w:b/>
                <w:bCs/>
              </w:rPr>
            </w:pPr>
            <w:r w:rsidRPr="00315F18">
              <w:rPr>
                <w:b/>
                <w:bCs/>
              </w:rPr>
              <w:t>Purpose</w:t>
            </w:r>
          </w:p>
        </w:tc>
      </w:tr>
      <w:tr w:rsidR="00315F18" w:rsidRPr="00315F18" w14:paraId="5E42FEF4" w14:textId="77777777" w:rsidTr="00315F18">
        <w:trPr>
          <w:gridAfter w:val="1"/>
          <w:tblCellSpacing w:w="15" w:type="dxa"/>
        </w:trPr>
        <w:tc>
          <w:tcPr>
            <w:tcW w:w="0" w:type="auto"/>
            <w:gridSpan w:val="2"/>
            <w:vAlign w:val="center"/>
            <w:hideMark/>
          </w:tcPr>
          <w:p w14:paraId="6F6225F4" w14:textId="77777777" w:rsidR="00315F18" w:rsidRPr="00315F18" w:rsidRDefault="00315F18" w:rsidP="00315F18">
            <w:r w:rsidRPr="00315F18">
              <w:rPr>
                <w:b/>
                <w:bCs/>
              </w:rPr>
              <w:t>Fluency</w:t>
            </w:r>
          </w:p>
        </w:tc>
        <w:tc>
          <w:tcPr>
            <w:tcW w:w="0" w:type="auto"/>
            <w:gridSpan w:val="2"/>
            <w:vAlign w:val="center"/>
            <w:hideMark/>
          </w:tcPr>
          <w:p w14:paraId="2356F1A9" w14:textId="77777777" w:rsidR="00315F18" w:rsidRPr="00315F18" w:rsidRDefault="00315F18" w:rsidP="00315F18">
            <w:r w:rsidRPr="00315F18">
              <w:t>Perplexity (PPL)</w:t>
            </w:r>
          </w:p>
        </w:tc>
        <w:tc>
          <w:tcPr>
            <w:tcW w:w="0" w:type="auto"/>
            <w:gridSpan w:val="2"/>
            <w:vAlign w:val="center"/>
            <w:hideMark/>
          </w:tcPr>
          <w:p w14:paraId="5981A926" w14:textId="77777777" w:rsidR="00315F18" w:rsidRPr="00315F18" w:rsidRDefault="00315F18" w:rsidP="00315F18">
            <w:r w:rsidRPr="00315F18">
              <w:t>Measures how realistic and natural the sequence is</w:t>
            </w:r>
          </w:p>
        </w:tc>
      </w:tr>
      <w:tr w:rsidR="00315F18" w:rsidRPr="00315F18" w14:paraId="54EDD7E2" w14:textId="77777777" w:rsidTr="00315F18">
        <w:trPr>
          <w:gridAfter w:val="1"/>
          <w:tblCellSpacing w:w="15" w:type="dxa"/>
        </w:trPr>
        <w:tc>
          <w:tcPr>
            <w:tcW w:w="0" w:type="auto"/>
            <w:gridSpan w:val="2"/>
            <w:vAlign w:val="center"/>
            <w:hideMark/>
          </w:tcPr>
          <w:p w14:paraId="4B3BC2E9" w14:textId="77777777" w:rsidR="00315F18" w:rsidRPr="00315F18" w:rsidRDefault="00315F18" w:rsidP="00315F18">
            <w:r w:rsidRPr="00315F18">
              <w:rPr>
                <w:b/>
                <w:bCs/>
              </w:rPr>
              <w:t>Fidelity to Description</w:t>
            </w:r>
          </w:p>
        </w:tc>
        <w:tc>
          <w:tcPr>
            <w:tcW w:w="0" w:type="auto"/>
            <w:gridSpan w:val="2"/>
            <w:vAlign w:val="center"/>
            <w:hideMark/>
          </w:tcPr>
          <w:p w14:paraId="4EB1508A" w14:textId="77777777" w:rsidR="00315F18" w:rsidRPr="00315F18" w:rsidRDefault="00315F18" w:rsidP="00315F18">
            <w:r w:rsidRPr="00315F18">
              <w:t>Accuracy (time sig.)</w:t>
            </w:r>
            <w:r w:rsidRPr="00315F18">
              <w:br/>
              <w:t>F1 Score (chords, instruments)</w:t>
            </w:r>
          </w:p>
        </w:tc>
        <w:tc>
          <w:tcPr>
            <w:tcW w:w="0" w:type="auto"/>
            <w:gridSpan w:val="2"/>
            <w:vAlign w:val="center"/>
            <w:hideMark/>
          </w:tcPr>
          <w:p w14:paraId="036BAD8E" w14:textId="77777777" w:rsidR="00315F18" w:rsidRPr="00315F18" w:rsidRDefault="00315F18" w:rsidP="00315F18">
            <w:pPr>
              <w:rPr>
                <w:lang w:val="de-DE"/>
              </w:rPr>
            </w:pPr>
            <w:r w:rsidRPr="00315F18">
              <w:t>Measures how well the model follows the given description</w:t>
            </w:r>
          </w:p>
        </w:tc>
      </w:tr>
      <w:tr w:rsidR="00315F18" w:rsidRPr="00315F18" w14:paraId="35596874" w14:textId="77777777" w:rsidTr="00315F18">
        <w:trPr>
          <w:tblHeader/>
          <w:tblCellSpacing w:w="15" w:type="dxa"/>
        </w:trPr>
        <w:tc>
          <w:tcPr>
            <w:tcW w:w="0" w:type="auto"/>
            <w:vAlign w:val="center"/>
            <w:hideMark/>
          </w:tcPr>
          <w:p w14:paraId="17EDA1C6" w14:textId="77777777" w:rsidR="00315F18" w:rsidRPr="00315F18" w:rsidRDefault="00315F18" w:rsidP="00315F18">
            <w:pPr>
              <w:rPr>
                <w:b/>
                <w:bCs/>
              </w:rPr>
            </w:pPr>
            <w:r w:rsidRPr="00315F18">
              <w:rPr>
                <w:b/>
                <w:bCs/>
              </w:rPr>
              <w:t>Metric</w:t>
            </w:r>
          </w:p>
        </w:tc>
        <w:tc>
          <w:tcPr>
            <w:tcW w:w="3112" w:type="dxa"/>
            <w:gridSpan w:val="2"/>
            <w:vAlign w:val="center"/>
            <w:hideMark/>
          </w:tcPr>
          <w:p w14:paraId="1263E7CC" w14:textId="77777777" w:rsidR="00315F18" w:rsidRPr="00315F18" w:rsidRDefault="00315F18" w:rsidP="00315F18">
            <w:pPr>
              <w:rPr>
                <w:b/>
                <w:bCs/>
              </w:rPr>
            </w:pPr>
            <w:r w:rsidRPr="00315F18">
              <w:rPr>
                <w:b/>
                <w:bCs/>
              </w:rPr>
              <w:t>Evaluates</w:t>
            </w:r>
          </w:p>
        </w:tc>
        <w:tc>
          <w:tcPr>
            <w:tcW w:w="1819" w:type="dxa"/>
            <w:gridSpan w:val="2"/>
            <w:vAlign w:val="center"/>
            <w:hideMark/>
          </w:tcPr>
          <w:p w14:paraId="1DC03FCC" w14:textId="77777777" w:rsidR="00315F18" w:rsidRPr="00315F18" w:rsidRDefault="00315F18" w:rsidP="00315F18">
            <w:pPr>
              <w:rPr>
                <w:b/>
                <w:bCs/>
              </w:rPr>
            </w:pPr>
            <w:r w:rsidRPr="00315F18">
              <w:rPr>
                <w:b/>
                <w:bCs/>
              </w:rPr>
              <w:t>Handles Sequence Order?</w:t>
            </w:r>
          </w:p>
        </w:tc>
        <w:tc>
          <w:tcPr>
            <w:tcW w:w="0" w:type="auto"/>
            <w:gridSpan w:val="2"/>
            <w:vAlign w:val="center"/>
            <w:hideMark/>
          </w:tcPr>
          <w:p w14:paraId="735C41E8" w14:textId="77777777" w:rsidR="00315F18" w:rsidRPr="00315F18" w:rsidRDefault="00315F18" w:rsidP="00315F18">
            <w:pPr>
              <w:rPr>
                <w:b/>
                <w:bCs/>
              </w:rPr>
            </w:pPr>
            <w:r w:rsidRPr="00315F18">
              <w:rPr>
                <w:b/>
                <w:bCs/>
              </w:rPr>
              <w:t>Notes</w:t>
            </w:r>
          </w:p>
        </w:tc>
      </w:tr>
      <w:tr w:rsidR="00315F18" w:rsidRPr="00315F18" w14:paraId="702372F8" w14:textId="77777777" w:rsidTr="00315F18">
        <w:trPr>
          <w:tblCellSpacing w:w="15" w:type="dxa"/>
        </w:trPr>
        <w:tc>
          <w:tcPr>
            <w:tcW w:w="0" w:type="auto"/>
            <w:vAlign w:val="center"/>
            <w:hideMark/>
          </w:tcPr>
          <w:p w14:paraId="4208F7B1" w14:textId="77777777" w:rsidR="00315F18" w:rsidRPr="00315F18" w:rsidRDefault="00315F18" w:rsidP="00315F18">
            <w:r w:rsidRPr="00315F18">
              <w:rPr>
                <w:b/>
                <w:bCs/>
              </w:rPr>
              <w:t>MOA (proposed)</w:t>
            </w:r>
          </w:p>
        </w:tc>
        <w:tc>
          <w:tcPr>
            <w:tcW w:w="3112" w:type="dxa"/>
            <w:gridSpan w:val="2"/>
            <w:vAlign w:val="center"/>
            <w:hideMark/>
          </w:tcPr>
          <w:p w14:paraId="6D131B10" w14:textId="77777777" w:rsidR="00315F18" w:rsidRPr="00315F18" w:rsidRDefault="00315F18" w:rsidP="00315F18">
            <w:r w:rsidRPr="00315F18">
              <w:t>Pitch, velocity, duration</w:t>
            </w:r>
          </w:p>
        </w:tc>
        <w:tc>
          <w:tcPr>
            <w:tcW w:w="1819" w:type="dxa"/>
            <w:gridSpan w:val="2"/>
            <w:vAlign w:val="center"/>
            <w:hideMark/>
          </w:tcPr>
          <w:p w14:paraId="110225E2" w14:textId="6414ED90" w:rsidR="00315F18" w:rsidRPr="00315F18" w:rsidRDefault="00315F18" w:rsidP="00315F18">
            <w:r w:rsidRPr="00315F18">
              <w:t>Yes</w:t>
            </w:r>
          </w:p>
        </w:tc>
        <w:tc>
          <w:tcPr>
            <w:tcW w:w="0" w:type="auto"/>
            <w:gridSpan w:val="2"/>
            <w:vAlign w:val="center"/>
            <w:hideMark/>
          </w:tcPr>
          <w:p w14:paraId="1A740654" w14:textId="77777777" w:rsidR="00315F18" w:rsidRPr="00315F18" w:rsidRDefault="00315F18" w:rsidP="00315F18">
            <w:r w:rsidRPr="00315F18">
              <w:t>New metric; respects temporal structure</w:t>
            </w:r>
          </w:p>
        </w:tc>
      </w:tr>
      <w:tr w:rsidR="00315F18" w:rsidRPr="00315F18" w14:paraId="577D60A0" w14:textId="77777777" w:rsidTr="00315F18">
        <w:trPr>
          <w:tblCellSpacing w:w="15" w:type="dxa"/>
        </w:trPr>
        <w:tc>
          <w:tcPr>
            <w:tcW w:w="0" w:type="auto"/>
            <w:vAlign w:val="center"/>
            <w:hideMark/>
          </w:tcPr>
          <w:p w14:paraId="1AFE859D" w14:textId="77777777" w:rsidR="00315F18" w:rsidRPr="00315F18" w:rsidRDefault="00315F18" w:rsidP="00315F18">
            <w:r w:rsidRPr="00315F18">
              <w:rPr>
                <w:b/>
                <w:bCs/>
              </w:rPr>
              <w:t>NRMSE</w:t>
            </w:r>
          </w:p>
        </w:tc>
        <w:tc>
          <w:tcPr>
            <w:tcW w:w="3112" w:type="dxa"/>
            <w:gridSpan w:val="2"/>
            <w:vAlign w:val="center"/>
            <w:hideMark/>
          </w:tcPr>
          <w:p w14:paraId="315892B5" w14:textId="77777777" w:rsidR="00315F18" w:rsidRPr="00315F18" w:rsidRDefault="00315F18" w:rsidP="00315F18">
            <w:r w:rsidRPr="00315F18">
              <w:t>Note density (rhythmic activity)</w:t>
            </w:r>
          </w:p>
        </w:tc>
        <w:tc>
          <w:tcPr>
            <w:tcW w:w="1819" w:type="dxa"/>
            <w:gridSpan w:val="2"/>
            <w:vAlign w:val="center"/>
            <w:hideMark/>
          </w:tcPr>
          <w:p w14:paraId="2E00E5D9" w14:textId="11EA964A" w:rsidR="00315F18" w:rsidRPr="00315F18" w:rsidRDefault="00315F18" w:rsidP="00315F18">
            <w:r w:rsidRPr="00315F18">
              <w:t>Bar-wise</w:t>
            </w:r>
          </w:p>
        </w:tc>
        <w:tc>
          <w:tcPr>
            <w:tcW w:w="0" w:type="auto"/>
            <w:gridSpan w:val="2"/>
            <w:vAlign w:val="center"/>
            <w:hideMark/>
          </w:tcPr>
          <w:p w14:paraId="737E833B" w14:textId="77777777" w:rsidR="00315F18" w:rsidRPr="00315F18" w:rsidRDefault="00315F18" w:rsidP="00315F18">
            <w:r w:rsidRPr="00315F18">
              <w:t>Normalized to account for scale differences</w:t>
            </w:r>
          </w:p>
        </w:tc>
      </w:tr>
      <w:tr w:rsidR="00315F18" w:rsidRPr="00315F18" w14:paraId="095F0A56" w14:textId="77777777" w:rsidTr="00315F18">
        <w:trPr>
          <w:tblCellSpacing w:w="15" w:type="dxa"/>
        </w:trPr>
        <w:tc>
          <w:tcPr>
            <w:tcW w:w="0" w:type="auto"/>
            <w:vAlign w:val="center"/>
            <w:hideMark/>
          </w:tcPr>
          <w:p w14:paraId="7FF0AD11" w14:textId="77777777" w:rsidR="00315F18" w:rsidRPr="00315F18" w:rsidRDefault="00315F18" w:rsidP="00315F18">
            <w:r w:rsidRPr="00315F18">
              <w:rPr>
                <w:b/>
                <w:bCs/>
              </w:rPr>
              <w:t>Cosine Similarity</w:t>
            </w:r>
          </w:p>
        </w:tc>
        <w:tc>
          <w:tcPr>
            <w:tcW w:w="3112" w:type="dxa"/>
            <w:gridSpan w:val="2"/>
            <w:vAlign w:val="center"/>
            <w:hideMark/>
          </w:tcPr>
          <w:p w14:paraId="4F2C684D" w14:textId="77777777" w:rsidR="00315F18" w:rsidRPr="00315F18" w:rsidRDefault="00315F18" w:rsidP="00315F18">
            <w:r w:rsidRPr="00315F18">
              <w:t>Chroma (harmony), grooving (rhythm)</w:t>
            </w:r>
          </w:p>
        </w:tc>
        <w:tc>
          <w:tcPr>
            <w:tcW w:w="1819" w:type="dxa"/>
            <w:gridSpan w:val="2"/>
            <w:vAlign w:val="center"/>
            <w:hideMark/>
          </w:tcPr>
          <w:p w14:paraId="75AA2703" w14:textId="6F945AB7" w:rsidR="00315F18" w:rsidRPr="00315F18" w:rsidRDefault="00315F18" w:rsidP="00315F18">
            <w:r w:rsidRPr="00315F18">
              <w:t>Bar-wise</w:t>
            </w:r>
          </w:p>
        </w:tc>
        <w:tc>
          <w:tcPr>
            <w:tcW w:w="0" w:type="auto"/>
            <w:gridSpan w:val="2"/>
            <w:vAlign w:val="center"/>
            <w:hideMark/>
          </w:tcPr>
          <w:p w14:paraId="1BA7A484" w14:textId="77777777" w:rsidR="00315F18" w:rsidRPr="00315F18" w:rsidRDefault="00315F18" w:rsidP="00315F18">
            <w:r w:rsidRPr="00315F18">
              <w:t>Evaluates “feel” similarity</w:t>
            </w:r>
          </w:p>
        </w:tc>
      </w:tr>
    </w:tbl>
    <w:p w14:paraId="420743ED" w14:textId="77777777" w:rsidR="00E12B10" w:rsidRPr="00315F18" w:rsidRDefault="00E12B10" w:rsidP="00E12B10"/>
    <w:p w14:paraId="2BC5BDDB" w14:textId="77777777" w:rsidR="00E12B10" w:rsidRPr="00E12B10" w:rsidRDefault="00E12B10" w:rsidP="00E12B10">
      <w:pPr>
        <w:rPr>
          <w:b/>
          <w:bCs/>
          <w:lang w:val="en-US"/>
        </w:rPr>
      </w:pPr>
      <w:r w:rsidRPr="00E12B10">
        <w:rPr>
          <w:b/>
          <w:bCs/>
          <w:lang w:val="en-US"/>
        </w:rPr>
        <w:t>Results</w:t>
      </w:r>
    </w:p>
    <w:p w14:paraId="5C113D78" w14:textId="77777777" w:rsidR="00E12B10" w:rsidRPr="00E12B10" w:rsidRDefault="00E12B10" w:rsidP="00E12B10">
      <w:pPr>
        <w:rPr>
          <w:lang w:val="en-US"/>
        </w:rPr>
      </w:pPr>
    </w:p>
    <w:p w14:paraId="1C70064E" w14:textId="77777777" w:rsidR="00E12B10" w:rsidRPr="00E12B10" w:rsidRDefault="00E12B10" w:rsidP="00E12B10">
      <w:pPr>
        <w:rPr>
          <w:b/>
          <w:bCs/>
          <w:lang w:val="en-US"/>
        </w:rPr>
      </w:pPr>
      <w:r w:rsidRPr="00E12B10">
        <w:rPr>
          <w:b/>
          <w:bCs/>
          <w:lang w:val="en-US"/>
        </w:rPr>
        <w:t>Conclusion</w:t>
      </w:r>
    </w:p>
    <w:p w14:paraId="10AE8C6C" w14:textId="77777777" w:rsidR="00E12B10" w:rsidRPr="00E12B10" w:rsidRDefault="00E12B10" w:rsidP="00E12B10">
      <w:pPr>
        <w:rPr>
          <w:b/>
          <w:bCs/>
          <w:lang w:val="en-US"/>
        </w:rPr>
      </w:pPr>
      <w:r w:rsidRPr="00E12B10">
        <w:rPr>
          <w:b/>
          <w:bCs/>
          <w:lang w:val="en-US"/>
        </w:rPr>
        <w:t>Appendix</w:t>
      </w:r>
    </w:p>
    <w:p w14:paraId="2C750656" w14:textId="134DB38D" w:rsidR="00E12B10" w:rsidRPr="00E12B10" w:rsidRDefault="00E12B10" w:rsidP="00E12B10">
      <w:pPr>
        <w:rPr>
          <w:b/>
          <w:bCs/>
          <w:lang w:val="en-US"/>
        </w:rPr>
      </w:pPr>
      <w:r w:rsidRPr="00E12B10">
        <w:rPr>
          <w:b/>
          <w:bCs/>
          <w:lang w:val="en-US"/>
        </w:rPr>
        <w:t>References</w:t>
      </w:r>
    </w:p>
    <w:sectPr w:rsidR="00E12B10" w:rsidRPr="00E12B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4FA"/>
    <w:rsid w:val="000C25B4"/>
    <w:rsid w:val="00137A90"/>
    <w:rsid w:val="001F5CE8"/>
    <w:rsid w:val="00214703"/>
    <w:rsid w:val="0029507C"/>
    <w:rsid w:val="00301A7A"/>
    <w:rsid w:val="00315F18"/>
    <w:rsid w:val="00657C6F"/>
    <w:rsid w:val="009202DE"/>
    <w:rsid w:val="009D5569"/>
    <w:rsid w:val="00A31385"/>
    <w:rsid w:val="00BD70DA"/>
    <w:rsid w:val="00DC44FA"/>
    <w:rsid w:val="00E12B1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8C45"/>
  <w15:chartTrackingRefBased/>
  <w15:docId w15:val="{2CBA599A-F57E-45AD-9C6B-2A608C32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4FA"/>
    <w:rPr>
      <w:rFonts w:eastAsiaTheme="majorEastAsia" w:cstheme="majorBidi"/>
      <w:color w:val="272727" w:themeColor="text1" w:themeTint="D8"/>
    </w:rPr>
  </w:style>
  <w:style w:type="paragraph" w:styleId="Title">
    <w:name w:val="Title"/>
    <w:basedOn w:val="Normal"/>
    <w:next w:val="Normal"/>
    <w:link w:val="TitleChar"/>
    <w:uiPriority w:val="10"/>
    <w:qFormat/>
    <w:rsid w:val="00DC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4FA"/>
    <w:pPr>
      <w:spacing w:before="160"/>
      <w:jc w:val="center"/>
    </w:pPr>
    <w:rPr>
      <w:i/>
      <w:iCs/>
      <w:color w:val="404040" w:themeColor="text1" w:themeTint="BF"/>
    </w:rPr>
  </w:style>
  <w:style w:type="character" w:customStyle="1" w:styleId="QuoteChar">
    <w:name w:val="Quote Char"/>
    <w:basedOn w:val="DefaultParagraphFont"/>
    <w:link w:val="Quote"/>
    <w:uiPriority w:val="29"/>
    <w:rsid w:val="00DC44FA"/>
    <w:rPr>
      <w:i/>
      <w:iCs/>
      <w:color w:val="404040" w:themeColor="text1" w:themeTint="BF"/>
    </w:rPr>
  </w:style>
  <w:style w:type="paragraph" w:styleId="ListParagraph">
    <w:name w:val="List Paragraph"/>
    <w:basedOn w:val="Normal"/>
    <w:uiPriority w:val="34"/>
    <w:qFormat/>
    <w:rsid w:val="00DC44FA"/>
    <w:pPr>
      <w:ind w:left="720"/>
      <w:contextualSpacing/>
    </w:pPr>
  </w:style>
  <w:style w:type="character" w:styleId="IntenseEmphasis">
    <w:name w:val="Intense Emphasis"/>
    <w:basedOn w:val="DefaultParagraphFont"/>
    <w:uiPriority w:val="21"/>
    <w:qFormat/>
    <w:rsid w:val="00DC44FA"/>
    <w:rPr>
      <w:i/>
      <w:iCs/>
      <w:color w:val="0F4761" w:themeColor="accent1" w:themeShade="BF"/>
    </w:rPr>
  </w:style>
  <w:style w:type="paragraph" w:styleId="IntenseQuote">
    <w:name w:val="Intense Quote"/>
    <w:basedOn w:val="Normal"/>
    <w:next w:val="Normal"/>
    <w:link w:val="IntenseQuoteChar"/>
    <w:uiPriority w:val="30"/>
    <w:qFormat/>
    <w:rsid w:val="00DC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4FA"/>
    <w:rPr>
      <w:i/>
      <w:iCs/>
      <w:color w:val="0F4761" w:themeColor="accent1" w:themeShade="BF"/>
    </w:rPr>
  </w:style>
  <w:style w:type="character" w:styleId="IntenseReference">
    <w:name w:val="Intense Reference"/>
    <w:basedOn w:val="DefaultParagraphFont"/>
    <w:uiPriority w:val="32"/>
    <w:qFormat/>
    <w:rsid w:val="00DC4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1015">
      <w:bodyDiv w:val="1"/>
      <w:marLeft w:val="0"/>
      <w:marRight w:val="0"/>
      <w:marTop w:val="0"/>
      <w:marBottom w:val="0"/>
      <w:divBdr>
        <w:top w:val="none" w:sz="0" w:space="0" w:color="auto"/>
        <w:left w:val="none" w:sz="0" w:space="0" w:color="auto"/>
        <w:bottom w:val="none" w:sz="0" w:space="0" w:color="auto"/>
        <w:right w:val="none" w:sz="0" w:space="0" w:color="auto"/>
      </w:divBdr>
    </w:div>
    <w:div w:id="350843892">
      <w:bodyDiv w:val="1"/>
      <w:marLeft w:val="0"/>
      <w:marRight w:val="0"/>
      <w:marTop w:val="0"/>
      <w:marBottom w:val="0"/>
      <w:divBdr>
        <w:top w:val="none" w:sz="0" w:space="0" w:color="auto"/>
        <w:left w:val="none" w:sz="0" w:space="0" w:color="auto"/>
        <w:bottom w:val="none" w:sz="0" w:space="0" w:color="auto"/>
        <w:right w:val="none" w:sz="0" w:space="0" w:color="auto"/>
      </w:divBdr>
    </w:div>
    <w:div w:id="756293581">
      <w:bodyDiv w:val="1"/>
      <w:marLeft w:val="0"/>
      <w:marRight w:val="0"/>
      <w:marTop w:val="0"/>
      <w:marBottom w:val="0"/>
      <w:divBdr>
        <w:top w:val="none" w:sz="0" w:space="0" w:color="auto"/>
        <w:left w:val="none" w:sz="0" w:space="0" w:color="auto"/>
        <w:bottom w:val="none" w:sz="0" w:space="0" w:color="auto"/>
        <w:right w:val="none" w:sz="0" w:space="0" w:color="auto"/>
      </w:divBdr>
    </w:div>
    <w:div w:id="1232420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Zaher Alkaei</dc:creator>
  <cp:keywords/>
  <dc:description/>
  <cp:lastModifiedBy>Zaher Alkaei</cp:lastModifiedBy>
  <cp:revision>2</cp:revision>
  <dcterms:created xsi:type="dcterms:W3CDTF">2025-04-17T00:15:00Z</dcterms:created>
  <dcterms:modified xsi:type="dcterms:W3CDTF">2025-04-17T19:08:00Z</dcterms:modified>
</cp:coreProperties>
</file>