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5FF" w:rsidRPr="00084133" w:rsidRDefault="005E55FF" w:rsidP="005E55FF">
      <w:pPr>
        <w:rPr>
          <w:rFonts w:ascii="Arial" w:hAnsi="Arial" w:cs="Arial"/>
          <w:b/>
          <w:sz w:val="24"/>
          <w:szCs w:val="24"/>
        </w:rPr>
      </w:pPr>
      <w:r w:rsidRPr="00084133">
        <w:rPr>
          <w:rFonts w:ascii="Arial" w:hAnsi="Arial" w:cs="Arial"/>
          <w:b/>
          <w:sz w:val="24"/>
          <w:szCs w:val="24"/>
        </w:rPr>
        <w:tab/>
      </w:r>
      <w:r w:rsidRPr="00084133">
        <w:rPr>
          <w:rFonts w:ascii="Arial" w:hAnsi="Arial" w:cs="Arial"/>
          <w:b/>
          <w:sz w:val="24"/>
          <w:szCs w:val="24"/>
        </w:rPr>
        <w:tab/>
      </w:r>
    </w:p>
    <w:p w:rsidR="005E55FF" w:rsidRPr="00084133" w:rsidRDefault="005E55FF" w:rsidP="005E55FF">
      <w:pPr>
        <w:rPr>
          <w:rFonts w:ascii="Arial" w:hAnsi="Arial" w:cs="Arial"/>
          <w:b/>
          <w:sz w:val="24"/>
          <w:szCs w:val="24"/>
        </w:rPr>
      </w:pPr>
    </w:p>
    <w:p w:rsidR="005E55FF" w:rsidRPr="00084133" w:rsidRDefault="005E55FF" w:rsidP="000057F0">
      <w:pPr>
        <w:jc w:val="center"/>
        <w:rPr>
          <w:rFonts w:ascii="Arial" w:hAnsi="Arial" w:cs="Arial"/>
          <w:b/>
          <w:sz w:val="28"/>
          <w:szCs w:val="24"/>
        </w:rPr>
      </w:pPr>
      <w:r w:rsidRPr="00084133">
        <w:rPr>
          <w:rFonts w:eastAsia="Times New Roman"/>
          <w:b/>
          <w:sz w:val="28"/>
          <w:szCs w:val="24"/>
        </w:rPr>
        <w:t>How do global inequalities affect rich countries, such as Australia?</w:t>
      </w:r>
    </w:p>
    <w:p w:rsidR="005E55FF" w:rsidRPr="00084133" w:rsidRDefault="005E55FF" w:rsidP="000057F0">
      <w:pPr>
        <w:rPr>
          <w:rFonts w:ascii="Arial" w:hAnsi="Arial" w:cs="Arial"/>
          <w:b/>
          <w:sz w:val="24"/>
          <w:szCs w:val="24"/>
        </w:rPr>
      </w:pPr>
      <w:r w:rsidRPr="00084133">
        <w:rPr>
          <w:rFonts w:ascii="Arial" w:hAnsi="Arial" w:cs="Arial"/>
          <w:b/>
          <w:sz w:val="24"/>
          <w:szCs w:val="24"/>
        </w:rPr>
        <w:t xml:space="preserve">Introduction </w:t>
      </w:r>
      <w:bookmarkStart w:id="0" w:name="_GoBack"/>
      <w:bookmarkEnd w:id="0"/>
    </w:p>
    <w:p w:rsidR="005E55FF" w:rsidRPr="00084133" w:rsidRDefault="005E55FF" w:rsidP="005E55FF">
      <w:pPr>
        <w:spacing w:line="480" w:lineRule="auto"/>
        <w:rPr>
          <w:rFonts w:ascii="Arial" w:hAnsi="Arial" w:cs="Arial"/>
          <w:sz w:val="24"/>
          <w:szCs w:val="24"/>
        </w:rPr>
      </w:pPr>
      <w:r w:rsidRPr="00084133">
        <w:rPr>
          <w:rFonts w:ascii="Arial" w:hAnsi="Arial" w:cs="Arial"/>
          <w:sz w:val="24"/>
          <w:szCs w:val="24"/>
        </w:rPr>
        <w:t xml:space="preserve">Development in world economies has been at a dissonance pace; some countries have a better development mechanism contrasted with others. Inequalities globally are evident in terms of wealth generation and accumulation. Wealth generation is a key aspect of determining the pace at which a country develops. The differences in income distribution are contributing to the inequalities in countries’ wealth. The inequality in income distribution has risen since some countries have a large share of the income gains. </w:t>
      </w:r>
    </w:p>
    <w:p w:rsidR="005E55FF" w:rsidRPr="00084133" w:rsidRDefault="005E55FF" w:rsidP="005E55FF">
      <w:pPr>
        <w:spacing w:line="480" w:lineRule="auto"/>
        <w:rPr>
          <w:rFonts w:ascii="Arial" w:hAnsi="Arial" w:cs="Arial"/>
          <w:b/>
          <w:sz w:val="24"/>
          <w:szCs w:val="24"/>
        </w:rPr>
      </w:pPr>
      <w:r w:rsidRPr="00084133">
        <w:rPr>
          <w:rFonts w:ascii="Arial" w:hAnsi="Arial" w:cs="Arial"/>
          <w:b/>
          <w:sz w:val="24"/>
          <w:szCs w:val="24"/>
        </w:rPr>
        <w:t>The divide between rich and poor world</w:t>
      </w:r>
    </w:p>
    <w:p w:rsidR="005E55FF" w:rsidRPr="00084133" w:rsidRDefault="005E55FF" w:rsidP="005E55FF">
      <w:pPr>
        <w:spacing w:line="480" w:lineRule="auto"/>
        <w:rPr>
          <w:rFonts w:ascii="Arial" w:hAnsi="Arial" w:cs="Arial"/>
          <w:sz w:val="24"/>
          <w:szCs w:val="24"/>
        </w:rPr>
      </w:pPr>
      <w:r w:rsidRPr="00084133">
        <w:rPr>
          <w:rFonts w:ascii="Arial" w:hAnsi="Arial" w:cs="Arial"/>
          <w:sz w:val="24"/>
          <w:szCs w:val="24"/>
        </w:rPr>
        <w:t xml:space="preserve">The wealth generated is a determinant of the ranking on equality or inequality in richness of a country.  The nature of wealth generated is highly determined by the quantity and quality of the factors of production. Availability of the factors of production is not only the wealth generation determinant but also the </w:t>
      </w:r>
      <w:proofErr w:type="spellStart"/>
      <w:r w:rsidRPr="00084133">
        <w:rPr>
          <w:rFonts w:ascii="Arial" w:hAnsi="Arial" w:cs="Arial"/>
          <w:sz w:val="24"/>
          <w:szCs w:val="24"/>
        </w:rPr>
        <w:t>utilisation</w:t>
      </w:r>
      <w:proofErr w:type="spellEnd"/>
      <w:r w:rsidRPr="00084133">
        <w:rPr>
          <w:rFonts w:ascii="Arial" w:hAnsi="Arial" w:cs="Arial"/>
          <w:sz w:val="24"/>
          <w:szCs w:val="24"/>
        </w:rPr>
        <w:t xml:space="preserve"> of the resources in the creation of the wealth. A rich country poses superior mechanisms of resource </w:t>
      </w:r>
      <w:proofErr w:type="spellStart"/>
      <w:r w:rsidRPr="00084133">
        <w:rPr>
          <w:rFonts w:ascii="Arial" w:hAnsi="Arial" w:cs="Arial"/>
          <w:sz w:val="24"/>
          <w:szCs w:val="24"/>
        </w:rPr>
        <w:t>utilisation</w:t>
      </w:r>
      <w:proofErr w:type="spellEnd"/>
      <w:r w:rsidRPr="00084133">
        <w:rPr>
          <w:rFonts w:ascii="Arial" w:hAnsi="Arial" w:cs="Arial"/>
          <w:sz w:val="24"/>
          <w:szCs w:val="24"/>
        </w:rPr>
        <w:t xml:space="preserve"> from the poor countries. There are key elements that are pertinent to development description, education, health, extreme poverty, hunger and promotion of gender equality. The millennium development goals had most interest in ensuring that the poorest people are not at a disadvantage in the development process (Thomas 2002: 34). The divide between rich countries exists due to various factors related to the </w:t>
      </w:r>
      <w:proofErr w:type="spellStart"/>
      <w:r w:rsidRPr="00084133">
        <w:rPr>
          <w:rFonts w:ascii="Arial" w:hAnsi="Arial" w:cs="Arial"/>
          <w:sz w:val="24"/>
          <w:szCs w:val="24"/>
        </w:rPr>
        <w:t>utilisation</w:t>
      </w:r>
      <w:proofErr w:type="spellEnd"/>
      <w:r w:rsidRPr="00084133">
        <w:rPr>
          <w:rFonts w:ascii="Arial" w:hAnsi="Arial" w:cs="Arial"/>
          <w:sz w:val="24"/>
          <w:szCs w:val="24"/>
        </w:rPr>
        <w:t xml:space="preserve"> of the economic resources.</w:t>
      </w:r>
    </w:p>
    <w:p w:rsidR="005E55FF" w:rsidRPr="00084133" w:rsidRDefault="005E55FF" w:rsidP="005E55FF">
      <w:pPr>
        <w:spacing w:line="480" w:lineRule="auto"/>
        <w:rPr>
          <w:rFonts w:ascii="Arial" w:hAnsi="Arial" w:cs="Arial"/>
          <w:sz w:val="24"/>
          <w:szCs w:val="24"/>
        </w:rPr>
      </w:pPr>
      <w:r w:rsidRPr="00084133">
        <w:rPr>
          <w:rFonts w:ascii="Arial" w:hAnsi="Arial" w:cs="Arial"/>
          <w:sz w:val="24"/>
          <w:szCs w:val="24"/>
        </w:rPr>
        <w:lastRenderedPageBreak/>
        <w:t>Technology as a resource is pertinent to the efficiency of any production process. Poor countries are distinctly devoid of appropriate and up-to-date technology; this makes them lag behind in the production process, as compared to rich countries.</w:t>
      </w:r>
    </w:p>
    <w:p w:rsidR="005E55FF" w:rsidRPr="00084133" w:rsidRDefault="005E55FF" w:rsidP="005E55FF">
      <w:pPr>
        <w:spacing w:line="480" w:lineRule="auto"/>
        <w:rPr>
          <w:rFonts w:ascii="Arial" w:hAnsi="Arial" w:cs="Arial"/>
          <w:sz w:val="24"/>
          <w:szCs w:val="24"/>
        </w:rPr>
      </w:pPr>
      <w:r w:rsidRPr="00084133">
        <w:rPr>
          <w:rFonts w:ascii="Arial" w:hAnsi="Arial" w:cs="Arial"/>
          <w:sz w:val="24"/>
          <w:szCs w:val="24"/>
        </w:rPr>
        <w:t xml:space="preserve"> The health care available in a country is paramount to the population well-being. Health provision divides poor and rich countries, with the poor countries being unable to meet the required health standards. For instance, Ethiopia, prior to 2004, had no vaccines and medicine stock in the rural areas until there was the partnership of the government and donors, such as the Bill and Melinda Foundation (Oxfam 2015).  The health of the citizens in every single country is important as it determines the level of output. A country with more healthy citizens will have more </w:t>
      </w:r>
      <w:proofErr w:type="spellStart"/>
      <w:r w:rsidRPr="00084133">
        <w:rPr>
          <w:rFonts w:ascii="Arial" w:hAnsi="Arial" w:cs="Arial"/>
          <w:sz w:val="24"/>
          <w:szCs w:val="24"/>
        </w:rPr>
        <w:t>labour</w:t>
      </w:r>
      <w:proofErr w:type="spellEnd"/>
      <w:r w:rsidRPr="00084133">
        <w:rPr>
          <w:rFonts w:ascii="Arial" w:hAnsi="Arial" w:cs="Arial"/>
          <w:sz w:val="24"/>
          <w:szCs w:val="24"/>
        </w:rPr>
        <w:t xml:space="preserve"> engaged in production as opposed to one with unhealthy individuals (Thomas 2004). Australia has adequate medical facilities, compared to poor countries. The availability of medical care makes it possible to cater for medical conditions arising among the citizens avoiding loss of lives, which are crucial to the production of products. It is evident that poor countries have higher death rates related to lack of affordable or availability of medical facilities and personnel. </w:t>
      </w:r>
    </w:p>
    <w:p w:rsidR="005E55FF" w:rsidRPr="00084133" w:rsidRDefault="005E55FF" w:rsidP="005E55FF">
      <w:pPr>
        <w:spacing w:line="480" w:lineRule="auto"/>
        <w:rPr>
          <w:rFonts w:ascii="Arial" w:hAnsi="Arial" w:cs="Arial"/>
          <w:b/>
          <w:sz w:val="24"/>
          <w:szCs w:val="24"/>
        </w:rPr>
      </w:pPr>
      <w:r w:rsidRPr="00084133">
        <w:rPr>
          <w:rFonts w:ascii="Arial" w:hAnsi="Arial" w:cs="Arial"/>
          <w:b/>
          <w:sz w:val="24"/>
          <w:szCs w:val="24"/>
        </w:rPr>
        <w:t>Key theories, perspectives and issues in world development</w:t>
      </w:r>
    </w:p>
    <w:p w:rsidR="005E55FF" w:rsidRPr="00084133" w:rsidRDefault="005E55FF" w:rsidP="005E55FF">
      <w:pPr>
        <w:spacing w:line="480" w:lineRule="auto"/>
        <w:rPr>
          <w:rFonts w:ascii="Arial" w:hAnsi="Arial" w:cs="Arial"/>
          <w:sz w:val="24"/>
          <w:szCs w:val="24"/>
        </w:rPr>
      </w:pPr>
      <w:r w:rsidRPr="00084133">
        <w:rPr>
          <w:rFonts w:ascii="Arial" w:hAnsi="Arial" w:cs="Arial"/>
          <w:sz w:val="24"/>
          <w:szCs w:val="24"/>
        </w:rPr>
        <w:t xml:space="preserve">Development as both a concept and a subject is highly contested as a concept politically and theoretically (Thomas 2004: 1, 2). The concept is highly narrowed to its practice through notable changes that are measurable.  According to Cowen and Shenton (1998: 50), development as described in different literature is either </w:t>
      </w:r>
      <w:r w:rsidRPr="00084133">
        <w:rPr>
          <w:rFonts w:ascii="Arial" w:hAnsi="Arial" w:cs="Arial"/>
          <w:sz w:val="24"/>
          <w:szCs w:val="24"/>
        </w:rPr>
        <w:lastRenderedPageBreak/>
        <w:t xml:space="preserve">unintentional or intentional; however, the outcomes of development are visible and measurable. </w:t>
      </w:r>
    </w:p>
    <w:p w:rsidR="005E55FF" w:rsidRPr="00084133" w:rsidRDefault="005E55FF" w:rsidP="005E55FF">
      <w:pPr>
        <w:spacing w:line="480" w:lineRule="auto"/>
        <w:rPr>
          <w:rFonts w:ascii="Arial" w:hAnsi="Arial" w:cs="Arial"/>
          <w:sz w:val="24"/>
          <w:szCs w:val="24"/>
        </w:rPr>
      </w:pPr>
      <w:r w:rsidRPr="00084133">
        <w:rPr>
          <w:rFonts w:ascii="Arial" w:hAnsi="Arial" w:cs="Arial"/>
          <w:sz w:val="24"/>
          <w:szCs w:val="24"/>
        </w:rPr>
        <w:t xml:space="preserve">As Gore (2000: 794-5) points out that between 1950s and 1960s, structural transformation was viewed as a way of liberating people. The international donor agency, according to Thomas (2004: 1) -- development relates to the </w:t>
      </w:r>
      <w:proofErr w:type="spellStart"/>
      <w:r w:rsidRPr="00084133">
        <w:rPr>
          <w:rFonts w:ascii="Arial" w:hAnsi="Arial" w:cs="Arial"/>
          <w:sz w:val="24"/>
          <w:szCs w:val="24"/>
        </w:rPr>
        <w:t>realisation</w:t>
      </w:r>
      <w:proofErr w:type="spellEnd"/>
      <w:r w:rsidRPr="00084133">
        <w:rPr>
          <w:rFonts w:ascii="Arial" w:hAnsi="Arial" w:cs="Arial"/>
          <w:sz w:val="24"/>
          <w:szCs w:val="24"/>
        </w:rPr>
        <w:t xml:space="preserve"> of the Millennium Development Goals (MDGs) and reduction of poverty. According to </w:t>
      </w:r>
      <w:proofErr w:type="spellStart"/>
      <w:r w:rsidRPr="00084133">
        <w:rPr>
          <w:rFonts w:ascii="Arial" w:hAnsi="Arial" w:cs="Arial"/>
          <w:sz w:val="24"/>
          <w:szCs w:val="24"/>
        </w:rPr>
        <w:t>Corbridge</w:t>
      </w:r>
      <w:proofErr w:type="spellEnd"/>
      <w:r w:rsidRPr="00084133">
        <w:rPr>
          <w:rFonts w:ascii="Arial" w:hAnsi="Arial" w:cs="Arial"/>
          <w:sz w:val="24"/>
          <w:szCs w:val="24"/>
        </w:rPr>
        <w:t xml:space="preserve"> (1995: 45), the diversity of development is great to include aspects such as economic, social, political, legal and institutional structures as well as technology. Development has various views, majorly grouped into three: the historical with the view of development as a process of change; the policy view, as indicated by the value judgment of short-term and long-term indicators, which are the MDGs; and, lastly, the post-modernist approach based on Western ideology of ethnocentricity based on modernity. </w:t>
      </w:r>
    </w:p>
    <w:p w:rsidR="005E55FF" w:rsidRPr="00084133" w:rsidRDefault="005E55FF" w:rsidP="005E55FF">
      <w:pPr>
        <w:spacing w:line="480" w:lineRule="auto"/>
        <w:rPr>
          <w:rFonts w:ascii="Arial" w:hAnsi="Arial" w:cs="Arial"/>
          <w:sz w:val="24"/>
          <w:szCs w:val="24"/>
        </w:rPr>
      </w:pPr>
      <w:r w:rsidRPr="00084133">
        <w:rPr>
          <w:rFonts w:ascii="Arial" w:hAnsi="Arial" w:cs="Arial"/>
          <w:sz w:val="24"/>
          <w:szCs w:val="24"/>
        </w:rPr>
        <w:t xml:space="preserve">The modernity of the Western advocates a free market, which is a neoclassical view. The neoclassical view views free markets as beneficial and the </w:t>
      </w:r>
      <w:proofErr w:type="spellStart"/>
      <w:r w:rsidRPr="00084133">
        <w:rPr>
          <w:rFonts w:ascii="Arial" w:hAnsi="Arial" w:cs="Arial"/>
          <w:sz w:val="24"/>
          <w:szCs w:val="24"/>
        </w:rPr>
        <w:t>privatisation</w:t>
      </w:r>
      <w:proofErr w:type="spellEnd"/>
      <w:r w:rsidRPr="00084133">
        <w:rPr>
          <w:rFonts w:ascii="Arial" w:hAnsi="Arial" w:cs="Arial"/>
          <w:sz w:val="24"/>
          <w:szCs w:val="24"/>
        </w:rPr>
        <w:t xml:space="preserve"> of publicly owned businesses that are not profitable (OECD (2008a). The view is of the premise that if a government is highly involved in the regulation and in running of business in an economy, then it hinders development. </w:t>
      </w:r>
    </w:p>
    <w:p w:rsidR="005E55FF" w:rsidRPr="00084133" w:rsidRDefault="005E55FF" w:rsidP="005E55FF">
      <w:pPr>
        <w:spacing w:line="480" w:lineRule="auto"/>
        <w:rPr>
          <w:rFonts w:ascii="Arial" w:hAnsi="Arial" w:cs="Arial"/>
          <w:sz w:val="24"/>
          <w:szCs w:val="24"/>
        </w:rPr>
      </w:pPr>
      <w:r w:rsidRPr="00084133">
        <w:rPr>
          <w:rFonts w:ascii="Arial" w:hAnsi="Arial" w:cs="Arial"/>
          <w:sz w:val="24"/>
          <w:szCs w:val="24"/>
        </w:rPr>
        <w:t xml:space="preserve">The structural changes view is a linear path, one change in economy leads to another change in the economy; </w:t>
      </w:r>
      <w:proofErr w:type="spellStart"/>
      <w:r w:rsidRPr="00084133">
        <w:rPr>
          <w:rFonts w:ascii="Arial" w:hAnsi="Arial" w:cs="Arial"/>
          <w:sz w:val="24"/>
          <w:szCs w:val="24"/>
        </w:rPr>
        <w:t>Rostow</w:t>
      </w:r>
      <w:proofErr w:type="spellEnd"/>
      <w:r w:rsidRPr="00084133">
        <w:rPr>
          <w:rFonts w:ascii="Arial" w:hAnsi="Arial" w:cs="Arial"/>
          <w:sz w:val="24"/>
          <w:szCs w:val="24"/>
        </w:rPr>
        <w:t xml:space="preserve"> also viewed growth as to have stages (</w:t>
      </w:r>
      <w:proofErr w:type="spellStart"/>
      <w:r w:rsidRPr="00084133">
        <w:rPr>
          <w:rFonts w:ascii="Arial" w:hAnsi="Arial" w:cs="Arial"/>
          <w:sz w:val="24"/>
          <w:szCs w:val="24"/>
        </w:rPr>
        <w:t>Fredriksen</w:t>
      </w:r>
      <w:proofErr w:type="spellEnd"/>
      <w:r w:rsidRPr="00084133">
        <w:rPr>
          <w:rFonts w:ascii="Arial" w:hAnsi="Arial" w:cs="Arial"/>
          <w:sz w:val="24"/>
          <w:szCs w:val="24"/>
        </w:rPr>
        <w:t xml:space="preserve"> 2012). </w:t>
      </w:r>
      <w:proofErr w:type="spellStart"/>
      <w:r w:rsidRPr="00084133">
        <w:rPr>
          <w:rFonts w:ascii="Arial" w:hAnsi="Arial" w:cs="Arial"/>
          <w:sz w:val="24"/>
          <w:szCs w:val="24"/>
        </w:rPr>
        <w:t>Rostow</w:t>
      </w:r>
      <w:proofErr w:type="spellEnd"/>
      <w:r w:rsidRPr="00084133">
        <w:rPr>
          <w:rFonts w:ascii="Arial" w:hAnsi="Arial" w:cs="Arial"/>
          <w:sz w:val="24"/>
          <w:szCs w:val="24"/>
        </w:rPr>
        <w:t xml:space="preserve"> came up with the stages of growth model of development: the traditional society, the pre-conditions for take-off into self-sustaining growth, the take-off, the drive </w:t>
      </w:r>
      <w:r w:rsidRPr="00084133">
        <w:rPr>
          <w:rFonts w:ascii="Arial" w:hAnsi="Arial" w:cs="Arial"/>
          <w:sz w:val="24"/>
          <w:szCs w:val="24"/>
        </w:rPr>
        <w:lastRenderedPageBreak/>
        <w:t xml:space="preserve">to maturity, and the high mass consumption (Oxfam 2015). The developed countries are assumed to have followed all the stages, which is not the case. For a country to be able to take off, it should have enough savings, which are important for investment. </w:t>
      </w:r>
      <w:proofErr w:type="spellStart"/>
      <w:r w:rsidRPr="00084133">
        <w:rPr>
          <w:rFonts w:ascii="Arial" w:hAnsi="Arial" w:cs="Arial"/>
          <w:sz w:val="24"/>
          <w:szCs w:val="24"/>
        </w:rPr>
        <w:t>Harrod</w:t>
      </w:r>
      <w:proofErr w:type="spellEnd"/>
      <w:r w:rsidRPr="00084133">
        <w:rPr>
          <w:rFonts w:ascii="Arial" w:hAnsi="Arial" w:cs="Arial"/>
          <w:sz w:val="24"/>
          <w:szCs w:val="24"/>
        </w:rPr>
        <w:t xml:space="preserve"> put forward a growth model, the </w:t>
      </w:r>
      <w:proofErr w:type="spellStart"/>
      <w:r w:rsidRPr="00084133">
        <w:rPr>
          <w:rFonts w:ascii="Arial" w:hAnsi="Arial" w:cs="Arial"/>
          <w:sz w:val="24"/>
          <w:szCs w:val="24"/>
        </w:rPr>
        <w:t>Harrod-Domar</w:t>
      </w:r>
      <w:proofErr w:type="spellEnd"/>
      <w:r w:rsidRPr="00084133">
        <w:rPr>
          <w:rFonts w:ascii="Arial" w:hAnsi="Arial" w:cs="Arial"/>
          <w:sz w:val="24"/>
          <w:szCs w:val="24"/>
        </w:rPr>
        <w:t xml:space="preserve"> growth model that postulates that increased investment accelerates economic growth (</w:t>
      </w:r>
      <w:proofErr w:type="spellStart"/>
      <w:r w:rsidRPr="00084133">
        <w:rPr>
          <w:rFonts w:ascii="Arial" w:hAnsi="Arial" w:cs="Arial"/>
          <w:sz w:val="24"/>
          <w:szCs w:val="24"/>
        </w:rPr>
        <w:t>Fredriksen</w:t>
      </w:r>
      <w:proofErr w:type="spellEnd"/>
      <w:r w:rsidRPr="00084133">
        <w:rPr>
          <w:rFonts w:ascii="Arial" w:hAnsi="Arial" w:cs="Arial"/>
          <w:sz w:val="24"/>
          <w:szCs w:val="24"/>
        </w:rPr>
        <w:t xml:space="preserve"> 2012). The structural changes theory view is on the transformation of the underdeveloped countries’ economies subsistence agricultural practice to industrial and service-based economies. </w:t>
      </w:r>
    </w:p>
    <w:p w:rsidR="005E55FF" w:rsidRPr="00084133" w:rsidRDefault="005E55FF" w:rsidP="005E55FF">
      <w:pPr>
        <w:spacing w:line="480" w:lineRule="auto"/>
        <w:rPr>
          <w:rFonts w:ascii="Arial" w:hAnsi="Arial" w:cs="Arial"/>
          <w:b/>
          <w:sz w:val="24"/>
          <w:szCs w:val="24"/>
        </w:rPr>
      </w:pPr>
      <w:r w:rsidRPr="00084133">
        <w:rPr>
          <w:rFonts w:ascii="Arial" w:hAnsi="Arial" w:cs="Arial"/>
          <w:b/>
          <w:sz w:val="24"/>
          <w:szCs w:val="24"/>
        </w:rPr>
        <w:t>Australia and income inequalities.</w:t>
      </w:r>
    </w:p>
    <w:p w:rsidR="005E55FF" w:rsidRPr="00084133" w:rsidRDefault="005E55FF" w:rsidP="005E55FF">
      <w:pPr>
        <w:spacing w:line="480" w:lineRule="auto"/>
        <w:rPr>
          <w:rFonts w:ascii="Arial" w:hAnsi="Arial" w:cs="Arial"/>
          <w:sz w:val="24"/>
          <w:szCs w:val="24"/>
        </w:rPr>
      </w:pPr>
      <w:r w:rsidRPr="00084133">
        <w:rPr>
          <w:rFonts w:ascii="Arial" w:hAnsi="Arial" w:cs="Arial"/>
          <w:sz w:val="24"/>
          <w:szCs w:val="24"/>
        </w:rPr>
        <w:t>Australia is a developed country and has a high gross domestic product, compared to the poor countries. The development policies it adopts are thus different from those of developing countries as it has more industries and higher proportion of its population lives in urban areas. The above policies relate to the millennium development goals, which are a framework that 185 countries around the world agreed upon to be their development milestones for attainment by 2015 (OECD (2008a). The goals influence greatly the activities that financial assistance the countries receive as the aid aim is at helping countries in achieving the specific goals (</w:t>
      </w:r>
      <w:proofErr w:type="spellStart"/>
      <w:r w:rsidRPr="00084133">
        <w:rPr>
          <w:rFonts w:ascii="Arial" w:hAnsi="Arial" w:cs="Arial"/>
          <w:sz w:val="24"/>
          <w:szCs w:val="24"/>
        </w:rPr>
        <w:t>Fredriksen</w:t>
      </w:r>
      <w:proofErr w:type="spellEnd"/>
      <w:r w:rsidRPr="00084133">
        <w:rPr>
          <w:rFonts w:ascii="Arial" w:hAnsi="Arial" w:cs="Arial"/>
          <w:sz w:val="24"/>
          <w:szCs w:val="24"/>
        </w:rPr>
        <w:t xml:space="preserve"> 2012).  </w:t>
      </w:r>
    </w:p>
    <w:p w:rsidR="005E55FF" w:rsidRPr="00084133" w:rsidRDefault="005E55FF" w:rsidP="005E55FF">
      <w:pPr>
        <w:spacing w:line="480" w:lineRule="auto"/>
        <w:rPr>
          <w:rFonts w:ascii="Arial" w:hAnsi="Arial" w:cs="Arial"/>
          <w:sz w:val="24"/>
          <w:szCs w:val="24"/>
        </w:rPr>
      </w:pPr>
      <w:r w:rsidRPr="00084133">
        <w:rPr>
          <w:rFonts w:ascii="Arial" w:hAnsi="Arial" w:cs="Arial"/>
          <w:sz w:val="24"/>
          <w:szCs w:val="24"/>
        </w:rPr>
        <w:t xml:space="preserve">The Australian economy is driven by highly competitive end </w:t>
      </w:r>
      <w:r w:rsidR="00512933" w:rsidRPr="00084133">
        <w:rPr>
          <w:rFonts w:ascii="Arial" w:hAnsi="Arial" w:cs="Arial"/>
          <w:sz w:val="24"/>
          <w:szCs w:val="24"/>
        </w:rPr>
        <w:t>industries</w:t>
      </w:r>
      <w:r w:rsidRPr="00084133">
        <w:rPr>
          <w:rFonts w:ascii="Arial" w:hAnsi="Arial" w:cs="Arial"/>
          <w:sz w:val="24"/>
          <w:szCs w:val="24"/>
        </w:rPr>
        <w:t xml:space="preserve"> that manufacture high end products. The exportation of Australian products to rich countries is faced by the challenge of cheaper exports from developing countries to developed countries. The products are cheaper thus ending up being preferred to those from Australia. </w:t>
      </w:r>
      <w:r w:rsidR="00512933" w:rsidRPr="00084133">
        <w:rPr>
          <w:rFonts w:ascii="Arial" w:hAnsi="Arial" w:cs="Arial"/>
          <w:sz w:val="24"/>
          <w:szCs w:val="24"/>
        </w:rPr>
        <w:t xml:space="preserve">The Bill Gates foundation contributes to the society projects to benefit the less fortunate and those living in abject poverty. It is imperative that the difference in the incomes in the </w:t>
      </w:r>
      <w:r w:rsidR="00512933" w:rsidRPr="00084133">
        <w:rPr>
          <w:rFonts w:ascii="Arial" w:hAnsi="Arial" w:cs="Arial"/>
          <w:sz w:val="24"/>
          <w:szCs w:val="24"/>
        </w:rPr>
        <w:lastRenderedPageBreak/>
        <w:t xml:space="preserve">rich countries form a major basis in which the countries participate in global humanitarian programs. Australia compared to other rich countries contributes less in form of donor funds. </w:t>
      </w:r>
    </w:p>
    <w:p w:rsidR="005E55FF" w:rsidRPr="00084133" w:rsidRDefault="005E55FF" w:rsidP="005E55FF">
      <w:pPr>
        <w:spacing w:line="480" w:lineRule="auto"/>
        <w:rPr>
          <w:rFonts w:ascii="Arial" w:hAnsi="Arial" w:cs="Arial"/>
          <w:sz w:val="24"/>
          <w:szCs w:val="24"/>
        </w:rPr>
      </w:pPr>
      <w:r w:rsidRPr="00084133">
        <w:rPr>
          <w:rFonts w:ascii="Arial" w:hAnsi="Arial" w:cs="Arial"/>
          <w:sz w:val="24"/>
          <w:szCs w:val="24"/>
        </w:rPr>
        <w:t xml:space="preserve">Income inequality is highly increased by increased accumulation of income at the top of the income scale where few individuals get more incomes, compared to the majority. According to </w:t>
      </w:r>
      <w:proofErr w:type="spellStart"/>
      <w:r w:rsidRPr="00084133">
        <w:rPr>
          <w:rFonts w:ascii="Arial" w:hAnsi="Arial" w:cs="Arial"/>
          <w:sz w:val="24"/>
          <w:szCs w:val="24"/>
        </w:rPr>
        <w:t>Hoeller</w:t>
      </w:r>
      <w:proofErr w:type="spellEnd"/>
      <w:r w:rsidRPr="00084133">
        <w:rPr>
          <w:rFonts w:ascii="Arial" w:hAnsi="Arial" w:cs="Arial"/>
          <w:sz w:val="24"/>
          <w:szCs w:val="24"/>
        </w:rPr>
        <w:t xml:space="preserve"> (2012: 24), increases of incomes at the top cause a rising income inequality. The Australian government aims at ensuring that the inequality amelioration by taxation system that ensures that tax paid is in proportion to the amount of income one has. According to </w:t>
      </w:r>
      <w:proofErr w:type="spellStart"/>
      <w:r w:rsidRPr="00084133">
        <w:rPr>
          <w:rFonts w:ascii="Arial" w:hAnsi="Arial" w:cs="Arial"/>
          <w:sz w:val="24"/>
          <w:szCs w:val="24"/>
        </w:rPr>
        <w:t>Gloolsbee</w:t>
      </w:r>
      <w:proofErr w:type="spellEnd"/>
      <w:r w:rsidRPr="00084133">
        <w:rPr>
          <w:rFonts w:ascii="Arial" w:hAnsi="Arial" w:cs="Arial"/>
          <w:sz w:val="24"/>
          <w:szCs w:val="24"/>
        </w:rPr>
        <w:t xml:space="preserve"> (2000: 67), tax system influences at times the compensation mix where the lower compensations may be taxed more, and this may have the effect of boosting the disposable income of the top income earners.</w:t>
      </w:r>
      <w:r w:rsidR="00512933" w:rsidRPr="00084133">
        <w:rPr>
          <w:rFonts w:ascii="Arial" w:hAnsi="Arial" w:cs="Arial"/>
          <w:sz w:val="24"/>
          <w:szCs w:val="24"/>
        </w:rPr>
        <w:t xml:space="preserve"> Incomes in Australia differ from those of other developed countries, this is due to development level disparity. </w:t>
      </w:r>
      <w:r w:rsidRPr="00084133">
        <w:rPr>
          <w:rFonts w:ascii="Arial" w:hAnsi="Arial" w:cs="Arial"/>
          <w:sz w:val="24"/>
          <w:szCs w:val="24"/>
        </w:rPr>
        <w:t xml:space="preserve"> </w:t>
      </w:r>
    </w:p>
    <w:p w:rsidR="005E55FF" w:rsidRPr="00084133" w:rsidRDefault="005E55FF" w:rsidP="005E55FF">
      <w:pPr>
        <w:spacing w:line="480" w:lineRule="auto"/>
        <w:rPr>
          <w:rFonts w:ascii="Arial" w:hAnsi="Arial" w:cs="Arial"/>
          <w:sz w:val="24"/>
          <w:szCs w:val="24"/>
        </w:rPr>
      </w:pPr>
      <w:r w:rsidRPr="00084133">
        <w:rPr>
          <w:rFonts w:ascii="Arial" w:hAnsi="Arial" w:cs="Arial"/>
          <w:sz w:val="24"/>
          <w:szCs w:val="24"/>
        </w:rPr>
        <w:t xml:space="preserve">The technological changes and </w:t>
      </w:r>
      <w:proofErr w:type="spellStart"/>
      <w:r w:rsidRPr="00084133">
        <w:rPr>
          <w:rFonts w:ascii="Arial" w:hAnsi="Arial" w:cs="Arial"/>
          <w:sz w:val="24"/>
          <w:szCs w:val="24"/>
        </w:rPr>
        <w:t>globalisation</w:t>
      </w:r>
      <w:proofErr w:type="spellEnd"/>
      <w:r w:rsidRPr="00084133">
        <w:rPr>
          <w:rFonts w:ascii="Arial" w:hAnsi="Arial" w:cs="Arial"/>
          <w:sz w:val="24"/>
          <w:szCs w:val="24"/>
        </w:rPr>
        <w:t xml:space="preserve"> effects are causes of inequalities. The government, in adopting the relevant strategies of ensuring that the framework of ensuring the key inequalities reduction, has to address various issues affecting the country. </w:t>
      </w:r>
      <w:proofErr w:type="spellStart"/>
      <w:r w:rsidRPr="00084133">
        <w:rPr>
          <w:rFonts w:ascii="Arial" w:hAnsi="Arial" w:cs="Arial"/>
          <w:sz w:val="24"/>
          <w:szCs w:val="24"/>
        </w:rPr>
        <w:t>Globalisation</w:t>
      </w:r>
      <w:proofErr w:type="spellEnd"/>
      <w:r w:rsidRPr="00084133">
        <w:rPr>
          <w:rFonts w:ascii="Arial" w:hAnsi="Arial" w:cs="Arial"/>
          <w:sz w:val="24"/>
          <w:szCs w:val="24"/>
        </w:rPr>
        <w:t xml:space="preserve"> aggravated by technology continues to widen the market for products that are highly competitive and shrinking the market for non-competitive or new products. The widening of markets for high-end products, which are superior via branding, eventually boosts the income of the top-notch companies, mostly multi-nationals, mostly owned by the few rich individuals (Gordon and Dew-Becker 2008: 231). According to </w:t>
      </w:r>
      <w:proofErr w:type="spellStart"/>
      <w:r w:rsidRPr="00084133">
        <w:rPr>
          <w:rFonts w:ascii="Arial" w:hAnsi="Arial" w:cs="Arial"/>
          <w:sz w:val="24"/>
          <w:szCs w:val="24"/>
        </w:rPr>
        <w:t>Cunat</w:t>
      </w:r>
      <w:proofErr w:type="spellEnd"/>
      <w:r w:rsidRPr="00084133">
        <w:rPr>
          <w:rFonts w:ascii="Arial" w:hAnsi="Arial" w:cs="Arial"/>
          <w:sz w:val="24"/>
          <w:szCs w:val="24"/>
        </w:rPr>
        <w:t xml:space="preserve"> and Guadalupe 2009: 86), deregulation and </w:t>
      </w:r>
      <w:proofErr w:type="spellStart"/>
      <w:r w:rsidRPr="00084133">
        <w:rPr>
          <w:rFonts w:ascii="Arial" w:hAnsi="Arial" w:cs="Arial"/>
          <w:sz w:val="24"/>
          <w:szCs w:val="24"/>
        </w:rPr>
        <w:t>globalisation</w:t>
      </w:r>
      <w:proofErr w:type="spellEnd"/>
      <w:r w:rsidRPr="00084133">
        <w:rPr>
          <w:rFonts w:ascii="Arial" w:hAnsi="Arial" w:cs="Arial"/>
          <w:sz w:val="24"/>
          <w:szCs w:val="24"/>
        </w:rPr>
        <w:t xml:space="preserve"> have increased competition rapidly globally. </w:t>
      </w:r>
    </w:p>
    <w:p w:rsidR="005E55FF" w:rsidRPr="00084133" w:rsidRDefault="005E55FF" w:rsidP="005E55FF">
      <w:pPr>
        <w:spacing w:line="480" w:lineRule="auto"/>
        <w:rPr>
          <w:rFonts w:ascii="Arial" w:hAnsi="Arial" w:cs="Arial"/>
          <w:b/>
          <w:sz w:val="24"/>
          <w:szCs w:val="24"/>
        </w:rPr>
      </w:pPr>
      <w:r w:rsidRPr="00084133">
        <w:rPr>
          <w:rFonts w:ascii="Arial" w:hAnsi="Arial" w:cs="Arial"/>
          <w:b/>
          <w:sz w:val="24"/>
          <w:szCs w:val="24"/>
        </w:rPr>
        <w:lastRenderedPageBreak/>
        <w:t xml:space="preserve">Conclusion </w:t>
      </w:r>
    </w:p>
    <w:p w:rsidR="005E55FF" w:rsidRPr="00084133" w:rsidRDefault="005E55FF" w:rsidP="005E55FF">
      <w:pPr>
        <w:spacing w:line="480" w:lineRule="auto"/>
        <w:rPr>
          <w:rFonts w:ascii="Arial" w:hAnsi="Arial" w:cs="Arial"/>
          <w:sz w:val="24"/>
          <w:szCs w:val="24"/>
        </w:rPr>
      </w:pPr>
      <w:proofErr w:type="spellStart"/>
      <w:r w:rsidRPr="00084133">
        <w:rPr>
          <w:rFonts w:ascii="Arial" w:hAnsi="Arial" w:cs="Arial"/>
          <w:sz w:val="24"/>
          <w:szCs w:val="24"/>
        </w:rPr>
        <w:t>Globalisation</w:t>
      </w:r>
      <w:proofErr w:type="spellEnd"/>
      <w:r w:rsidRPr="00084133">
        <w:rPr>
          <w:rFonts w:ascii="Arial" w:hAnsi="Arial" w:cs="Arial"/>
          <w:sz w:val="24"/>
          <w:szCs w:val="24"/>
        </w:rPr>
        <w:t xml:space="preserve">, eventually, will lead to lower state control of the business activities as </w:t>
      </w:r>
      <w:proofErr w:type="spellStart"/>
      <w:r w:rsidRPr="00084133">
        <w:rPr>
          <w:rFonts w:ascii="Arial" w:hAnsi="Arial" w:cs="Arial"/>
          <w:sz w:val="24"/>
          <w:szCs w:val="24"/>
        </w:rPr>
        <w:t>liberalisation</w:t>
      </w:r>
      <w:proofErr w:type="spellEnd"/>
      <w:r w:rsidRPr="00084133">
        <w:rPr>
          <w:rFonts w:ascii="Arial" w:hAnsi="Arial" w:cs="Arial"/>
          <w:sz w:val="24"/>
          <w:szCs w:val="24"/>
        </w:rPr>
        <w:t xml:space="preserve"> of markets becomes more rampant. The countries that will embrace </w:t>
      </w:r>
      <w:proofErr w:type="spellStart"/>
      <w:r w:rsidRPr="00084133">
        <w:rPr>
          <w:rFonts w:ascii="Arial" w:hAnsi="Arial" w:cs="Arial"/>
          <w:sz w:val="24"/>
          <w:szCs w:val="24"/>
        </w:rPr>
        <w:t>globalisation</w:t>
      </w:r>
      <w:proofErr w:type="spellEnd"/>
      <w:r w:rsidRPr="00084133">
        <w:rPr>
          <w:rFonts w:ascii="Arial" w:hAnsi="Arial" w:cs="Arial"/>
          <w:sz w:val="24"/>
          <w:szCs w:val="24"/>
        </w:rPr>
        <w:t xml:space="preserve"> with better policies in their development frameworks are likely to be the net gainers in income rises. This will result in wider market reach and more competition, which yield higher quality products. Australian taxing ability is crucial to the government; the power of the fiscal policy remains at its core in order to ensure equity in income redistribution despite </w:t>
      </w:r>
      <w:proofErr w:type="spellStart"/>
      <w:r w:rsidRPr="00084133">
        <w:rPr>
          <w:rFonts w:ascii="Arial" w:hAnsi="Arial" w:cs="Arial"/>
          <w:sz w:val="24"/>
          <w:szCs w:val="24"/>
        </w:rPr>
        <w:t>globalisation</w:t>
      </w:r>
      <w:proofErr w:type="spellEnd"/>
      <w:r w:rsidRPr="00084133">
        <w:rPr>
          <w:rFonts w:ascii="Arial" w:hAnsi="Arial" w:cs="Arial"/>
          <w:sz w:val="24"/>
          <w:szCs w:val="24"/>
        </w:rPr>
        <w:t xml:space="preserve"> (Clooney 2002). The inequality in income distribution among the rich countries can be attributed to adoption of different technologies in the production activities. </w:t>
      </w:r>
    </w:p>
    <w:p w:rsidR="005E55FF" w:rsidRPr="00084133" w:rsidRDefault="005E55FF" w:rsidP="005E55FF">
      <w:pPr>
        <w:spacing w:line="480" w:lineRule="auto"/>
        <w:rPr>
          <w:rFonts w:ascii="Arial" w:hAnsi="Arial" w:cs="Arial"/>
          <w:sz w:val="24"/>
          <w:szCs w:val="24"/>
        </w:rPr>
      </w:pPr>
    </w:p>
    <w:p w:rsidR="005E55FF" w:rsidRPr="00084133" w:rsidRDefault="005E55FF" w:rsidP="005E55FF">
      <w:pPr>
        <w:spacing w:line="480" w:lineRule="auto"/>
        <w:rPr>
          <w:rFonts w:ascii="Arial" w:hAnsi="Arial" w:cs="Arial"/>
          <w:sz w:val="24"/>
          <w:szCs w:val="24"/>
        </w:rPr>
      </w:pPr>
    </w:p>
    <w:p w:rsidR="005E55FF" w:rsidRPr="00084133" w:rsidRDefault="005E55FF" w:rsidP="005E55FF">
      <w:pPr>
        <w:spacing w:line="480" w:lineRule="auto"/>
        <w:rPr>
          <w:rFonts w:ascii="Arial" w:hAnsi="Arial" w:cs="Arial"/>
          <w:sz w:val="24"/>
          <w:szCs w:val="24"/>
        </w:rPr>
      </w:pPr>
    </w:p>
    <w:p w:rsidR="005E55FF" w:rsidRPr="00084133" w:rsidRDefault="005E55FF" w:rsidP="005E55FF">
      <w:pPr>
        <w:spacing w:line="480" w:lineRule="auto"/>
        <w:rPr>
          <w:rFonts w:ascii="Arial" w:hAnsi="Arial" w:cs="Arial"/>
          <w:sz w:val="24"/>
          <w:szCs w:val="24"/>
        </w:rPr>
      </w:pPr>
    </w:p>
    <w:p w:rsidR="005E55FF" w:rsidRPr="00084133" w:rsidRDefault="005E55FF" w:rsidP="005E55FF">
      <w:pPr>
        <w:spacing w:line="480" w:lineRule="auto"/>
        <w:rPr>
          <w:rFonts w:ascii="Arial" w:hAnsi="Arial" w:cs="Arial"/>
          <w:sz w:val="24"/>
          <w:szCs w:val="24"/>
        </w:rPr>
      </w:pPr>
    </w:p>
    <w:p w:rsidR="005E55FF" w:rsidRPr="00084133" w:rsidRDefault="005E55FF" w:rsidP="005E55FF">
      <w:pPr>
        <w:spacing w:line="480" w:lineRule="auto"/>
        <w:rPr>
          <w:rFonts w:ascii="Arial" w:hAnsi="Arial" w:cs="Arial"/>
          <w:sz w:val="24"/>
          <w:szCs w:val="24"/>
        </w:rPr>
      </w:pPr>
    </w:p>
    <w:p w:rsidR="005E55FF" w:rsidRPr="00084133" w:rsidRDefault="005E55FF" w:rsidP="005E55FF">
      <w:pPr>
        <w:spacing w:line="480" w:lineRule="auto"/>
        <w:rPr>
          <w:rFonts w:ascii="Arial" w:hAnsi="Arial" w:cs="Arial"/>
          <w:sz w:val="24"/>
          <w:szCs w:val="24"/>
        </w:rPr>
      </w:pPr>
    </w:p>
    <w:p w:rsidR="005E55FF" w:rsidRPr="00084133" w:rsidRDefault="005E55FF" w:rsidP="005E55FF">
      <w:pPr>
        <w:spacing w:line="480" w:lineRule="auto"/>
        <w:rPr>
          <w:rFonts w:ascii="Arial" w:hAnsi="Arial" w:cs="Arial"/>
          <w:sz w:val="24"/>
          <w:szCs w:val="24"/>
        </w:rPr>
      </w:pPr>
    </w:p>
    <w:p w:rsidR="005E55FF" w:rsidRPr="00084133" w:rsidRDefault="005E55FF" w:rsidP="005E55FF">
      <w:pPr>
        <w:spacing w:line="480" w:lineRule="auto"/>
        <w:rPr>
          <w:rFonts w:ascii="Arial" w:hAnsi="Arial" w:cs="Arial"/>
          <w:sz w:val="24"/>
          <w:szCs w:val="24"/>
        </w:rPr>
      </w:pPr>
    </w:p>
    <w:p w:rsidR="005E55FF" w:rsidRPr="00084133" w:rsidRDefault="005E55FF" w:rsidP="005E55FF">
      <w:pPr>
        <w:spacing w:line="480" w:lineRule="auto"/>
        <w:rPr>
          <w:rFonts w:ascii="Arial" w:hAnsi="Arial" w:cs="Arial"/>
          <w:sz w:val="24"/>
          <w:szCs w:val="24"/>
        </w:rPr>
      </w:pPr>
    </w:p>
    <w:p w:rsidR="005E55FF" w:rsidRPr="00084133" w:rsidRDefault="005E55FF" w:rsidP="005E55FF">
      <w:pPr>
        <w:spacing w:line="480" w:lineRule="auto"/>
        <w:rPr>
          <w:rFonts w:ascii="Arial" w:hAnsi="Arial" w:cs="Arial"/>
          <w:b/>
          <w:sz w:val="24"/>
          <w:szCs w:val="24"/>
        </w:rPr>
      </w:pPr>
      <w:r w:rsidRPr="00084133">
        <w:rPr>
          <w:rFonts w:ascii="Arial" w:hAnsi="Arial" w:cs="Arial"/>
          <w:b/>
          <w:sz w:val="24"/>
          <w:szCs w:val="24"/>
        </w:rPr>
        <w:t xml:space="preserve">References. </w:t>
      </w:r>
    </w:p>
    <w:p w:rsidR="005E55FF" w:rsidRPr="00084133" w:rsidRDefault="005E55FF" w:rsidP="005E55FF">
      <w:pPr>
        <w:spacing w:line="480" w:lineRule="auto"/>
        <w:rPr>
          <w:rFonts w:ascii="Arial" w:hAnsi="Arial" w:cs="Arial"/>
          <w:b/>
          <w:sz w:val="24"/>
          <w:szCs w:val="24"/>
        </w:rPr>
      </w:pPr>
      <w:r w:rsidRPr="00084133">
        <w:rPr>
          <w:rFonts w:ascii="Arial" w:hAnsi="Arial" w:cs="Arial"/>
          <w:sz w:val="24"/>
          <w:szCs w:val="24"/>
        </w:rPr>
        <w:t xml:space="preserve">Annual Letter from Bill Gates. </w:t>
      </w:r>
      <w:r w:rsidRPr="00084133">
        <w:rPr>
          <w:rFonts w:ascii="Arial" w:hAnsi="Arial" w:cs="Arial"/>
          <w:iCs/>
          <w:sz w:val="24"/>
          <w:szCs w:val="24"/>
        </w:rPr>
        <w:t>Available:</w:t>
      </w:r>
      <w:r w:rsidRPr="00084133">
        <w:rPr>
          <w:rFonts w:ascii="Arial" w:hAnsi="Arial" w:cs="Arial"/>
          <w:sz w:val="24"/>
          <w:szCs w:val="24"/>
        </w:rPr>
        <w:t xml:space="preserve"> </w:t>
      </w:r>
      <w:hyperlink r:id="rId7" w:history="1">
        <w:r w:rsidRPr="00084133">
          <w:rPr>
            <w:rStyle w:val="Hyperlink"/>
            <w:rFonts w:ascii="Arial" w:hAnsi="Arial" w:cs="Arial"/>
            <w:color w:val="auto"/>
            <w:sz w:val="24"/>
            <w:szCs w:val="24"/>
          </w:rPr>
          <w:t>http://www.gatesnotes.com/2015annualletter?page=0&amp;lang=en&amp;WT.mc_id=01_21_2015_AL2015-GF_GFO_domain_Top_21</w:t>
        </w:r>
      </w:hyperlink>
      <w:r w:rsidRPr="00084133">
        <w:rPr>
          <w:rFonts w:ascii="Arial" w:hAnsi="Arial" w:cs="Arial"/>
          <w:sz w:val="24"/>
          <w:szCs w:val="24"/>
        </w:rPr>
        <w:t>. [</w:t>
      </w:r>
      <w:r w:rsidRPr="00084133">
        <w:rPr>
          <w:rFonts w:ascii="Arial" w:hAnsi="Arial" w:cs="Arial"/>
          <w:iCs/>
          <w:sz w:val="24"/>
          <w:szCs w:val="24"/>
        </w:rPr>
        <w:t>Accessed 8 April 2015</w:t>
      </w:r>
      <w:r w:rsidRPr="00084133">
        <w:rPr>
          <w:rFonts w:ascii="Arial" w:hAnsi="Arial" w:cs="Arial"/>
          <w:sz w:val="24"/>
          <w:szCs w:val="24"/>
        </w:rPr>
        <w:t>].</w:t>
      </w:r>
    </w:p>
    <w:p w:rsidR="005E55FF" w:rsidRPr="00084133" w:rsidRDefault="005E55FF" w:rsidP="005E55FF">
      <w:pPr>
        <w:spacing w:line="480" w:lineRule="auto"/>
        <w:rPr>
          <w:rFonts w:ascii="Arial" w:hAnsi="Arial" w:cs="Arial"/>
          <w:sz w:val="24"/>
          <w:szCs w:val="24"/>
        </w:rPr>
      </w:pPr>
      <w:r w:rsidRPr="00084133">
        <w:rPr>
          <w:rFonts w:ascii="Arial" w:hAnsi="Arial" w:cs="Arial"/>
          <w:sz w:val="24"/>
          <w:szCs w:val="24"/>
        </w:rPr>
        <w:t>Conley, Tom 2002, ’</w:t>
      </w:r>
      <w:proofErr w:type="spellStart"/>
      <w:r w:rsidRPr="00084133">
        <w:rPr>
          <w:rFonts w:ascii="Arial" w:hAnsi="Arial" w:cs="Arial"/>
          <w:sz w:val="24"/>
          <w:szCs w:val="24"/>
        </w:rPr>
        <w:t>Globalisation</w:t>
      </w:r>
      <w:proofErr w:type="spellEnd"/>
      <w:r w:rsidRPr="00084133">
        <w:rPr>
          <w:rFonts w:ascii="Arial" w:hAnsi="Arial" w:cs="Arial"/>
          <w:sz w:val="24"/>
          <w:szCs w:val="24"/>
        </w:rPr>
        <w:t xml:space="preserve"> as constraint and opportunity: The restructuring of the Australian political economy,’ </w:t>
      </w:r>
      <w:r w:rsidRPr="00084133">
        <w:rPr>
          <w:rFonts w:ascii="Arial" w:hAnsi="Arial" w:cs="Arial"/>
          <w:i/>
          <w:iCs/>
          <w:sz w:val="24"/>
          <w:szCs w:val="24"/>
        </w:rPr>
        <w:t>Global Society</w:t>
      </w:r>
      <w:r w:rsidRPr="00084133">
        <w:rPr>
          <w:rFonts w:ascii="Arial" w:hAnsi="Arial" w:cs="Arial"/>
          <w:sz w:val="24"/>
          <w:szCs w:val="24"/>
        </w:rPr>
        <w:t>, vol. 16, no. 4.</w:t>
      </w:r>
    </w:p>
    <w:p w:rsidR="005E55FF" w:rsidRPr="00084133" w:rsidRDefault="005E55FF" w:rsidP="005E55FF">
      <w:pPr>
        <w:spacing w:line="480" w:lineRule="auto"/>
        <w:rPr>
          <w:rFonts w:ascii="Arial" w:hAnsi="Arial" w:cs="Arial"/>
          <w:sz w:val="24"/>
          <w:szCs w:val="24"/>
        </w:rPr>
      </w:pPr>
      <w:proofErr w:type="spellStart"/>
      <w:r w:rsidRPr="00084133">
        <w:rPr>
          <w:rFonts w:ascii="Arial" w:hAnsi="Arial" w:cs="Arial"/>
          <w:sz w:val="24"/>
          <w:szCs w:val="24"/>
        </w:rPr>
        <w:t>Corbridge</w:t>
      </w:r>
      <w:proofErr w:type="spellEnd"/>
      <w:r w:rsidRPr="00084133">
        <w:rPr>
          <w:rFonts w:ascii="Arial" w:hAnsi="Arial" w:cs="Arial"/>
          <w:sz w:val="24"/>
          <w:szCs w:val="24"/>
        </w:rPr>
        <w:t xml:space="preserve">, S. (ed.) 1995, </w:t>
      </w:r>
      <w:r w:rsidRPr="00084133">
        <w:rPr>
          <w:rFonts w:ascii="Arial" w:hAnsi="Arial" w:cs="Arial"/>
          <w:i/>
          <w:iCs/>
          <w:sz w:val="24"/>
          <w:szCs w:val="24"/>
        </w:rPr>
        <w:t>Development Studies a Reader</w:t>
      </w:r>
      <w:r w:rsidRPr="00084133">
        <w:rPr>
          <w:rFonts w:ascii="Arial" w:hAnsi="Arial" w:cs="Arial"/>
          <w:sz w:val="24"/>
          <w:szCs w:val="24"/>
        </w:rPr>
        <w:t xml:space="preserve">, London: Arnold. </w:t>
      </w:r>
    </w:p>
    <w:p w:rsidR="005E55FF" w:rsidRPr="00084133" w:rsidRDefault="005E55FF" w:rsidP="005E55FF">
      <w:pPr>
        <w:spacing w:line="480" w:lineRule="auto"/>
        <w:rPr>
          <w:rFonts w:ascii="Arial" w:hAnsi="Arial" w:cs="Arial"/>
          <w:sz w:val="24"/>
          <w:szCs w:val="24"/>
        </w:rPr>
      </w:pPr>
      <w:proofErr w:type="spellStart"/>
      <w:r w:rsidRPr="00084133">
        <w:rPr>
          <w:rFonts w:ascii="Arial" w:hAnsi="Arial" w:cs="Arial"/>
          <w:sz w:val="24"/>
          <w:szCs w:val="24"/>
        </w:rPr>
        <w:t>Fredriksen</w:t>
      </w:r>
      <w:proofErr w:type="spellEnd"/>
      <w:r w:rsidRPr="00084133">
        <w:rPr>
          <w:rFonts w:ascii="Arial" w:hAnsi="Arial" w:cs="Arial"/>
          <w:sz w:val="24"/>
          <w:szCs w:val="24"/>
        </w:rPr>
        <w:t xml:space="preserve">, K. 2012, ’Less Income Inequality and More Growth – Are They Compatible? Part 6. The Distribution of Wealth’, OECD Economics Department Working Papers, No. 929, OECD Publishing. </w:t>
      </w:r>
    </w:p>
    <w:p w:rsidR="005E55FF" w:rsidRPr="00084133" w:rsidRDefault="005E55FF" w:rsidP="005E55FF">
      <w:pPr>
        <w:spacing w:line="480" w:lineRule="auto"/>
        <w:rPr>
          <w:rFonts w:ascii="Arial" w:hAnsi="Arial" w:cs="Arial"/>
          <w:sz w:val="24"/>
          <w:szCs w:val="24"/>
        </w:rPr>
      </w:pPr>
      <w:proofErr w:type="spellStart"/>
      <w:r w:rsidRPr="00084133">
        <w:rPr>
          <w:rFonts w:ascii="Arial" w:hAnsi="Arial" w:cs="Arial"/>
          <w:sz w:val="24"/>
          <w:szCs w:val="24"/>
        </w:rPr>
        <w:t>Hoeller</w:t>
      </w:r>
      <w:proofErr w:type="spellEnd"/>
      <w:r w:rsidRPr="00084133">
        <w:rPr>
          <w:rFonts w:ascii="Arial" w:hAnsi="Arial" w:cs="Arial"/>
          <w:sz w:val="24"/>
          <w:szCs w:val="24"/>
        </w:rPr>
        <w:t xml:space="preserve">, P. 2012, ’Less Income Inequality and More Growth – Are They Compatible? Part 4. Top Incomes’, OECD Economics Department Working Papers, No. 927, OECD Publishing. </w:t>
      </w:r>
    </w:p>
    <w:p w:rsidR="005E55FF" w:rsidRPr="00084133" w:rsidRDefault="005E55FF" w:rsidP="005E55FF">
      <w:pPr>
        <w:spacing w:line="480" w:lineRule="auto"/>
        <w:rPr>
          <w:rFonts w:ascii="Arial" w:hAnsi="Arial" w:cs="Arial"/>
          <w:sz w:val="24"/>
          <w:szCs w:val="24"/>
        </w:rPr>
      </w:pPr>
      <w:r w:rsidRPr="00084133">
        <w:rPr>
          <w:rFonts w:ascii="Arial" w:hAnsi="Arial" w:cs="Arial"/>
          <w:sz w:val="24"/>
          <w:szCs w:val="24"/>
        </w:rPr>
        <w:t xml:space="preserve">Graham K. B. 2015, Gates Foundation is too big to ignore the politics of poverty. </w:t>
      </w:r>
      <w:r w:rsidRPr="00084133">
        <w:rPr>
          <w:rFonts w:ascii="Arial" w:hAnsi="Arial" w:cs="Arial"/>
          <w:iCs/>
          <w:sz w:val="24"/>
          <w:szCs w:val="24"/>
        </w:rPr>
        <w:t xml:space="preserve">Available: </w:t>
      </w:r>
      <w:hyperlink r:id="rId8" w:history="1">
        <w:r w:rsidRPr="00084133">
          <w:rPr>
            <w:rStyle w:val="Hyperlink"/>
            <w:rFonts w:ascii="Arial" w:hAnsi="Arial" w:cs="Arial"/>
            <w:color w:val="auto"/>
            <w:sz w:val="24"/>
            <w:szCs w:val="24"/>
          </w:rPr>
          <w:t>https://theconversation.com/gates-foundation-is-too-big-to-ignore-the-politics-of-poverty-36828 4</w:t>
        </w:r>
      </w:hyperlink>
      <w:r w:rsidRPr="00084133">
        <w:rPr>
          <w:rFonts w:ascii="Arial" w:hAnsi="Arial" w:cs="Arial"/>
          <w:sz w:val="24"/>
          <w:szCs w:val="24"/>
        </w:rPr>
        <w:t xml:space="preserve"> [</w:t>
      </w:r>
      <w:r w:rsidRPr="00084133">
        <w:rPr>
          <w:rFonts w:ascii="Arial" w:hAnsi="Arial" w:cs="Arial"/>
          <w:iCs/>
          <w:sz w:val="24"/>
          <w:szCs w:val="24"/>
        </w:rPr>
        <w:t>Accessed 5 April 2015]</w:t>
      </w:r>
      <w:r w:rsidRPr="00084133">
        <w:rPr>
          <w:rFonts w:ascii="Arial" w:hAnsi="Arial" w:cs="Arial"/>
          <w:sz w:val="24"/>
          <w:szCs w:val="24"/>
        </w:rPr>
        <w:t xml:space="preserve">. </w:t>
      </w:r>
    </w:p>
    <w:p w:rsidR="005E55FF" w:rsidRPr="00084133" w:rsidRDefault="005E55FF" w:rsidP="005E55FF">
      <w:pPr>
        <w:spacing w:line="480" w:lineRule="auto"/>
        <w:rPr>
          <w:rFonts w:ascii="Arial" w:hAnsi="Arial" w:cs="Arial"/>
          <w:sz w:val="24"/>
          <w:szCs w:val="24"/>
        </w:rPr>
      </w:pPr>
      <w:r w:rsidRPr="00084133">
        <w:rPr>
          <w:rFonts w:ascii="Arial" w:hAnsi="Arial" w:cs="Arial"/>
          <w:sz w:val="24"/>
          <w:szCs w:val="24"/>
        </w:rPr>
        <w:t xml:space="preserve">Gore, C. 2000, ‘The rise and fall of the Washington consensus as a paradigm for developing countries,’ </w:t>
      </w:r>
      <w:r w:rsidRPr="00084133">
        <w:rPr>
          <w:rFonts w:ascii="Arial" w:hAnsi="Arial" w:cs="Arial"/>
          <w:i/>
          <w:iCs/>
          <w:sz w:val="24"/>
          <w:szCs w:val="24"/>
        </w:rPr>
        <w:t>World Development</w:t>
      </w:r>
      <w:r w:rsidRPr="00084133">
        <w:rPr>
          <w:rFonts w:ascii="Arial" w:hAnsi="Arial" w:cs="Arial"/>
          <w:sz w:val="24"/>
          <w:szCs w:val="24"/>
        </w:rPr>
        <w:t>, vol. 28, no. 5, pp. 789–804.</w:t>
      </w:r>
    </w:p>
    <w:p w:rsidR="005E55FF" w:rsidRPr="00084133" w:rsidRDefault="005E55FF" w:rsidP="005E55FF">
      <w:pPr>
        <w:spacing w:line="480" w:lineRule="auto"/>
        <w:rPr>
          <w:rFonts w:ascii="Arial" w:hAnsi="Arial" w:cs="Arial"/>
          <w:sz w:val="24"/>
          <w:szCs w:val="24"/>
        </w:rPr>
      </w:pPr>
      <w:proofErr w:type="spellStart"/>
      <w:r w:rsidRPr="00084133">
        <w:rPr>
          <w:rFonts w:ascii="Arial" w:hAnsi="Arial" w:cs="Arial"/>
          <w:sz w:val="24"/>
          <w:szCs w:val="24"/>
        </w:rPr>
        <w:lastRenderedPageBreak/>
        <w:t>Goolsbee</w:t>
      </w:r>
      <w:proofErr w:type="spellEnd"/>
      <w:r w:rsidRPr="00084133">
        <w:rPr>
          <w:rFonts w:ascii="Arial" w:hAnsi="Arial" w:cs="Arial"/>
          <w:sz w:val="24"/>
          <w:szCs w:val="24"/>
        </w:rPr>
        <w:t xml:space="preserve">, A. 2000, ’Taxes, high-income executives, and the perils of revenue estimation in the new economy,’ </w:t>
      </w:r>
      <w:r w:rsidRPr="00084133">
        <w:rPr>
          <w:rFonts w:ascii="Arial" w:hAnsi="Arial" w:cs="Arial"/>
          <w:i/>
          <w:iCs/>
          <w:sz w:val="24"/>
          <w:szCs w:val="24"/>
        </w:rPr>
        <w:t>American Economic Review</w:t>
      </w:r>
      <w:r w:rsidRPr="00084133">
        <w:rPr>
          <w:rFonts w:ascii="Arial" w:hAnsi="Arial" w:cs="Arial"/>
          <w:sz w:val="24"/>
          <w:szCs w:val="24"/>
        </w:rPr>
        <w:t xml:space="preserve">, vol. 90, no. 2, pp. 271-275. </w:t>
      </w:r>
    </w:p>
    <w:p w:rsidR="005E55FF" w:rsidRPr="00084133" w:rsidRDefault="005E55FF" w:rsidP="005E55FF">
      <w:pPr>
        <w:spacing w:line="480" w:lineRule="auto"/>
        <w:rPr>
          <w:rFonts w:ascii="Arial" w:hAnsi="Arial" w:cs="Arial"/>
          <w:sz w:val="24"/>
          <w:szCs w:val="24"/>
        </w:rPr>
      </w:pPr>
      <w:r w:rsidRPr="00084133">
        <w:rPr>
          <w:rFonts w:ascii="Arial" w:hAnsi="Arial" w:cs="Arial"/>
          <w:sz w:val="24"/>
          <w:szCs w:val="24"/>
        </w:rPr>
        <w:t xml:space="preserve">Gordon, R. and I. Dew-Becker 2008, ’Controversies about the Rise of American Inequality: A Survey’, NBER Working Papers, No. 13982, National Bureau of Economic Research. </w:t>
      </w:r>
    </w:p>
    <w:p w:rsidR="005E55FF" w:rsidRPr="00084133" w:rsidRDefault="005E55FF" w:rsidP="005E55FF">
      <w:pPr>
        <w:spacing w:line="480" w:lineRule="auto"/>
        <w:rPr>
          <w:rFonts w:ascii="Arial" w:hAnsi="Arial" w:cs="Arial"/>
          <w:sz w:val="24"/>
          <w:szCs w:val="24"/>
        </w:rPr>
      </w:pPr>
      <w:r w:rsidRPr="00084133">
        <w:rPr>
          <w:rFonts w:ascii="Arial" w:hAnsi="Arial" w:cs="Arial"/>
          <w:sz w:val="24"/>
          <w:szCs w:val="24"/>
        </w:rPr>
        <w:t xml:space="preserve">Guadalupe, M. 2007, ’Product market competition, returns to skill, and wage inequality,’ </w:t>
      </w:r>
      <w:r w:rsidRPr="00084133">
        <w:rPr>
          <w:rFonts w:ascii="Arial" w:hAnsi="Arial" w:cs="Arial"/>
          <w:i/>
          <w:iCs/>
          <w:sz w:val="24"/>
          <w:szCs w:val="24"/>
        </w:rPr>
        <w:t>Journal of Labor Economics</w:t>
      </w:r>
      <w:r w:rsidRPr="00084133">
        <w:rPr>
          <w:rFonts w:ascii="Arial" w:hAnsi="Arial" w:cs="Arial"/>
          <w:sz w:val="24"/>
          <w:szCs w:val="24"/>
        </w:rPr>
        <w:t xml:space="preserve">, vol. 25, no. 3, pp. 439-474. </w:t>
      </w:r>
    </w:p>
    <w:p w:rsidR="005E55FF" w:rsidRPr="00084133" w:rsidRDefault="005E55FF" w:rsidP="005E55FF">
      <w:pPr>
        <w:spacing w:line="480" w:lineRule="auto"/>
        <w:rPr>
          <w:rFonts w:ascii="Arial" w:hAnsi="Arial" w:cs="Arial"/>
          <w:sz w:val="24"/>
          <w:szCs w:val="24"/>
        </w:rPr>
      </w:pPr>
      <w:r w:rsidRPr="00084133">
        <w:rPr>
          <w:rFonts w:ascii="Arial" w:hAnsi="Arial" w:cs="Arial"/>
          <w:sz w:val="24"/>
          <w:szCs w:val="24"/>
        </w:rPr>
        <w:t xml:space="preserve">OECD 2008, </w:t>
      </w:r>
      <w:r w:rsidRPr="00084133">
        <w:rPr>
          <w:rFonts w:ascii="Arial" w:hAnsi="Arial" w:cs="Arial"/>
          <w:i/>
          <w:iCs/>
          <w:sz w:val="24"/>
          <w:szCs w:val="24"/>
        </w:rPr>
        <w:t>Growing Unequal? Income Distribution and Poverty in OECD Countries</w:t>
      </w:r>
      <w:r w:rsidRPr="00084133">
        <w:rPr>
          <w:rFonts w:ascii="Arial" w:hAnsi="Arial" w:cs="Arial"/>
          <w:sz w:val="24"/>
          <w:szCs w:val="24"/>
        </w:rPr>
        <w:t xml:space="preserve">, OECD Publishing. </w:t>
      </w:r>
    </w:p>
    <w:p w:rsidR="005E55FF" w:rsidRPr="00084133" w:rsidRDefault="005E55FF" w:rsidP="005E55FF">
      <w:pPr>
        <w:spacing w:line="480" w:lineRule="auto"/>
        <w:rPr>
          <w:rFonts w:ascii="Arial" w:hAnsi="Arial" w:cs="Arial"/>
          <w:sz w:val="24"/>
          <w:szCs w:val="24"/>
        </w:rPr>
      </w:pPr>
      <w:r w:rsidRPr="00084133">
        <w:rPr>
          <w:rFonts w:ascii="Arial" w:hAnsi="Arial" w:cs="Arial"/>
          <w:sz w:val="24"/>
          <w:szCs w:val="24"/>
        </w:rPr>
        <w:t xml:space="preserve">Thomas, A. 2000, ‘Development as practice in a liberal capitalist world,’ </w:t>
      </w:r>
      <w:r w:rsidRPr="00084133">
        <w:rPr>
          <w:rFonts w:ascii="Arial" w:hAnsi="Arial" w:cs="Arial"/>
          <w:i/>
          <w:iCs/>
          <w:sz w:val="24"/>
          <w:szCs w:val="24"/>
        </w:rPr>
        <w:t>Journal of International Development</w:t>
      </w:r>
      <w:r w:rsidRPr="00084133">
        <w:rPr>
          <w:rFonts w:ascii="Arial" w:hAnsi="Arial" w:cs="Arial"/>
          <w:sz w:val="24"/>
          <w:szCs w:val="24"/>
        </w:rPr>
        <w:t>, vol. 12, no. 6, pp. 773–787. .</w:t>
      </w:r>
    </w:p>
    <w:p w:rsidR="005E55FF" w:rsidRPr="00084133" w:rsidRDefault="005E55FF" w:rsidP="005E55FF">
      <w:pPr>
        <w:spacing w:line="480" w:lineRule="auto"/>
        <w:rPr>
          <w:rFonts w:ascii="Arial" w:hAnsi="Arial" w:cs="Arial"/>
          <w:sz w:val="24"/>
          <w:szCs w:val="24"/>
        </w:rPr>
      </w:pPr>
      <w:r w:rsidRPr="00084133">
        <w:rPr>
          <w:rFonts w:ascii="Arial" w:hAnsi="Arial" w:cs="Arial"/>
          <w:sz w:val="24"/>
          <w:szCs w:val="24"/>
        </w:rPr>
        <w:t xml:space="preserve">Thomas, A. 2004, </w:t>
      </w:r>
      <w:proofErr w:type="gramStart"/>
      <w:r w:rsidRPr="00084133">
        <w:rPr>
          <w:rFonts w:ascii="Arial" w:hAnsi="Arial" w:cs="Arial"/>
          <w:sz w:val="24"/>
          <w:szCs w:val="24"/>
        </w:rPr>
        <w:t>The</w:t>
      </w:r>
      <w:proofErr w:type="gramEnd"/>
      <w:r w:rsidRPr="00084133">
        <w:rPr>
          <w:rFonts w:ascii="Arial" w:hAnsi="Arial" w:cs="Arial"/>
          <w:sz w:val="24"/>
          <w:szCs w:val="24"/>
        </w:rPr>
        <w:t xml:space="preserve"> Study of Development. Paper prepared for DSA Annual Conference, 6 November, Church House, London. </w:t>
      </w:r>
    </w:p>
    <w:p w:rsidR="005E55FF" w:rsidRPr="00084133" w:rsidRDefault="005E55FF" w:rsidP="00084133">
      <w:pPr>
        <w:spacing w:before="100" w:beforeAutospacing="1" w:after="100" w:afterAutospacing="1" w:line="480" w:lineRule="auto"/>
        <w:rPr>
          <w:rFonts w:ascii="Arial" w:hAnsi="Arial" w:cs="Arial"/>
          <w:sz w:val="24"/>
          <w:szCs w:val="24"/>
        </w:rPr>
      </w:pPr>
      <w:r w:rsidRPr="00084133">
        <w:rPr>
          <w:rFonts w:ascii="Arial" w:eastAsia="Times New Roman" w:hAnsi="Arial" w:cs="Arial"/>
          <w:iCs/>
          <w:sz w:val="24"/>
          <w:szCs w:val="24"/>
        </w:rPr>
        <w:t>Winnie</w:t>
      </w:r>
      <w:r w:rsidRPr="00084133">
        <w:rPr>
          <w:rFonts w:ascii="Arial" w:hAnsi="Arial" w:cs="Arial"/>
          <w:iCs/>
          <w:sz w:val="24"/>
          <w:szCs w:val="24"/>
        </w:rPr>
        <w:t xml:space="preserve">, B. </w:t>
      </w:r>
      <w:r w:rsidRPr="00084133">
        <w:rPr>
          <w:rFonts w:ascii="Arial" w:hAnsi="Arial" w:cs="Arial"/>
          <w:b/>
          <w:i/>
          <w:iCs/>
          <w:sz w:val="24"/>
          <w:szCs w:val="24"/>
        </w:rPr>
        <w:t xml:space="preserve">Richest 1% Will Own More Than All the Rest by 2016 </w:t>
      </w:r>
      <w:r w:rsidRPr="00084133">
        <w:rPr>
          <w:rFonts w:ascii="Arial" w:hAnsi="Arial" w:cs="Arial"/>
          <w:bCs/>
          <w:sz w:val="24"/>
          <w:szCs w:val="24"/>
        </w:rPr>
        <w:t>[Online].</w:t>
      </w:r>
      <w:r w:rsidRPr="00084133">
        <w:rPr>
          <w:rFonts w:ascii="Arial" w:eastAsia="Times New Roman" w:hAnsi="Arial" w:cs="Arial"/>
          <w:bCs/>
          <w:iCs/>
          <w:sz w:val="24"/>
          <w:szCs w:val="24"/>
        </w:rPr>
        <w:t xml:space="preserve"> </w:t>
      </w:r>
      <w:r w:rsidRPr="00084133">
        <w:rPr>
          <w:rFonts w:ascii="Arial" w:eastAsia="Times New Roman" w:hAnsi="Arial" w:cs="Arial"/>
          <w:iCs/>
          <w:sz w:val="24"/>
          <w:szCs w:val="24"/>
        </w:rPr>
        <w:t>Oxfam International</w:t>
      </w:r>
      <w:r w:rsidRPr="00084133">
        <w:rPr>
          <w:rFonts w:ascii="Arial" w:hAnsi="Arial" w:cs="Arial"/>
          <w:iCs/>
          <w:sz w:val="24"/>
          <w:szCs w:val="24"/>
        </w:rPr>
        <w:t xml:space="preserve">. Available: </w:t>
      </w:r>
      <w:hyperlink r:id="rId9" w:history="1">
        <w:r w:rsidRPr="00084133">
          <w:rPr>
            <w:rStyle w:val="Hyperlink"/>
            <w:rFonts w:ascii="Arial" w:hAnsi="Arial" w:cs="Arial"/>
            <w:color w:val="auto"/>
            <w:sz w:val="24"/>
            <w:szCs w:val="24"/>
          </w:rPr>
          <w:t>https://www.oxfam.org/en/pressroom/pressreleases/2015-01-19/richest-1-will-own-more-all-rest-2016 2</w:t>
        </w:r>
      </w:hyperlink>
      <w:r w:rsidRPr="00084133">
        <w:t xml:space="preserve"> [</w:t>
      </w:r>
      <w:r w:rsidRPr="00084133">
        <w:rPr>
          <w:rFonts w:ascii="Arial" w:hAnsi="Arial" w:cs="Arial"/>
          <w:iCs/>
          <w:sz w:val="24"/>
          <w:szCs w:val="24"/>
        </w:rPr>
        <w:t>Accessed 2 April 2015</w:t>
      </w:r>
      <w:proofErr w:type="gramStart"/>
      <w:r w:rsidRPr="00084133">
        <w:rPr>
          <w:rFonts w:ascii="Arial" w:hAnsi="Arial" w:cs="Arial"/>
          <w:iCs/>
          <w:sz w:val="24"/>
          <w:szCs w:val="24"/>
        </w:rPr>
        <w:t xml:space="preserve">] </w:t>
      </w:r>
      <w:r w:rsidR="00084133" w:rsidRPr="00084133">
        <w:rPr>
          <w:rFonts w:ascii="Arial" w:hAnsi="Arial" w:cs="Arial"/>
          <w:sz w:val="24"/>
          <w:szCs w:val="24"/>
        </w:rPr>
        <w:t>.</w:t>
      </w:r>
      <w:proofErr w:type="gramEnd"/>
    </w:p>
    <w:p w:rsidR="005E55FF" w:rsidRPr="00084133" w:rsidRDefault="005E55FF" w:rsidP="005E55FF"/>
    <w:p w:rsidR="00F523B5" w:rsidRPr="00084133" w:rsidRDefault="00F523B5"/>
    <w:sectPr w:rsidR="00F523B5" w:rsidRPr="0008413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27B" w:rsidRDefault="0037727B">
      <w:pPr>
        <w:spacing w:after="0" w:line="240" w:lineRule="auto"/>
      </w:pPr>
      <w:r>
        <w:separator/>
      </w:r>
    </w:p>
  </w:endnote>
  <w:endnote w:type="continuationSeparator" w:id="0">
    <w:p w:rsidR="0037727B" w:rsidRDefault="00377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27B" w:rsidRDefault="0037727B">
      <w:pPr>
        <w:spacing w:after="0" w:line="240" w:lineRule="auto"/>
      </w:pPr>
      <w:r>
        <w:separator/>
      </w:r>
    </w:p>
  </w:footnote>
  <w:footnote w:type="continuationSeparator" w:id="0">
    <w:p w:rsidR="0037727B" w:rsidRDefault="00377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C41" w:rsidRPr="00776EA0" w:rsidRDefault="009D6C41">
    <w:pPr>
      <w:pStyle w:val="Header"/>
      <w:tabs>
        <w:tab w:val="clear" w:pos="4153"/>
        <w:tab w:val="clear" w:pos="8306"/>
        <w:tab w:val="center" w:pos="4680"/>
        <w:tab w:val="right" w:pos="9360"/>
      </w:tabs>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604E4"/>
    <w:multiLevelType w:val="multilevel"/>
    <w:tmpl w:val="2A8604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5FF"/>
    <w:rsid w:val="000057F0"/>
    <w:rsid w:val="00084133"/>
    <w:rsid w:val="002C2A46"/>
    <w:rsid w:val="00343BF8"/>
    <w:rsid w:val="0037727B"/>
    <w:rsid w:val="00512933"/>
    <w:rsid w:val="005E55FF"/>
    <w:rsid w:val="00873CC6"/>
    <w:rsid w:val="009D6C41"/>
    <w:rsid w:val="00F52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CCB8"/>
  <w15:docId w15:val="{1800DB1A-19CC-43BB-964A-D1F543C7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5FF"/>
    <w:rPr>
      <w:rFonts w:ascii="Times New Roman" w:eastAsia="SimSun" w:hAnsi="Times New Roman" w:cs="Times New Roman"/>
    </w:rPr>
  </w:style>
  <w:style w:type="paragraph" w:styleId="Heading1">
    <w:name w:val="heading 1"/>
    <w:basedOn w:val="Normal"/>
    <w:link w:val="Heading1Char"/>
    <w:qFormat/>
    <w:rsid w:val="005E55FF"/>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55FF"/>
    <w:rPr>
      <w:rFonts w:ascii="Times New Roman" w:eastAsia="Times New Roman" w:hAnsi="Times New Roman" w:cs="Times New Roman"/>
      <w:b/>
      <w:bCs/>
      <w:kern w:val="36"/>
      <w:sz w:val="48"/>
      <w:szCs w:val="48"/>
    </w:rPr>
  </w:style>
  <w:style w:type="character" w:styleId="Hyperlink">
    <w:name w:val="Hyperlink"/>
    <w:basedOn w:val="DefaultParagraphFont"/>
    <w:rsid w:val="005E55FF"/>
    <w:rPr>
      <w:color w:val="0000FF"/>
      <w:u w:val="single"/>
    </w:rPr>
  </w:style>
  <w:style w:type="paragraph" w:styleId="ListParagraph">
    <w:name w:val="List Paragraph"/>
    <w:basedOn w:val="Normal"/>
    <w:uiPriority w:val="34"/>
    <w:qFormat/>
    <w:rsid w:val="005E55FF"/>
    <w:pPr>
      <w:ind w:left="720"/>
      <w:contextualSpacing/>
    </w:pPr>
  </w:style>
  <w:style w:type="paragraph" w:styleId="Header">
    <w:name w:val="header"/>
    <w:basedOn w:val="Normal"/>
    <w:link w:val="HeaderChar"/>
    <w:rsid w:val="005E55FF"/>
    <w:pPr>
      <w:tabs>
        <w:tab w:val="center" w:pos="4153"/>
        <w:tab w:val="right" w:pos="8306"/>
      </w:tabs>
      <w:snapToGrid w:val="0"/>
    </w:pPr>
    <w:rPr>
      <w:sz w:val="18"/>
      <w:szCs w:val="18"/>
    </w:rPr>
  </w:style>
  <w:style w:type="character" w:customStyle="1" w:styleId="HeaderChar">
    <w:name w:val="Header Char"/>
    <w:basedOn w:val="DefaultParagraphFont"/>
    <w:link w:val="Header"/>
    <w:rsid w:val="005E55FF"/>
    <w:rPr>
      <w:rFonts w:ascii="Times New Roman" w:eastAsia="SimSun" w:hAnsi="Times New Roman" w:cs="Times New Roman"/>
      <w:sz w:val="18"/>
      <w:szCs w:val="18"/>
    </w:rPr>
  </w:style>
  <w:style w:type="paragraph" w:styleId="Footer">
    <w:name w:val="footer"/>
    <w:basedOn w:val="Normal"/>
    <w:link w:val="FooterChar"/>
    <w:uiPriority w:val="99"/>
    <w:unhideWhenUsed/>
    <w:rsid w:val="00005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7F0"/>
    <w:rPr>
      <w:rFonts w:ascii="Times New Roman" w:eastAsia="SimSu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onversation.com/gates-foundation-is-too-big-to-ignore-the-politics-of-poverty-36828%204" TargetMode="External"/><Relationship Id="rId3" Type="http://schemas.openxmlformats.org/officeDocument/2006/relationships/settings" Target="settings.xml"/><Relationship Id="rId7" Type="http://schemas.openxmlformats.org/officeDocument/2006/relationships/hyperlink" Target="http://www.gatesnotes.com/2015annualletter?page=0&amp;lang=en&amp;WT.mc_id=01_21_2015_AL2015-GF_GFO_domain_Top_2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oxfam.org/en/pressroom/pressreleases/2015-01-19/richest-1-will-own-more-all-rest-2016%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8</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Hp</cp:lastModifiedBy>
  <cp:revision>3</cp:revision>
  <dcterms:created xsi:type="dcterms:W3CDTF">2015-05-17T12:11:00Z</dcterms:created>
  <dcterms:modified xsi:type="dcterms:W3CDTF">2021-04-25T17:21:00Z</dcterms:modified>
</cp:coreProperties>
</file>