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2431D" w14:textId="77777777" w:rsidR="00A6557B" w:rsidRPr="004654F1" w:rsidRDefault="00A6557B" w:rsidP="004654F1">
      <w:pPr>
        <w:spacing w:line="480" w:lineRule="auto"/>
        <w:jc w:val="center"/>
        <w:rPr>
          <w:rFonts w:ascii="Times New Roman" w:hAnsi="Times New Roman" w:cs="Times New Roman"/>
          <w:sz w:val="24"/>
        </w:rPr>
      </w:pPr>
    </w:p>
    <w:p w14:paraId="65258FE4" w14:textId="77777777" w:rsidR="00A6557B" w:rsidRPr="004654F1" w:rsidRDefault="00A6557B" w:rsidP="004654F1">
      <w:pPr>
        <w:spacing w:line="480" w:lineRule="auto"/>
        <w:jc w:val="center"/>
        <w:rPr>
          <w:rFonts w:ascii="Times New Roman" w:hAnsi="Times New Roman" w:cs="Times New Roman"/>
          <w:sz w:val="24"/>
        </w:rPr>
      </w:pPr>
    </w:p>
    <w:p w14:paraId="6D0E0E71" w14:textId="77777777" w:rsidR="00A6557B" w:rsidRPr="004654F1" w:rsidRDefault="00A6557B" w:rsidP="004654F1">
      <w:pPr>
        <w:spacing w:line="480" w:lineRule="auto"/>
        <w:jc w:val="center"/>
        <w:rPr>
          <w:rFonts w:ascii="Times New Roman" w:hAnsi="Times New Roman" w:cs="Times New Roman"/>
          <w:sz w:val="24"/>
        </w:rPr>
      </w:pPr>
    </w:p>
    <w:p w14:paraId="4F4D057A" w14:textId="77777777" w:rsidR="00A6557B" w:rsidRPr="004654F1" w:rsidRDefault="00A6557B" w:rsidP="004654F1">
      <w:pPr>
        <w:spacing w:line="480" w:lineRule="auto"/>
        <w:rPr>
          <w:rFonts w:ascii="Times New Roman" w:hAnsi="Times New Roman" w:cs="Times New Roman"/>
          <w:sz w:val="24"/>
        </w:rPr>
      </w:pPr>
    </w:p>
    <w:p w14:paraId="58D8000C" w14:textId="77777777" w:rsidR="00B803B3" w:rsidRPr="004654F1" w:rsidRDefault="00B803B3" w:rsidP="004654F1">
      <w:pPr>
        <w:spacing w:line="480" w:lineRule="auto"/>
        <w:rPr>
          <w:rFonts w:ascii="Times New Roman" w:hAnsi="Times New Roman" w:cs="Times New Roman"/>
          <w:sz w:val="24"/>
        </w:rPr>
      </w:pPr>
    </w:p>
    <w:p w14:paraId="7186A752" w14:textId="77777777" w:rsidR="007B4811" w:rsidRPr="004654F1" w:rsidRDefault="003C2ABD" w:rsidP="004654F1">
      <w:pPr>
        <w:spacing w:line="480" w:lineRule="auto"/>
        <w:jc w:val="center"/>
        <w:rPr>
          <w:rFonts w:ascii="Times New Roman" w:hAnsi="Times New Roman" w:cs="Times New Roman"/>
          <w:sz w:val="24"/>
        </w:rPr>
      </w:pPr>
      <w:r w:rsidRPr="004654F1">
        <w:rPr>
          <w:rFonts w:ascii="Times New Roman" w:hAnsi="Times New Roman" w:cs="Times New Roman"/>
          <w:sz w:val="24"/>
        </w:rPr>
        <w:t>Healthcare Policies and Leadership</w:t>
      </w:r>
    </w:p>
    <w:p w14:paraId="55CDE242" w14:textId="77777777" w:rsidR="004F7ACE" w:rsidRPr="004654F1" w:rsidRDefault="003C2ABD" w:rsidP="004654F1">
      <w:pPr>
        <w:spacing w:line="480" w:lineRule="auto"/>
        <w:jc w:val="center"/>
        <w:rPr>
          <w:rFonts w:ascii="Times New Roman" w:hAnsi="Times New Roman" w:cs="Times New Roman"/>
          <w:sz w:val="24"/>
        </w:rPr>
      </w:pPr>
      <w:r w:rsidRPr="004654F1">
        <w:rPr>
          <w:rFonts w:ascii="Times New Roman" w:hAnsi="Times New Roman" w:cs="Times New Roman"/>
          <w:sz w:val="24"/>
        </w:rPr>
        <w:t>Name</w:t>
      </w:r>
    </w:p>
    <w:p w14:paraId="671B9CF6" w14:textId="06B25AD8" w:rsidR="004654F1" w:rsidRPr="0068352A" w:rsidRDefault="003C2ABD" w:rsidP="0068352A">
      <w:pPr>
        <w:spacing w:line="480" w:lineRule="auto"/>
        <w:jc w:val="center"/>
        <w:rPr>
          <w:rFonts w:ascii="Times New Roman" w:hAnsi="Times New Roman" w:cs="Times New Roman"/>
          <w:sz w:val="24"/>
        </w:rPr>
      </w:pPr>
      <w:r w:rsidRPr="004654F1">
        <w:rPr>
          <w:rFonts w:ascii="Times New Roman" w:hAnsi="Times New Roman" w:cs="Times New Roman"/>
          <w:sz w:val="24"/>
        </w:rPr>
        <w:t>Institution</w:t>
      </w:r>
    </w:p>
    <w:p w14:paraId="296169CD" w14:textId="77777777" w:rsidR="004654F1" w:rsidRDefault="004654F1" w:rsidP="004654F1">
      <w:pPr>
        <w:spacing w:line="480" w:lineRule="auto"/>
        <w:jc w:val="center"/>
        <w:rPr>
          <w:rFonts w:ascii="Times New Roman" w:hAnsi="Times New Roman" w:cs="Times New Roman"/>
          <w:b/>
          <w:sz w:val="24"/>
        </w:rPr>
      </w:pPr>
    </w:p>
    <w:p w14:paraId="1924AE8C" w14:textId="77777777" w:rsidR="00B17EF0" w:rsidRDefault="00B17EF0" w:rsidP="004654F1">
      <w:pPr>
        <w:spacing w:line="480" w:lineRule="auto"/>
        <w:jc w:val="center"/>
        <w:rPr>
          <w:rFonts w:ascii="Times New Roman" w:hAnsi="Times New Roman" w:cs="Times New Roman"/>
          <w:b/>
          <w:sz w:val="24"/>
        </w:rPr>
      </w:pPr>
    </w:p>
    <w:p w14:paraId="2F48F8DE" w14:textId="77777777" w:rsidR="00B17EF0" w:rsidRDefault="00B17EF0" w:rsidP="004654F1">
      <w:pPr>
        <w:spacing w:line="480" w:lineRule="auto"/>
        <w:jc w:val="center"/>
        <w:rPr>
          <w:rFonts w:ascii="Times New Roman" w:hAnsi="Times New Roman" w:cs="Times New Roman"/>
          <w:b/>
          <w:sz w:val="24"/>
        </w:rPr>
      </w:pPr>
    </w:p>
    <w:p w14:paraId="1D80257B" w14:textId="77777777" w:rsidR="00B17EF0" w:rsidRDefault="00B17EF0" w:rsidP="004654F1">
      <w:pPr>
        <w:spacing w:line="480" w:lineRule="auto"/>
        <w:jc w:val="center"/>
        <w:rPr>
          <w:rFonts w:ascii="Times New Roman" w:hAnsi="Times New Roman" w:cs="Times New Roman"/>
          <w:b/>
          <w:sz w:val="24"/>
        </w:rPr>
      </w:pPr>
    </w:p>
    <w:p w14:paraId="582AA870" w14:textId="77777777" w:rsidR="00B17EF0" w:rsidRDefault="00B17EF0" w:rsidP="004654F1">
      <w:pPr>
        <w:spacing w:line="480" w:lineRule="auto"/>
        <w:jc w:val="center"/>
        <w:rPr>
          <w:rFonts w:ascii="Times New Roman" w:hAnsi="Times New Roman" w:cs="Times New Roman"/>
          <w:b/>
          <w:sz w:val="24"/>
        </w:rPr>
      </w:pPr>
    </w:p>
    <w:p w14:paraId="778CB8D6" w14:textId="77777777" w:rsidR="00737A59" w:rsidRDefault="00737A59" w:rsidP="004654F1">
      <w:pPr>
        <w:spacing w:line="480" w:lineRule="auto"/>
        <w:jc w:val="center"/>
        <w:rPr>
          <w:rFonts w:ascii="Times New Roman" w:hAnsi="Times New Roman" w:cs="Times New Roman"/>
          <w:b/>
          <w:sz w:val="24"/>
        </w:rPr>
      </w:pPr>
    </w:p>
    <w:p w14:paraId="6C9BD603" w14:textId="0353D52F" w:rsidR="00737A59" w:rsidRDefault="00737A59" w:rsidP="004654F1">
      <w:pPr>
        <w:spacing w:line="480" w:lineRule="auto"/>
        <w:jc w:val="center"/>
        <w:rPr>
          <w:rFonts w:ascii="Times New Roman" w:hAnsi="Times New Roman" w:cs="Times New Roman"/>
          <w:b/>
          <w:sz w:val="24"/>
        </w:rPr>
      </w:pPr>
    </w:p>
    <w:p w14:paraId="42260ED7" w14:textId="491432BC" w:rsidR="0068352A" w:rsidRDefault="0068352A" w:rsidP="004654F1">
      <w:pPr>
        <w:spacing w:line="480" w:lineRule="auto"/>
        <w:jc w:val="center"/>
        <w:rPr>
          <w:rFonts w:ascii="Times New Roman" w:hAnsi="Times New Roman" w:cs="Times New Roman"/>
          <w:b/>
          <w:sz w:val="24"/>
        </w:rPr>
      </w:pPr>
    </w:p>
    <w:p w14:paraId="26EB44F8" w14:textId="2AC19C70" w:rsidR="0068352A" w:rsidRDefault="0068352A" w:rsidP="004654F1">
      <w:pPr>
        <w:spacing w:line="480" w:lineRule="auto"/>
        <w:jc w:val="center"/>
        <w:rPr>
          <w:rFonts w:ascii="Times New Roman" w:hAnsi="Times New Roman" w:cs="Times New Roman"/>
          <w:b/>
          <w:sz w:val="24"/>
        </w:rPr>
      </w:pPr>
    </w:p>
    <w:p w14:paraId="609B2CF5" w14:textId="3C189CA7" w:rsidR="0068352A" w:rsidRDefault="0068352A" w:rsidP="004654F1">
      <w:pPr>
        <w:spacing w:line="480" w:lineRule="auto"/>
        <w:jc w:val="center"/>
        <w:rPr>
          <w:rFonts w:ascii="Times New Roman" w:hAnsi="Times New Roman" w:cs="Times New Roman"/>
          <w:b/>
          <w:sz w:val="24"/>
        </w:rPr>
      </w:pPr>
    </w:p>
    <w:p w14:paraId="173E90DB" w14:textId="5647E165" w:rsidR="0068352A" w:rsidRDefault="0068352A" w:rsidP="004654F1">
      <w:pPr>
        <w:spacing w:line="480" w:lineRule="auto"/>
        <w:jc w:val="center"/>
        <w:rPr>
          <w:rFonts w:ascii="Times New Roman" w:hAnsi="Times New Roman" w:cs="Times New Roman"/>
          <w:b/>
          <w:sz w:val="24"/>
        </w:rPr>
      </w:pPr>
    </w:p>
    <w:p w14:paraId="1E9ED69B" w14:textId="77777777" w:rsidR="0068352A" w:rsidRDefault="0068352A" w:rsidP="004654F1">
      <w:pPr>
        <w:spacing w:line="480" w:lineRule="auto"/>
        <w:jc w:val="center"/>
        <w:rPr>
          <w:rFonts w:ascii="Times New Roman" w:hAnsi="Times New Roman" w:cs="Times New Roman"/>
          <w:b/>
          <w:sz w:val="24"/>
        </w:rPr>
      </w:pPr>
    </w:p>
    <w:p w14:paraId="316E1D10" w14:textId="77777777" w:rsidR="004F7ACE" w:rsidRPr="004654F1" w:rsidRDefault="003C2ABD" w:rsidP="004654F1">
      <w:pPr>
        <w:spacing w:line="480" w:lineRule="auto"/>
        <w:jc w:val="center"/>
        <w:rPr>
          <w:rFonts w:ascii="Times New Roman" w:hAnsi="Times New Roman" w:cs="Times New Roman"/>
          <w:b/>
          <w:sz w:val="24"/>
        </w:rPr>
      </w:pPr>
      <w:r w:rsidRPr="004654F1">
        <w:rPr>
          <w:rFonts w:ascii="Times New Roman" w:hAnsi="Times New Roman" w:cs="Times New Roman"/>
          <w:b/>
          <w:sz w:val="24"/>
        </w:rPr>
        <w:t>Practice barriers for APNs</w:t>
      </w:r>
    </w:p>
    <w:p w14:paraId="685DBEE9" w14:textId="77777777" w:rsidR="004F7ACE" w:rsidRPr="004654F1" w:rsidRDefault="003C2ABD" w:rsidP="004654F1">
      <w:pPr>
        <w:spacing w:line="480" w:lineRule="auto"/>
        <w:ind w:firstLine="720"/>
        <w:rPr>
          <w:rFonts w:ascii="Times New Roman" w:hAnsi="Times New Roman" w:cs="Times New Roman"/>
          <w:sz w:val="24"/>
        </w:rPr>
      </w:pPr>
      <w:r w:rsidRPr="004654F1">
        <w:rPr>
          <w:rFonts w:ascii="Times New Roman" w:hAnsi="Times New Roman" w:cs="Times New Roman"/>
          <w:sz w:val="24"/>
        </w:rPr>
        <w:t xml:space="preserve">Practicing nurses may be under restrictions when they move from one state to another if their educational preparation level and national certification are the same, hence being limited to practice scope. Some nurses' size determines them to prescribe medications, certain </w:t>
      </w:r>
      <w:proofErr w:type="spellStart"/>
      <w:r w:rsidRPr="004654F1">
        <w:rPr>
          <w:rFonts w:ascii="Times New Roman" w:hAnsi="Times New Roman" w:cs="Times New Roman"/>
          <w:sz w:val="24"/>
        </w:rPr>
        <w:t>teat</w:t>
      </w:r>
      <w:proofErr w:type="spellEnd"/>
      <w:r w:rsidRPr="004654F1">
        <w:rPr>
          <w:rFonts w:ascii="Times New Roman" w:hAnsi="Times New Roman" w:cs="Times New Roman"/>
          <w:sz w:val="24"/>
        </w:rPr>
        <w:t xml:space="preserve"> diseases, and conduct specific tests. Also, if a patient changes the diagnosis, they may not examine the patient</w:t>
      </w:r>
      <w:r w:rsidR="00650AD1" w:rsidRPr="004654F1">
        <w:rPr>
          <w:rFonts w:ascii="Times New Roman" w:hAnsi="Times New Roman" w:cs="Times New Roman"/>
          <w:noProof/>
          <w:sz w:val="24"/>
        </w:rPr>
        <w:t xml:space="preserve"> (Peterson, 2017)</w:t>
      </w:r>
      <w:r w:rsidRPr="004654F1">
        <w:rPr>
          <w:rFonts w:ascii="Times New Roman" w:hAnsi="Times New Roman" w:cs="Times New Roman"/>
          <w:sz w:val="24"/>
        </w:rPr>
        <w:t>. The barrier of independent practices and access to health care affects nurses. They are supposed to receive a 100% reimbursement for incident service but are restri</w:t>
      </w:r>
      <w:r w:rsidR="00B803B3" w:rsidRPr="004654F1">
        <w:rPr>
          <w:rFonts w:ascii="Times New Roman" w:hAnsi="Times New Roman" w:cs="Times New Roman"/>
          <w:sz w:val="24"/>
        </w:rPr>
        <w:t>cted to doing it independently.</w:t>
      </w:r>
      <w:r w:rsidRPr="004654F1">
        <w:rPr>
          <w:rFonts w:ascii="Times New Roman" w:hAnsi="Times New Roman" w:cs="Times New Roman"/>
          <w:sz w:val="24"/>
        </w:rPr>
        <w:t xml:space="preserve"> Just like a physician, nurse practitioners can provide high-quality care with improve</w:t>
      </w:r>
      <w:r w:rsidR="00B803B3" w:rsidRPr="004654F1">
        <w:rPr>
          <w:rFonts w:ascii="Times New Roman" w:hAnsi="Times New Roman" w:cs="Times New Roman"/>
          <w:sz w:val="24"/>
        </w:rPr>
        <w:t>d health outcome</w:t>
      </w:r>
      <w:r w:rsidRPr="004654F1">
        <w:rPr>
          <w:rFonts w:ascii="Times New Roman" w:hAnsi="Times New Roman" w:cs="Times New Roman"/>
          <w:sz w:val="24"/>
        </w:rPr>
        <w:t>s. Some of these payers do not pay nurse practitioners for the services they provide.</w:t>
      </w:r>
    </w:p>
    <w:p w14:paraId="6F71D126" w14:textId="77777777" w:rsidR="004F7ACE" w:rsidRPr="004654F1" w:rsidRDefault="003C2ABD" w:rsidP="004654F1">
      <w:pPr>
        <w:spacing w:line="480" w:lineRule="auto"/>
        <w:jc w:val="center"/>
        <w:rPr>
          <w:rFonts w:ascii="Times New Roman" w:hAnsi="Times New Roman" w:cs="Times New Roman"/>
          <w:b/>
          <w:sz w:val="24"/>
        </w:rPr>
      </w:pPr>
      <w:r w:rsidRPr="004654F1">
        <w:rPr>
          <w:rFonts w:ascii="Times New Roman" w:hAnsi="Times New Roman" w:cs="Times New Roman"/>
          <w:b/>
          <w:sz w:val="24"/>
        </w:rPr>
        <w:t>Forms of competition on the state and national level</w:t>
      </w:r>
    </w:p>
    <w:p w14:paraId="7C719D35" w14:textId="77777777" w:rsidR="004F7ACE" w:rsidRPr="004654F1" w:rsidRDefault="003C2ABD" w:rsidP="004654F1">
      <w:pPr>
        <w:spacing w:line="480" w:lineRule="auto"/>
        <w:ind w:firstLine="720"/>
        <w:rPr>
          <w:rFonts w:ascii="Times New Roman" w:hAnsi="Times New Roman" w:cs="Times New Roman"/>
          <w:sz w:val="24"/>
        </w:rPr>
      </w:pPr>
      <w:r w:rsidRPr="004654F1">
        <w:rPr>
          <w:rFonts w:ascii="Times New Roman" w:hAnsi="Times New Roman" w:cs="Times New Roman"/>
          <w:sz w:val="24"/>
        </w:rPr>
        <w:t>Compulsory supervision and collaboration practice agreement requirements are likely to impose competition among the health workers, and the APNs restrictions are set from independently prac</w:t>
      </w:r>
      <w:r w:rsidR="00B803B3" w:rsidRPr="004654F1">
        <w:rPr>
          <w:rFonts w:ascii="Times New Roman" w:hAnsi="Times New Roman" w:cs="Times New Roman"/>
          <w:sz w:val="24"/>
        </w:rPr>
        <w:t>ticing.</w:t>
      </w:r>
      <w:r w:rsidRPr="004654F1">
        <w:rPr>
          <w:rFonts w:ascii="Times New Roman" w:hAnsi="Times New Roman" w:cs="Times New Roman"/>
          <w:sz w:val="24"/>
        </w:rPr>
        <w:t xml:space="preserve"> The scope of practice limits the practitioners in some fields and trigger</w:t>
      </w:r>
      <w:r w:rsidR="00BB3400" w:rsidRPr="004654F1">
        <w:rPr>
          <w:rFonts w:ascii="Times New Roman" w:hAnsi="Times New Roman" w:cs="Times New Roman"/>
          <w:sz w:val="24"/>
        </w:rPr>
        <w:t>s a battle between</w:t>
      </w:r>
      <w:r w:rsidRPr="004654F1">
        <w:rPr>
          <w:rFonts w:ascii="Times New Roman" w:hAnsi="Times New Roman" w:cs="Times New Roman"/>
          <w:sz w:val="24"/>
        </w:rPr>
        <w:t xml:space="preserve"> different </w:t>
      </w:r>
      <w:proofErr w:type="gramStart"/>
      <w:r w:rsidRPr="004654F1">
        <w:rPr>
          <w:rFonts w:ascii="Times New Roman" w:hAnsi="Times New Roman" w:cs="Times New Roman"/>
          <w:sz w:val="24"/>
        </w:rPr>
        <w:t>practitioners</w:t>
      </w:r>
      <w:proofErr w:type="gramEnd"/>
      <w:r w:rsidRPr="004654F1">
        <w:rPr>
          <w:rFonts w:ascii="Times New Roman" w:hAnsi="Times New Roman" w:cs="Times New Roman"/>
          <w:sz w:val="24"/>
        </w:rPr>
        <w:t xml:space="preserve"> type. Physician supervision raises competition in that they give a particular group of health professionals the mandate to restrict market entry by other groups of health professionals. This limits the health care consumers a chance to benefit from the high competition.  </w:t>
      </w:r>
    </w:p>
    <w:p w14:paraId="2DA8E494" w14:textId="77777777" w:rsidR="004F7ACE" w:rsidRPr="004654F1" w:rsidRDefault="003C2ABD" w:rsidP="004654F1">
      <w:pPr>
        <w:spacing w:line="480" w:lineRule="auto"/>
        <w:jc w:val="center"/>
        <w:rPr>
          <w:rFonts w:ascii="Times New Roman" w:hAnsi="Times New Roman" w:cs="Times New Roman"/>
          <w:b/>
          <w:sz w:val="24"/>
        </w:rPr>
      </w:pPr>
      <w:r w:rsidRPr="004654F1">
        <w:rPr>
          <w:rFonts w:ascii="Times New Roman" w:hAnsi="Times New Roman" w:cs="Times New Roman"/>
          <w:b/>
          <w:sz w:val="24"/>
        </w:rPr>
        <w:t>Lawmakers of the state level</w:t>
      </w:r>
    </w:p>
    <w:p w14:paraId="4355D204" w14:textId="77777777" w:rsidR="004F7ACE" w:rsidRPr="004654F1" w:rsidRDefault="003C2ABD" w:rsidP="004654F1">
      <w:pPr>
        <w:spacing w:line="480" w:lineRule="auto"/>
        <w:ind w:firstLine="720"/>
        <w:rPr>
          <w:rFonts w:ascii="Times New Roman" w:hAnsi="Times New Roman" w:cs="Times New Roman"/>
          <w:sz w:val="24"/>
        </w:rPr>
      </w:pPr>
      <w:r w:rsidRPr="004654F1">
        <w:rPr>
          <w:rFonts w:ascii="Times New Roman" w:hAnsi="Times New Roman" w:cs="Times New Roman"/>
          <w:sz w:val="24"/>
        </w:rPr>
        <w:t xml:space="preserve">The state </w:t>
      </w:r>
      <w:r w:rsidR="00A6557B" w:rsidRPr="004654F1">
        <w:rPr>
          <w:rFonts w:ascii="Times New Roman" w:hAnsi="Times New Roman" w:cs="Times New Roman"/>
          <w:sz w:val="24"/>
        </w:rPr>
        <w:t>legislatures have</w:t>
      </w:r>
      <w:r w:rsidRPr="004654F1">
        <w:rPr>
          <w:rFonts w:ascii="Times New Roman" w:hAnsi="Times New Roman" w:cs="Times New Roman"/>
          <w:sz w:val="24"/>
        </w:rPr>
        <w:t xml:space="preserve"> three significant </w:t>
      </w:r>
      <w:r w:rsidR="00A6557B" w:rsidRPr="004654F1">
        <w:rPr>
          <w:rFonts w:ascii="Times New Roman" w:hAnsi="Times New Roman" w:cs="Times New Roman"/>
          <w:sz w:val="24"/>
        </w:rPr>
        <w:t xml:space="preserve">roles in which lawmaking </w:t>
      </w:r>
      <w:r w:rsidRPr="004654F1">
        <w:rPr>
          <w:rFonts w:ascii="Times New Roman" w:hAnsi="Times New Roman" w:cs="Times New Roman"/>
          <w:sz w:val="24"/>
        </w:rPr>
        <w:t xml:space="preserve">is one of them. Researching, writing, and passing of legislation </w:t>
      </w:r>
      <w:r w:rsidR="00A6557B" w:rsidRPr="004654F1">
        <w:rPr>
          <w:rFonts w:ascii="Times New Roman" w:hAnsi="Times New Roman" w:cs="Times New Roman"/>
          <w:sz w:val="24"/>
        </w:rPr>
        <w:t>are</w:t>
      </w:r>
      <w:r w:rsidRPr="004654F1">
        <w:rPr>
          <w:rFonts w:ascii="Times New Roman" w:hAnsi="Times New Roman" w:cs="Times New Roman"/>
          <w:sz w:val="24"/>
        </w:rPr>
        <w:t xml:space="preserve"> performed through decree. These state </w:t>
      </w:r>
      <w:r w:rsidR="004654F1" w:rsidRPr="004654F1">
        <w:rPr>
          <w:rFonts w:ascii="Times New Roman" w:hAnsi="Times New Roman" w:cs="Times New Roman"/>
          <w:sz w:val="24"/>
        </w:rPr>
        <w:t>legislatures</w:t>
      </w:r>
      <w:r w:rsidRPr="004654F1">
        <w:rPr>
          <w:rFonts w:ascii="Times New Roman" w:hAnsi="Times New Roman" w:cs="Times New Roman"/>
          <w:sz w:val="24"/>
        </w:rPr>
        <w:t xml:space="preserve"> vary from one state to another, having differences in legislative staff, political </w:t>
      </w:r>
      <w:r w:rsidRPr="004654F1">
        <w:rPr>
          <w:rFonts w:ascii="Times New Roman" w:hAnsi="Times New Roman" w:cs="Times New Roman"/>
          <w:sz w:val="24"/>
        </w:rPr>
        <w:lastRenderedPageBreak/>
        <w:t>formation, and time spent in sessions</w:t>
      </w:r>
      <w:r w:rsidR="004654F1" w:rsidRPr="004654F1">
        <w:rPr>
          <w:rFonts w:ascii="Times New Roman" w:hAnsi="Times New Roman" w:cs="Times New Roman"/>
          <w:noProof/>
          <w:sz w:val="24"/>
        </w:rPr>
        <w:t xml:space="preserve"> (NCSL, 2018)</w:t>
      </w:r>
      <w:r w:rsidRPr="004654F1">
        <w:rPr>
          <w:rFonts w:ascii="Times New Roman" w:hAnsi="Times New Roman" w:cs="Times New Roman"/>
          <w:sz w:val="24"/>
        </w:rPr>
        <w:t xml:space="preserve">. Even with these differences, the process of the legislative is the same in all states. The smaller chamber is referred to as the senate while the larger house is called the House </w:t>
      </w:r>
      <w:r w:rsidR="00B803B3" w:rsidRPr="004654F1">
        <w:rPr>
          <w:rFonts w:ascii="Times New Roman" w:hAnsi="Times New Roman" w:cs="Times New Roman"/>
          <w:sz w:val="24"/>
        </w:rPr>
        <w:t>of Representatives.</w:t>
      </w:r>
      <w:r w:rsidR="00A6557B" w:rsidRPr="004654F1">
        <w:rPr>
          <w:rFonts w:ascii="Times New Roman" w:hAnsi="Times New Roman" w:cs="Times New Roman"/>
          <w:sz w:val="24"/>
        </w:rPr>
        <w:t xml:space="preserve"> The larger room </w:t>
      </w:r>
      <w:r w:rsidRPr="004654F1">
        <w:rPr>
          <w:rFonts w:ascii="Times New Roman" w:hAnsi="Times New Roman" w:cs="Times New Roman"/>
          <w:sz w:val="24"/>
        </w:rPr>
        <w:t xml:space="preserve">has power over </w:t>
      </w:r>
      <w:r w:rsidR="00BB3400" w:rsidRPr="004654F1">
        <w:rPr>
          <w:rFonts w:ascii="Times New Roman" w:hAnsi="Times New Roman" w:cs="Times New Roman"/>
          <w:sz w:val="24"/>
        </w:rPr>
        <w:t>initiating taxing</w:t>
      </w:r>
      <w:r w:rsidRPr="004654F1">
        <w:rPr>
          <w:rFonts w:ascii="Times New Roman" w:hAnsi="Times New Roman" w:cs="Times New Roman"/>
          <w:sz w:val="24"/>
        </w:rPr>
        <w:t xml:space="preserve"> legislation and article of impeachment.</w:t>
      </w:r>
    </w:p>
    <w:p w14:paraId="4E66AB89" w14:textId="77777777" w:rsidR="004F7ACE" w:rsidRPr="004654F1" w:rsidRDefault="003C2ABD" w:rsidP="004654F1">
      <w:pPr>
        <w:spacing w:line="480" w:lineRule="auto"/>
        <w:jc w:val="center"/>
        <w:rPr>
          <w:rFonts w:ascii="Times New Roman" w:hAnsi="Times New Roman" w:cs="Times New Roman"/>
          <w:b/>
          <w:sz w:val="24"/>
        </w:rPr>
      </w:pPr>
      <w:r w:rsidRPr="004654F1">
        <w:rPr>
          <w:rFonts w:ascii="Times New Roman" w:hAnsi="Times New Roman" w:cs="Times New Roman"/>
          <w:b/>
          <w:sz w:val="24"/>
        </w:rPr>
        <w:t>Interest groups that influence APN policy</w:t>
      </w:r>
    </w:p>
    <w:p w14:paraId="53CF7691" w14:textId="77777777" w:rsidR="004F7ACE" w:rsidRPr="004654F1" w:rsidRDefault="003C2ABD" w:rsidP="004654F1">
      <w:pPr>
        <w:spacing w:line="480" w:lineRule="auto"/>
        <w:ind w:firstLine="720"/>
        <w:rPr>
          <w:rFonts w:ascii="Times New Roman" w:hAnsi="Times New Roman" w:cs="Times New Roman"/>
          <w:sz w:val="24"/>
        </w:rPr>
      </w:pPr>
      <w:r w:rsidRPr="004654F1">
        <w:rPr>
          <w:rFonts w:ascii="Times New Roman" w:hAnsi="Times New Roman" w:cs="Times New Roman"/>
          <w:sz w:val="24"/>
        </w:rPr>
        <w:t xml:space="preserve">Interest groups gather information </w:t>
      </w:r>
      <w:proofErr w:type="spellStart"/>
      <w:r w:rsidR="00A6557B" w:rsidRPr="004654F1">
        <w:rPr>
          <w:rFonts w:ascii="Times New Roman" w:hAnsi="Times New Roman" w:cs="Times New Roman"/>
          <w:sz w:val="24"/>
        </w:rPr>
        <w:t>is</w:t>
      </w:r>
      <w:r w:rsidRPr="004654F1">
        <w:rPr>
          <w:rFonts w:ascii="Times New Roman" w:hAnsi="Times New Roman" w:cs="Times New Roman"/>
          <w:sz w:val="24"/>
        </w:rPr>
        <w:t>that</w:t>
      </w:r>
      <w:proofErr w:type="spellEnd"/>
      <w:r w:rsidRPr="004654F1">
        <w:rPr>
          <w:rFonts w:ascii="Times New Roman" w:hAnsi="Times New Roman" w:cs="Times New Roman"/>
          <w:sz w:val="24"/>
        </w:rPr>
        <w:t xml:space="preserve"> they can present to the legislator and influence the policy on APN. Interest groups influence the policy through lobbying, grassroots mobilization, electoral influence, shaping public opinion, and litigation. The interest groups first determine whether the efforts are on individual levels and in coalition with other groups. They choose which legislative process is suitable to focus efforts on. Finally, they pick a tactic in which they will put forward their case.</w:t>
      </w:r>
    </w:p>
    <w:p w14:paraId="590483AC" w14:textId="77777777" w:rsidR="004F7ACE" w:rsidRPr="004654F1" w:rsidRDefault="003C2ABD" w:rsidP="004654F1">
      <w:pPr>
        <w:spacing w:line="480" w:lineRule="auto"/>
        <w:jc w:val="center"/>
        <w:rPr>
          <w:rFonts w:ascii="Times New Roman" w:hAnsi="Times New Roman" w:cs="Times New Roman"/>
          <w:b/>
          <w:sz w:val="24"/>
        </w:rPr>
      </w:pPr>
      <w:r w:rsidRPr="004654F1">
        <w:rPr>
          <w:rFonts w:ascii="Times New Roman" w:hAnsi="Times New Roman" w:cs="Times New Roman"/>
          <w:b/>
          <w:sz w:val="24"/>
        </w:rPr>
        <w:t>Methods used to influence policy change.</w:t>
      </w:r>
    </w:p>
    <w:p w14:paraId="1D3C4603" w14:textId="77777777" w:rsidR="004F7ACE" w:rsidRPr="004654F1" w:rsidRDefault="003C2ABD" w:rsidP="004654F1">
      <w:pPr>
        <w:spacing w:line="480" w:lineRule="auto"/>
        <w:ind w:firstLine="720"/>
        <w:rPr>
          <w:rFonts w:ascii="Times New Roman" w:hAnsi="Times New Roman" w:cs="Times New Roman"/>
          <w:sz w:val="24"/>
        </w:rPr>
      </w:pPr>
      <w:r w:rsidRPr="004654F1">
        <w:rPr>
          <w:rFonts w:ascii="Times New Roman" w:hAnsi="Times New Roman" w:cs="Times New Roman"/>
          <w:sz w:val="24"/>
        </w:rPr>
        <w:t>Policies are influenced by economic conditions, technological change, NGOs, lobbying, public opinion, and political activi</w:t>
      </w:r>
      <w:r w:rsidR="00B803B3" w:rsidRPr="004654F1">
        <w:rPr>
          <w:rFonts w:ascii="Times New Roman" w:hAnsi="Times New Roman" w:cs="Times New Roman"/>
          <w:sz w:val="24"/>
        </w:rPr>
        <w:t>ty. These factors play a significant role in influencing the growth of the policy.</w:t>
      </w:r>
    </w:p>
    <w:p w14:paraId="2C56A37A" w14:textId="77777777" w:rsidR="00B803B3" w:rsidRPr="004654F1" w:rsidRDefault="00B803B3" w:rsidP="004654F1">
      <w:pPr>
        <w:spacing w:line="480" w:lineRule="auto"/>
        <w:ind w:firstLine="720"/>
        <w:rPr>
          <w:rFonts w:ascii="Times New Roman" w:hAnsi="Times New Roman" w:cs="Times New Roman"/>
          <w:sz w:val="24"/>
        </w:rPr>
      </w:pPr>
    </w:p>
    <w:p w14:paraId="12CA569D" w14:textId="77777777" w:rsidR="00B803B3" w:rsidRPr="004654F1" w:rsidRDefault="00B803B3" w:rsidP="004654F1">
      <w:pPr>
        <w:spacing w:line="480" w:lineRule="auto"/>
        <w:ind w:firstLine="720"/>
        <w:rPr>
          <w:rFonts w:ascii="Times New Roman" w:hAnsi="Times New Roman" w:cs="Times New Roman"/>
          <w:sz w:val="24"/>
        </w:rPr>
      </w:pPr>
    </w:p>
    <w:p w14:paraId="77698FF6" w14:textId="77777777" w:rsidR="004654F1" w:rsidRDefault="004654F1" w:rsidP="004654F1">
      <w:pPr>
        <w:spacing w:line="480" w:lineRule="auto"/>
        <w:ind w:firstLine="720"/>
        <w:jc w:val="center"/>
        <w:rPr>
          <w:rFonts w:ascii="Times New Roman" w:hAnsi="Times New Roman" w:cs="Times New Roman"/>
          <w:sz w:val="24"/>
        </w:rPr>
      </w:pPr>
    </w:p>
    <w:p w14:paraId="27C4C2C9" w14:textId="77777777" w:rsidR="004654F1" w:rsidRDefault="004654F1" w:rsidP="004654F1">
      <w:pPr>
        <w:spacing w:line="480" w:lineRule="auto"/>
        <w:ind w:firstLine="720"/>
        <w:jc w:val="center"/>
        <w:rPr>
          <w:rFonts w:ascii="Times New Roman" w:hAnsi="Times New Roman" w:cs="Times New Roman"/>
          <w:sz w:val="24"/>
        </w:rPr>
      </w:pPr>
    </w:p>
    <w:p w14:paraId="42715A95" w14:textId="77777777" w:rsidR="004654F1" w:rsidRDefault="004654F1" w:rsidP="004654F1">
      <w:pPr>
        <w:spacing w:line="480" w:lineRule="auto"/>
        <w:ind w:firstLine="720"/>
        <w:jc w:val="center"/>
        <w:rPr>
          <w:rFonts w:ascii="Times New Roman" w:hAnsi="Times New Roman" w:cs="Times New Roman"/>
          <w:sz w:val="24"/>
        </w:rPr>
      </w:pPr>
    </w:p>
    <w:p w14:paraId="11ACDD80" w14:textId="77777777" w:rsidR="004654F1" w:rsidRDefault="004654F1" w:rsidP="004654F1">
      <w:pPr>
        <w:spacing w:line="480" w:lineRule="auto"/>
        <w:ind w:firstLine="720"/>
        <w:jc w:val="center"/>
        <w:rPr>
          <w:rFonts w:ascii="Times New Roman" w:hAnsi="Times New Roman" w:cs="Times New Roman"/>
          <w:sz w:val="24"/>
        </w:rPr>
      </w:pPr>
    </w:p>
    <w:p w14:paraId="2FBA2309" w14:textId="77777777" w:rsidR="004654F1" w:rsidRDefault="004654F1" w:rsidP="004654F1">
      <w:pPr>
        <w:spacing w:line="480" w:lineRule="auto"/>
        <w:ind w:firstLine="720"/>
        <w:jc w:val="center"/>
        <w:rPr>
          <w:rFonts w:ascii="Times New Roman" w:hAnsi="Times New Roman" w:cs="Times New Roman"/>
          <w:sz w:val="24"/>
        </w:rPr>
      </w:pPr>
    </w:p>
    <w:p w14:paraId="12DED834" w14:textId="77777777" w:rsidR="00B803B3" w:rsidRPr="004654F1" w:rsidRDefault="003C2ABD" w:rsidP="004654F1">
      <w:pPr>
        <w:spacing w:line="480" w:lineRule="auto"/>
        <w:ind w:firstLine="720"/>
        <w:jc w:val="center"/>
        <w:rPr>
          <w:rFonts w:ascii="Times New Roman" w:hAnsi="Times New Roman" w:cs="Times New Roman"/>
          <w:sz w:val="24"/>
        </w:rPr>
      </w:pPr>
      <w:r w:rsidRPr="004654F1">
        <w:rPr>
          <w:rFonts w:ascii="Times New Roman" w:hAnsi="Times New Roman" w:cs="Times New Roman"/>
          <w:sz w:val="24"/>
        </w:rPr>
        <w:t>References</w:t>
      </w:r>
    </w:p>
    <w:p w14:paraId="0A1904C2" w14:textId="77777777" w:rsidR="004654F1" w:rsidRPr="004654F1" w:rsidRDefault="00AC6BA5" w:rsidP="004654F1">
      <w:pPr>
        <w:pStyle w:val="Bibliography"/>
        <w:spacing w:line="480" w:lineRule="auto"/>
        <w:ind w:left="720" w:hanging="720"/>
        <w:rPr>
          <w:rFonts w:ascii="Times New Roman" w:hAnsi="Times New Roman" w:cs="Times New Roman"/>
          <w:noProof/>
          <w:sz w:val="24"/>
        </w:rPr>
      </w:pPr>
      <w:r w:rsidRPr="004654F1">
        <w:rPr>
          <w:rFonts w:ascii="Times New Roman" w:hAnsi="Times New Roman" w:cs="Times New Roman"/>
          <w:sz w:val="24"/>
        </w:rPr>
        <w:fldChar w:fldCharType="begin"/>
      </w:r>
      <w:r w:rsidR="003C2ABD" w:rsidRPr="004654F1">
        <w:rPr>
          <w:rFonts w:ascii="Times New Roman" w:hAnsi="Times New Roman" w:cs="Times New Roman"/>
          <w:sz w:val="24"/>
        </w:rPr>
        <w:instrText xml:space="preserve"> BIBLIOGRAPHY  \l 1033 </w:instrText>
      </w:r>
      <w:r w:rsidRPr="004654F1">
        <w:rPr>
          <w:rFonts w:ascii="Times New Roman" w:hAnsi="Times New Roman" w:cs="Times New Roman"/>
          <w:sz w:val="24"/>
        </w:rPr>
        <w:fldChar w:fldCharType="separate"/>
      </w:r>
      <w:r w:rsidR="003C2ABD" w:rsidRPr="004654F1">
        <w:rPr>
          <w:rFonts w:ascii="Times New Roman" w:hAnsi="Times New Roman" w:cs="Times New Roman"/>
          <w:noProof/>
          <w:sz w:val="24"/>
        </w:rPr>
        <w:t xml:space="preserve">NCSL. (2018, March). </w:t>
      </w:r>
      <w:r w:rsidR="003C2ABD" w:rsidRPr="004654F1">
        <w:rPr>
          <w:rFonts w:ascii="Times New Roman" w:hAnsi="Times New Roman" w:cs="Times New Roman"/>
          <w:i/>
          <w:iCs/>
          <w:noProof/>
          <w:sz w:val="24"/>
        </w:rPr>
        <w:t>State Legislators: Who They Are and How to Work With Them: A Guide for Oral Health Professionals</w:t>
      </w:r>
      <w:r w:rsidR="003C2ABD" w:rsidRPr="004654F1">
        <w:rPr>
          <w:rFonts w:ascii="Times New Roman" w:hAnsi="Times New Roman" w:cs="Times New Roman"/>
          <w:noProof/>
          <w:sz w:val="24"/>
        </w:rPr>
        <w:t>. Retrieved November 1, 2020, from NCSL: https://www.ncsl.org/Portals/1/HTML_LargeReports/OralHealth_3.htm</w:t>
      </w:r>
    </w:p>
    <w:p w14:paraId="7CD82CFC" w14:textId="77777777" w:rsidR="004654F1" w:rsidRPr="004654F1" w:rsidRDefault="003C2ABD" w:rsidP="004654F1">
      <w:pPr>
        <w:pStyle w:val="Bibliography"/>
        <w:spacing w:line="480" w:lineRule="auto"/>
        <w:ind w:left="720" w:hanging="720"/>
        <w:rPr>
          <w:rFonts w:ascii="Times New Roman" w:hAnsi="Times New Roman" w:cs="Times New Roman"/>
          <w:noProof/>
          <w:sz w:val="24"/>
        </w:rPr>
      </w:pPr>
      <w:r w:rsidRPr="004654F1">
        <w:rPr>
          <w:rFonts w:ascii="Times New Roman" w:hAnsi="Times New Roman" w:cs="Times New Roman"/>
          <w:noProof/>
          <w:sz w:val="24"/>
        </w:rPr>
        <w:t xml:space="preserve">Peterson, M. E. (2017, January 1). </w:t>
      </w:r>
      <w:r w:rsidRPr="004654F1">
        <w:rPr>
          <w:rFonts w:ascii="Times New Roman" w:hAnsi="Times New Roman" w:cs="Times New Roman"/>
          <w:i/>
          <w:iCs/>
          <w:noProof/>
          <w:sz w:val="24"/>
        </w:rPr>
        <w:t>Barriers to Practice and the Impact on Health Care: A Nurse Practitioner Focus</w:t>
      </w:r>
      <w:r w:rsidRPr="004654F1">
        <w:rPr>
          <w:rFonts w:ascii="Times New Roman" w:hAnsi="Times New Roman" w:cs="Times New Roman"/>
          <w:noProof/>
          <w:sz w:val="24"/>
        </w:rPr>
        <w:t>. Retrieved November 1, 2020, from NCBI: https://www.ncbi.nlm.nih.gov/pmc/articles/PMC5995533/</w:t>
      </w:r>
    </w:p>
    <w:p w14:paraId="0C42CDB0" w14:textId="77777777" w:rsidR="00B803B3" w:rsidRPr="004654F1" w:rsidRDefault="00AC6BA5" w:rsidP="004654F1">
      <w:pPr>
        <w:spacing w:line="480" w:lineRule="auto"/>
        <w:ind w:firstLine="720"/>
        <w:rPr>
          <w:rFonts w:ascii="Times New Roman" w:hAnsi="Times New Roman" w:cs="Times New Roman"/>
          <w:sz w:val="24"/>
        </w:rPr>
      </w:pPr>
      <w:r w:rsidRPr="004654F1">
        <w:rPr>
          <w:rFonts w:ascii="Times New Roman" w:hAnsi="Times New Roman" w:cs="Times New Roman"/>
          <w:sz w:val="24"/>
        </w:rPr>
        <w:fldChar w:fldCharType="end"/>
      </w:r>
    </w:p>
    <w:sectPr w:rsidR="00B803B3" w:rsidRPr="004654F1" w:rsidSect="00B17EF0">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54DD8" w14:textId="77777777" w:rsidR="0029771B" w:rsidRDefault="0029771B" w:rsidP="00AC6BA5">
      <w:pPr>
        <w:spacing w:after="0" w:line="240" w:lineRule="auto"/>
      </w:pPr>
      <w:r>
        <w:separator/>
      </w:r>
    </w:p>
  </w:endnote>
  <w:endnote w:type="continuationSeparator" w:id="0">
    <w:p w14:paraId="5F6A5214" w14:textId="77777777" w:rsidR="0029771B" w:rsidRDefault="0029771B" w:rsidP="00A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E123A" w14:textId="77777777" w:rsidR="0016747D" w:rsidRDefault="00167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9D1B5" w14:textId="77777777" w:rsidR="0016747D" w:rsidRDefault="00167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63FF4" w14:textId="77777777" w:rsidR="0016747D" w:rsidRDefault="00167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0B2CB" w14:textId="77777777" w:rsidR="0029771B" w:rsidRDefault="0029771B" w:rsidP="00AC6BA5">
      <w:pPr>
        <w:spacing w:after="0" w:line="240" w:lineRule="auto"/>
      </w:pPr>
      <w:r>
        <w:separator/>
      </w:r>
    </w:p>
  </w:footnote>
  <w:footnote w:type="continuationSeparator" w:id="0">
    <w:p w14:paraId="4521CF46" w14:textId="77777777" w:rsidR="0029771B" w:rsidRDefault="0029771B" w:rsidP="00AC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24B85" w14:textId="77777777" w:rsidR="0016747D" w:rsidRDefault="00167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9240451"/>
      <w:docPartObj>
        <w:docPartGallery w:val="Page Numbers (Top of Page)"/>
        <w:docPartUnique/>
      </w:docPartObj>
    </w:sdtPr>
    <w:sdtEndPr>
      <w:rPr>
        <w:noProof/>
      </w:rPr>
    </w:sdtEndPr>
    <w:sdtContent>
      <w:p w14:paraId="045B0853" w14:textId="77777777" w:rsidR="0016747D" w:rsidRDefault="003C2ABD">
        <w:pPr>
          <w:pStyle w:val="Header"/>
        </w:pPr>
        <w:r w:rsidRPr="0016747D">
          <w:rPr>
            <w:rFonts w:ascii="Times New Roman" w:hAnsi="Times New Roman" w:cs="Times New Roman"/>
            <w:sz w:val="24"/>
            <w:szCs w:val="24"/>
          </w:rPr>
          <w:t xml:space="preserve">Running head: HEALTHCARE POLICIES AND </w:t>
        </w:r>
        <w:sdt>
          <w:sdtPr>
            <w:rPr>
              <w:rFonts w:ascii="Times New Roman" w:hAnsi="Times New Roman" w:cs="Times New Roman"/>
              <w:sz w:val="24"/>
              <w:szCs w:val="24"/>
            </w:rPr>
            <w:id w:val="548042447"/>
            <w:docPartObj>
              <w:docPartGallery w:val="Page Numbers (Top of Page)"/>
              <w:docPartUnique/>
            </w:docPartObj>
          </w:sdtPr>
          <w:sdtEndPr>
            <w:rPr>
              <w:noProof/>
            </w:rPr>
          </w:sdtEndPr>
          <w:sdtContent>
            <w:r w:rsidRPr="0016747D">
              <w:rPr>
                <w:rFonts w:ascii="Times New Roman" w:hAnsi="Times New Roman" w:cs="Times New Roman"/>
                <w:sz w:val="24"/>
                <w:szCs w:val="24"/>
              </w:rPr>
              <w:t>LEADERSHIP</w:t>
            </w:r>
            <w:r w:rsidRPr="0016747D">
              <w:rPr>
                <w:rFonts w:ascii="Times New Roman" w:hAnsi="Times New Roman" w:cs="Times New Roman"/>
                <w:sz w:val="24"/>
                <w:szCs w:val="24"/>
              </w:rPr>
              <w:tab/>
            </w:r>
            <w:r w:rsidR="00AC6BA5" w:rsidRPr="0016747D">
              <w:rPr>
                <w:rFonts w:ascii="Times New Roman" w:hAnsi="Times New Roman" w:cs="Times New Roman"/>
                <w:sz w:val="24"/>
                <w:szCs w:val="24"/>
              </w:rPr>
              <w:fldChar w:fldCharType="begin"/>
            </w:r>
            <w:r w:rsidRPr="0016747D">
              <w:rPr>
                <w:rFonts w:ascii="Times New Roman" w:hAnsi="Times New Roman" w:cs="Times New Roman"/>
                <w:sz w:val="24"/>
                <w:szCs w:val="24"/>
              </w:rPr>
              <w:instrText xml:space="preserve"> PAGE   \* MERGEFORMAT </w:instrText>
            </w:r>
            <w:r w:rsidR="00AC6BA5" w:rsidRPr="0016747D">
              <w:rPr>
                <w:rFonts w:ascii="Times New Roman" w:hAnsi="Times New Roman" w:cs="Times New Roman"/>
                <w:sz w:val="24"/>
                <w:szCs w:val="24"/>
              </w:rPr>
              <w:fldChar w:fldCharType="separate"/>
            </w:r>
            <w:r w:rsidR="00737A59">
              <w:rPr>
                <w:rFonts w:ascii="Times New Roman" w:hAnsi="Times New Roman" w:cs="Times New Roman"/>
                <w:noProof/>
                <w:sz w:val="24"/>
                <w:szCs w:val="24"/>
              </w:rPr>
              <w:t>2</w:t>
            </w:r>
            <w:r w:rsidR="00AC6BA5" w:rsidRPr="0016747D">
              <w:rPr>
                <w:rFonts w:ascii="Times New Roman" w:hAnsi="Times New Roman" w:cs="Times New Roman"/>
                <w:noProof/>
                <w:sz w:val="24"/>
                <w:szCs w:val="24"/>
              </w:rPr>
              <w:fldChar w:fldCharType="end"/>
            </w:r>
          </w:sdtContent>
        </w:sdt>
      </w:p>
    </w:sdtContent>
  </w:sdt>
  <w:p w14:paraId="335B1751" w14:textId="77777777" w:rsidR="0016747D" w:rsidRDefault="001674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1311" w14:textId="77777777" w:rsidR="0016747D" w:rsidRPr="0016747D" w:rsidRDefault="003C2ABD">
    <w:pPr>
      <w:pStyle w:val="Header"/>
      <w:rPr>
        <w:rFonts w:ascii="Times New Roman" w:hAnsi="Times New Roman" w:cs="Times New Roman"/>
        <w:sz w:val="24"/>
        <w:szCs w:val="24"/>
      </w:rPr>
    </w:pPr>
    <w:r w:rsidRPr="0016747D">
      <w:rPr>
        <w:rFonts w:ascii="Times New Roman" w:hAnsi="Times New Roman" w:cs="Times New Roman"/>
        <w:sz w:val="24"/>
        <w:szCs w:val="24"/>
      </w:rPr>
      <w:t xml:space="preserve">Running head: HEALTHCARE POLICIES AND </w:t>
    </w:r>
    <w:sdt>
      <w:sdtPr>
        <w:rPr>
          <w:rFonts w:ascii="Times New Roman" w:hAnsi="Times New Roman" w:cs="Times New Roman"/>
          <w:sz w:val="24"/>
          <w:szCs w:val="24"/>
        </w:rPr>
        <w:id w:val="-1827277644"/>
        <w:docPartObj>
          <w:docPartGallery w:val="Page Numbers (Top of Page)"/>
          <w:docPartUnique/>
        </w:docPartObj>
      </w:sdtPr>
      <w:sdtEndPr>
        <w:rPr>
          <w:noProof/>
        </w:rPr>
      </w:sdtEndPr>
      <w:sdtContent>
        <w:r w:rsidRPr="0016747D">
          <w:rPr>
            <w:rFonts w:ascii="Times New Roman" w:hAnsi="Times New Roman" w:cs="Times New Roman"/>
            <w:sz w:val="24"/>
            <w:szCs w:val="24"/>
          </w:rPr>
          <w:t>LEADERSHIP</w:t>
        </w:r>
        <w:r w:rsidRPr="0016747D">
          <w:rPr>
            <w:rFonts w:ascii="Times New Roman" w:hAnsi="Times New Roman" w:cs="Times New Roman"/>
            <w:sz w:val="24"/>
            <w:szCs w:val="24"/>
          </w:rPr>
          <w:tab/>
        </w:r>
        <w:r w:rsidR="00AC6BA5" w:rsidRPr="0016747D">
          <w:rPr>
            <w:rFonts w:ascii="Times New Roman" w:hAnsi="Times New Roman" w:cs="Times New Roman"/>
            <w:sz w:val="24"/>
            <w:szCs w:val="24"/>
          </w:rPr>
          <w:fldChar w:fldCharType="begin"/>
        </w:r>
        <w:r w:rsidRPr="0016747D">
          <w:rPr>
            <w:rFonts w:ascii="Times New Roman" w:hAnsi="Times New Roman" w:cs="Times New Roman"/>
            <w:sz w:val="24"/>
            <w:szCs w:val="24"/>
          </w:rPr>
          <w:instrText xml:space="preserve"> PAGE   \* MERGEFORMAT </w:instrText>
        </w:r>
        <w:r w:rsidR="00AC6BA5" w:rsidRPr="0016747D">
          <w:rPr>
            <w:rFonts w:ascii="Times New Roman" w:hAnsi="Times New Roman" w:cs="Times New Roman"/>
            <w:sz w:val="24"/>
            <w:szCs w:val="24"/>
          </w:rPr>
          <w:fldChar w:fldCharType="separate"/>
        </w:r>
        <w:r w:rsidR="00737A59">
          <w:rPr>
            <w:rFonts w:ascii="Times New Roman" w:hAnsi="Times New Roman" w:cs="Times New Roman"/>
            <w:noProof/>
            <w:sz w:val="24"/>
            <w:szCs w:val="24"/>
          </w:rPr>
          <w:t>1</w:t>
        </w:r>
        <w:r w:rsidR="00AC6BA5" w:rsidRPr="0016747D">
          <w:rPr>
            <w:rFonts w:ascii="Times New Roman" w:hAnsi="Times New Roman" w:cs="Times New Roman"/>
            <w:noProof/>
            <w:sz w:val="24"/>
            <w:szCs w:val="24"/>
          </w:rPr>
          <w:fldChar w:fldCharType="end"/>
        </w:r>
      </w:sdtContent>
    </w:sdt>
  </w:p>
  <w:p w14:paraId="000C309F" w14:textId="77777777" w:rsidR="0016747D" w:rsidRDefault="00167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5F04"/>
    <w:multiLevelType w:val="hybridMultilevel"/>
    <w:tmpl w:val="E78E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ACE"/>
    <w:rsid w:val="00160CA3"/>
    <w:rsid w:val="0016747D"/>
    <w:rsid w:val="002071FE"/>
    <w:rsid w:val="0029771B"/>
    <w:rsid w:val="003C2ABD"/>
    <w:rsid w:val="004654F1"/>
    <w:rsid w:val="004F7ACE"/>
    <w:rsid w:val="00650AD1"/>
    <w:rsid w:val="0068352A"/>
    <w:rsid w:val="00737A59"/>
    <w:rsid w:val="007B4811"/>
    <w:rsid w:val="00A6557B"/>
    <w:rsid w:val="00AC6BA5"/>
    <w:rsid w:val="00B17EF0"/>
    <w:rsid w:val="00B803B3"/>
    <w:rsid w:val="00BB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860B"/>
  <w15:docId w15:val="{B96521CD-DE81-49A3-A701-E617160F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AD1"/>
    <w:rPr>
      <w:rFonts w:ascii="Tahoma" w:hAnsi="Tahoma" w:cs="Tahoma"/>
      <w:sz w:val="16"/>
      <w:szCs w:val="16"/>
      <w:lang w:val="en-US"/>
    </w:rPr>
  </w:style>
  <w:style w:type="paragraph" w:styleId="Bibliography">
    <w:name w:val="Bibliography"/>
    <w:basedOn w:val="Normal"/>
    <w:next w:val="Normal"/>
    <w:uiPriority w:val="37"/>
    <w:unhideWhenUsed/>
    <w:rsid w:val="004654F1"/>
  </w:style>
  <w:style w:type="paragraph" w:styleId="Header">
    <w:name w:val="header"/>
    <w:basedOn w:val="Normal"/>
    <w:link w:val="HeaderChar"/>
    <w:uiPriority w:val="99"/>
    <w:unhideWhenUsed/>
    <w:rsid w:val="00167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47D"/>
    <w:rPr>
      <w:lang w:val="en-US"/>
    </w:rPr>
  </w:style>
  <w:style w:type="paragraph" w:styleId="Footer">
    <w:name w:val="footer"/>
    <w:basedOn w:val="Normal"/>
    <w:link w:val="FooterChar"/>
    <w:uiPriority w:val="99"/>
    <w:unhideWhenUsed/>
    <w:rsid w:val="00167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47D"/>
    <w:rPr>
      <w:lang w:val="en-US"/>
    </w:rPr>
  </w:style>
  <w:style w:type="paragraph" w:styleId="ListParagraph">
    <w:name w:val="List Paragraph"/>
    <w:basedOn w:val="Normal"/>
    <w:uiPriority w:val="34"/>
    <w:qFormat/>
    <w:rsid w:val="00B1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Pet17</b:Tag>
    <b:SourceType>InternetSite</b:SourceType>
    <b:Guid>{B9C91E6E-4940-474D-9FF1-CD547BF743C6}</b:Guid>
    <b:Author>
      <b:Author>
        <b:NameList>
          <b:Person>
            <b:Last>Peterson</b:Last>
            <b:First>M,</b:First>
            <b:Middle>E.</b:Middle>
          </b:Person>
        </b:NameList>
      </b:Author>
    </b:Author>
    <b:Title>Barriers to Practice and the Impact on Health Care: A Nurse Practitioner Focus</b:Title>
    <b:InternetSiteTitle>NCBI</b:InternetSiteTitle>
    <b:Year>2017</b:Year>
    <b:Month>January</b:Month>
    <b:Day>1</b:Day>
    <b:YearAccessed>2020</b:YearAccessed>
    <b:MonthAccessed>November</b:MonthAccessed>
    <b:DayAccessed>1</b:DayAccessed>
    <b:URL>https://www.ncbi.nlm.nih.gov/pmc/articles/PMC5995533/</b:URL>
    <b:RefOrder>1</b:RefOrder>
  </b:Source>
  <b:Source>
    <b:Tag>NCS18</b:Tag>
    <b:SourceType>InternetSite</b:SourceType>
    <b:Guid>{6C800A3C-414F-4A08-B4F8-BFE53DDCF1DC}</b:Guid>
    <b:Author>
      <b:Author>
        <b:Corporate>NCSL</b:Corporate>
      </b:Author>
    </b:Author>
    <b:Title>State Legislators: Who They Are and How to Work With Them: A Guide for Oral Health Professionals</b:Title>
    <b:InternetSiteTitle>NCSL</b:InternetSiteTitle>
    <b:Year>2018</b:Year>
    <b:Month>March</b:Month>
    <b:YearAccessed>2020</b:YearAccessed>
    <b:MonthAccessed>November</b:MonthAccessed>
    <b:DayAccessed>1</b:DayAccessed>
    <b:URL>https://www.ncsl.org/Portals/1/HTML_LargeReports/OralHealth_3.htm</b:URL>
    <b:RefOrder>2</b:RefOrder>
  </b:Source>
</b:Sources>
</file>

<file path=customXml/itemProps1.xml><?xml version="1.0" encoding="utf-8"?>
<ds:datastoreItem xmlns:ds="http://schemas.openxmlformats.org/officeDocument/2006/customXml" ds:itemID="{DD30EBFD-815C-4991-A113-9EF5F875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ROYAL SMILES DENTAL CLINIC</cp:lastModifiedBy>
  <cp:revision>12</cp:revision>
  <dcterms:created xsi:type="dcterms:W3CDTF">2020-11-01T14:54:00Z</dcterms:created>
  <dcterms:modified xsi:type="dcterms:W3CDTF">2021-02-28T00:17:00Z</dcterms:modified>
</cp:coreProperties>
</file>