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43EFA" w14:textId="77777777" w:rsidR="004B5BDD" w:rsidRPr="000A3EC9" w:rsidRDefault="004B5BDD" w:rsidP="00E246A9">
      <w:pPr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0E664" w14:textId="77777777" w:rsidR="0029465F" w:rsidRPr="00365ED2" w:rsidRDefault="00F11FA4" w:rsidP="004B5BDD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65E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Inequality in social work Practice</w:t>
      </w:r>
    </w:p>
    <w:p w14:paraId="456C17F8" w14:textId="77777777" w:rsidR="00E246A9" w:rsidRDefault="00E246A9" w:rsidP="006F6875">
      <w:pPr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EE059E9" w14:textId="77777777" w:rsidR="006A4350" w:rsidRPr="00FD269C" w:rsidRDefault="00F11FA4" w:rsidP="004B5BDD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D26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Section 1: Inequality in social work Practice</w:t>
      </w:r>
    </w:p>
    <w:p w14:paraId="5FE63129" w14:textId="77777777" w:rsidR="00E74609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One of the most crit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ical social workers' </w:t>
      </w:r>
      <w:proofErr w:type="gramStart"/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proofErr w:type="gramEnd"/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to improve people's health, well-being, and reduce inequalities. </w:t>
      </w:r>
      <w:r w:rsidR="00DF188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Besides, social disparities lie at the heart o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DF188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unjust variations in people's length and quality of life, which are 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the most important </w:t>
      </w:r>
      <w:r w:rsidR="00DF188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factors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CA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117CA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Bywaters</w:t>
      </w:r>
      <w:proofErr w:type="spellEnd"/>
      <w:r w:rsidR="00117CA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1986). </w:t>
      </w:r>
      <w:r w:rsidR="009349B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Despite that, some social workers and </w:t>
      </w:r>
      <w:r w:rsidR="0079408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users are experiencing inequality. Certain populations experience poor health or environmental factors that threaten</w:t>
      </w:r>
      <w:r w:rsidR="00F13B7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well-being. That aside, social workers experience inequality due to the disparity in earnings between male and female social workers. </w:t>
      </w:r>
      <w:r w:rsidR="00A459C1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Data analysis from the Ontario Association o</w:t>
      </w:r>
      <w:r w:rsidR="004B3B0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A459C1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workers indicates 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there is </w:t>
      </w:r>
      <w:r w:rsidR="004B3B0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wage gap of over ten percent, with male social workers earning </w:t>
      </w:r>
      <w:r w:rsidR="00427F92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more. 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disparity could be associated</w:t>
      </w:r>
      <w:r w:rsidR="0085082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 wide range of factors</w:t>
      </w:r>
      <w:r w:rsidR="009027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 such as experience and education level.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C51"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r w:rsidR="000A3EC9">
        <w:rPr>
          <w:rFonts w:ascii="Times New Roman" w:hAnsi="Times New Roman" w:cs="Times New Roman"/>
          <w:color w:val="000000" w:themeColor="text1"/>
          <w:sz w:val="24"/>
          <w:szCs w:val="24"/>
        </w:rPr>
        <w:t>, s</w:t>
      </w:r>
      <w:r w:rsidR="00627A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ocial work should recognize the significance and strategies of responding to social workers and clients</w:t>
      </w:r>
      <w:r w:rsidR="0017197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needs based on anti-oppressive </w:t>
      </w:r>
      <w:r w:rsidR="00171970" w:rsidRPr="000A3E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ethics, values, and humility.  </w:t>
      </w:r>
      <w:r w:rsidR="0017197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A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F8D2DB" w14:textId="77777777" w:rsidR="00E74609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Canada, a wide range of policies have been implemented to determine the extent of equality and well-being. To ensure this is a success, Canada's political structures must be utilized to determine the main determinants of income inequality in relation to labour, gender, and employment. </w:t>
      </w:r>
      <w:r w:rsidR="00286E7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On the same note, Canada's federal government plays the role of evaluating public expenditure; therefore, it should benefit all citizens irrespective of their social class.</w:t>
      </w:r>
      <w:r w:rsidR="0001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ensure societal well-being, s</w:t>
      </w:r>
      <w:r w:rsidR="0087353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ocial workers must be concerned about poverty</w:t>
      </w:r>
      <w:r w:rsidR="00B30F72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it is consistent with their </w:t>
      </w:r>
      <w:r w:rsidR="007424F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professional </w:t>
      </w:r>
      <w:r w:rsidR="00B30F72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values.</w:t>
      </w:r>
      <w:r w:rsidR="007424F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569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Poverty causes social exclusion, thereby disempowering people from finding adequate solutions.</w:t>
      </w:r>
      <w:r w:rsidR="00CC6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Similarly, e</w:t>
      </w:r>
      <w:r w:rsidR="00D3163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xtensive poverty in specific populations means the </w:t>
      </w:r>
      <w:r w:rsidR="009D598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violation of their dignity; besides, it leads to the denial of vital resources </w:t>
      </w:r>
      <w:r w:rsidR="00CC6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are essential </w:t>
      </w:r>
      <w:r w:rsidR="009D598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for daily survival (</w:t>
      </w:r>
      <w:r w:rsidR="00D31634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Canadian Association of Social Workers, 2005).</w:t>
      </w:r>
      <w:r w:rsidR="009D5989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A1D40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Due to unequal access to essential resources, </w:t>
      </w:r>
      <w:r w:rsidR="00A4569B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social workers </w:t>
      </w:r>
      <w:r w:rsidR="00965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serve the purpose of redistributing</w:t>
      </w:r>
      <w:r w:rsidR="00A4569B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services to various communities through welfare-advocacy and anti-poverty policies. </w:t>
      </w:r>
      <w:r w:rsidR="000A1D40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0BDD0B0" w14:textId="77777777" w:rsidR="00E74609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Inequality in social work practice is</w:t>
      </w:r>
      <w:r w:rsidR="0093690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A6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a problem because the social work profession is generally</w:t>
      </w:r>
      <w:r w:rsidR="0038464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welfare and self-realization of all people (</w:t>
      </w:r>
      <w:r w:rsidR="00384649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Canadian Association of Social Workers, 2005).</w:t>
      </w:r>
      <w:r w:rsidR="0093114C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a result, it is vital to utilize scientific knowledge to </w:t>
      </w:r>
      <w:r w:rsidR="004E1137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meet both workers and the public's needs. </w:t>
      </w:r>
      <w:r w:rsidR="00B92ACE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One </w:t>
      </w:r>
      <w:r w:rsidR="007B4F75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fundamental</w:t>
      </w:r>
      <w:r w:rsidR="00B92ACE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priority of t</w:t>
      </w:r>
      <w:r w:rsidR="004E1137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social work profession</w:t>
      </w:r>
      <w:r w:rsidR="00B92ACE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to</w:t>
      </w:r>
      <w:r w:rsidR="007B4F75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4777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empower and satisfy the needs of persons who are vulnerable to various challenges, such as poor living standards and financial difficulties. </w:t>
      </w:r>
      <w:r w:rsidR="00024A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On the contrary, inequality poses a challenge to such </w:t>
      </w:r>
      <w:r w:rsidR="00EE3C1D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goals since it affects their commitment to fostering hum</w:t>
      </w:r>
      <w:r w:rsidR="00024A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 rights as outlined by the code of ethics</w:t>
      </w:r>
      <w:r w:rsidR="00EE3C1D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A77164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B4F89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 also inhibits a wide range of values</w:t>
      </w:r>
      <w:r w:rsidR="00452C72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such as competence and productivity in professional practice. Secondly, inequality limits the pursuit of social justi</w:t>
      </w:r>
      <w:r w:rsidR="00024A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 and respect for dignity; b</w:t>
      </w:r>
      <w:r w:rsidR="00452C72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esides, social work is developed on the commitment to upholding the worth o all persons</w:t>
      </w:r>
      <w:r w:rsidR="00024A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Thus</w:t>
      </w:r>
      <w:r w:rsidR="00072B0F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s</w:t>
      </w:r>
      <w:r w:rsidR="00072B0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ocial workers must respect Canadian society</w:t>
      </w:r>
      <w:r w:rsidR="00716A8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16A88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Canadian Association of Social Workers, 2005). </w:t>
      </w:r>
      <w:r w:rsidR="00072B0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FB9B18" w14:textId="77777777" w:rsidR="00E74609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Social workers must pay attention to inequality because it has a wide</w:t>
      </w:r>
      <w:r w:rsidR="001E04B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range of effects. In Canada, the social class disparity has been the primary</w:t>
      </w:r>
      <w:r w:rsidR="003050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cause of inequality. P</w:t>
      </w:r>
      <w:r w:rsidR="001E04B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oor living and working conditions impair health and shorten lives </w:t>
      </w:r>
      <w:r w:rsidR="00E347A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(Rose &amp; </w:t>
      </w:r>
      <w:proofErr w:type="spellStart"/>
      <w:r w:rsidR="00E347A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Hatzenbuehler</w:t>
      </w:r>
      <w:proofErr w:type="spellEnd"/>
      <w:r w:rsidR="00E347A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 2009).</w:t>
      </w:r>
      <w:r w:rsidR="001E04B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C6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consistency in the unequal distribution of health makes </w:t>
      </w:r>
      <w:r w:rsidR="003050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D7C6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society inequitable and unjust. </w:t>
      </w:r>
      <w:r w:rsidR="00536E3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Consequently, “structural inequity becomes bio-medically embodied in the majority of people who comprise the body politic, proportionate to their place in the wealth distribution hierarchy” (Rose &amp; </w:t>
      </w:r>
      <w:proofErr w:type="spellStart"/>
      <w:r w:rsidR="00536E3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Hatzenbuehler</w:t>
      </w:r>
      <w:proofErr w:type="spellEnd"/>
      <w:r w:rsidR="00536E3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2009). </w:t>
      </w:r>
      <w:r w:rsidR="008B34E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Inequality in social work has increased the burden of poverty on specific populations. What is more, the adverse challenges in the lower socioeconomic groups </w:t>
      </w:r>
      <w:r w:rsidR="008B34E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are largely caused by material needs. </w:t>
      </w:r>
      <w:r w:rsidR="002021D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Consequently, most socio-structural limitations are propelled by material disadvantage, income inequality, and exposure to family chaos and violence</w:t>
      </w:r>
      <w:r w:rsidR="00FD07B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(Rose &amp; </w:t>
      </w:r>
      <w:proofErr w:type="spellStart"/>
      <w:r w:rsidR="00FD07B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Hatzenbuehler</w:t>
      </w:r>
      <w:proofErr w:type="spellEnd"/>
      <w:r w:rsidR="00FD07B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 2009</w:t>
      </w:r>
      <w:r w:rsidR="002021D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79D989" w14:textId="77777777" w:rsidR="00CD1438" w:rsidRPr="00FD269C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social work theory that can be applied to flesh out the complexities of inequality is </w:t>
      </w:r>
      <w:r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psychosocial theory developed by 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Erik Erikson</w:t>
      </w:r>
      <w:r w:rsidR="009A4DE5" w:rsidRPr="000A3E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9169DD" w:rsidRPr="000A3E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theory's central ideology is that </w:t>
      </w:r>
      <w:r w:rsidR="004F6EBD" w:rsidRPr="000A3E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 are shaped by their social environment</w:t>
      </w:r>
      <w:r w:rsidR="00691770" w:rsidRPr="000A3E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9177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(Syed &amp; McLean, 2017). </w:t>
      </w:r>
      <w:r w:rsidR="00EC346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the </w:t>
      </w:r>
      <w:r w:rsidR="00EC3467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psychosocial theory, </w:t>
      </w:r>
      <w:r w:rsidR="00EC65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self-identity develops as people</w:t>
      </w:r>
      <w:r w:rsidR="00A25BB6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relate and associate with countless social factors throughout their lives.</w:t>
      </w:r>
      <w:r w:rsidR="00EC65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 the other hand, p</w:t>
      </w:r>
      <w:proofErr w:type="spellStart"/>
      <w:r w:rsidR="004B175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overty</w:t>
      </w:r>
      <w:proofErr w:type="spellEnd"/>
      <w:r w:rsidR="004B175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causes social exclusion, thereby disempowering people from finding adequate</w:t>
      </w:r>
      <w:r w:rsidR="00EC6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solutions to their challenges. </w:t>
      </w:r>
      <w:r w:rsidR="004B175E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Such factors make people react and adapt; therefore, they can be used to understand inequality. T</w:t>
      </w:r>
      <w:r w:rsidR="0048064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48064B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psychosocial theory outlines specific </w:t>
      </w:r>
      <w:r w:rsidR="004B175E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social crisis that could shape personality, such as trust, which makes coordination more effective. Understanding these factors makes it easier to interpret </w:t>
      </w:r>
      <w:r w:rsidR="000933E5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individuals (social workers and clients) see themselves and the</w:t>
      </w:r>
      <w:r w:rsidR="00F54333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world at large.</w:t>
      </w:r>
      <w:r w:rsidR="00EC65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summary, t</w:t>
      </w:r>
      <w:r w:rsidR="00C4090C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C4090C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psychosocial theory </w:t>
      </w:r>
      <w:r w:rsidR="006B124C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forms a framework that can guide social workers on how to treat clients, and their needs differ.  </w:t>
      </w:r>
      <w:r w:rsidR="000933E5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4C9B333D" w14:textId="77777777" w:rsidR="00CD1438" w:rsidRPr="00FD269C" w:rsidRDefault="00F11FA4" w:rsidP="004B5BDD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D269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Section 2: Social Work Response.</w:t>
      </w:r>
    </w:p>
    <w:p w14:paraId="79097629" w14:textId="77777777" w:rsidR="00704854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Macro social work is a preferable solution to </w:t>
      </w:r>
      <w:r w:rsidR="00B722E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inequality in social work</w:t>
      </w:r>
      <w:r w:rsidR="0089768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; this system investigates and evaluates social challenges, then various strategies are developed to implement change with</w:t>
      </w:r>
      <w:r w:rsidR="000638EB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89768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community and state level</w:t>
      </w:r>
      <w:r w:rsidR="002F637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F637B"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Rothman &amp; Mizrahi, 2014). </w:t>
      </w:r>
      <w:r w:rsidR="00E0531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difference between macro and other social work interventions is that it involves a broader scope (community or state). </w:t>
      </w:r>
      <w:r w:rsidR="000638E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Macro social work involves various practices, including developing multiple organizations, analysis of policies, evaluation and advocacy for social programs, and communal educations.</w:t>
      </w:r>
      <w:r w:rsidR="00063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Therefore</w:t>
      </w:r>
      <w:r w:rsidR="0034684C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there is always a wide range of responsibilities and </w:t>
      </w:r>
      <w:r w:rsidR="0087339D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organizations</w:t>
      </w:r>
      <w:r w:rsidR="00063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involved in within this field</w:t>
      </w:r>
      <w:r w:rsidR="0087339D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 such as non-profit organizations, political advocacy groups, and research institutions, to name a few (Rothman &amp; Mizrahi, 2014).</w:t>
      </w:r>
      <w:r w:rsidR="00C84246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3D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most social initiatives, macro social work involves understanding people within their environment and how factors such as </w:t>
      </w:r>
      <w:r w:rsidR="00EB5C2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racial discrimination, gender inequality, and national legislation </w:t>
      </w:r>
      <w:r w:rsidR="007E0C2E">
        <w:rPr>
          <w:rFonts w:ascii="Times New Roman" w:hAnsi="Times New Roman" w:cs="Times New Roman"/>
          <w:color w:val="000000" w:themeColor="text1"/>
          <w:sz w:val="24"/>
          <w:szCs w:val="24"/>
        </w:rPr>
        <w:t>impact people and social circles around</w:t>
      </w:r>
      <w:r w:rsidR="00EB5C2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them. </w:t>
      </w:r>
      <w:r w:rsidR="003F13D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06FC46" w14:textId="77777777" w:rsidR="003C6ABB" w:rsidRPr="000A3EC9" w:rsidRDefault="00EA049B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ome social workers and 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ers are experiencing inequality; and this could lead to 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poor health 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environmental factors that threaten their well-being.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Therefore, </w:t>
      </w:r>
      <w:r w:rsidR="00F11FA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I choose macro social work to solve inequality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 this is</w:t>
      </w:r>
      <w:r w:rsidR="008C7F0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it involves investigating social challenges facing specific populations. </w:t>
      </w:r>
      <w:r w:rsidR="009111E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Through research</w:t>
      </w:r>
      <w:r w:rsidR="00D03B5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111E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data collection,</w:t>
      </w:r>
      <w:r w:rsidR="00D03B5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9111E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3B5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communal outreach, social workers usually take their time to evaluate and discover the particular issues that affect the community's well-being—f</w:t>
      </w:r>
      <w:r w:rsidR="00A8104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instance, factors leading to limited resources </w:t>
      </w:r>
      <w:r w:rsidR="0016221D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healthcare for the elderly.</w:t>
      </w:r>
      <w:r w:rsidR="0070485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5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aside, macro social work </w:t>
      </w:r>
      <w:r w:rsidR="008B67A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develops and strategically manages </w:t>
      </w:r>
      <w:r w:rsidR="008D6482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programs meant for the persons in need. </w:t>
      </w:r>
      <w:r w:rsidR="00520C3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59BF">
        <w:rPr>
          <w:rFonts w:ascii="Times New Roman" w:hAnsi="Times New Roman" w:cs="Times New Roman"/>
          <w:color w:val="000000" w:themeColor="text1"/>
          <w:sz w:val="24"/>
          <w:szCs w:val="24"/>
        </w:rPr>
        <w:t>What is more, it educates the community and c</w:t>
      </w:r>
      <w:r w:rsidR="00E60BB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ommunal education is a fundamental </w:t>
      </w:r>
      <w:r w:rsidR="00D659BF">
        <w:rPr>
          <w:rFonts w:ascii="Times New Roman" w:hAnsi="Times New Roman" w:cs="Times New Roman"/>
          <w:color w:val="000000" w:themeColor="text1"/>
          <w:sz w:val="24"/>
          <w:szCs w:val="24"/>
        </w:rPr>
        <w:t>factor for social change. To be more precise,</w:t>
      </w:r>
      <w:r w:rsidR="00520C3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social worker can inform people of th</w:t>
      </w:r>
      <w:r w:rsidR="00D659BF">
        <w:rPr>
          <w:rFonts w:ascii="Times New Roman" w:hAnsi="Times New Roman" w:cs="Times New Roman"/>
          <w:color w:val="000000" w:themeColor="text1"/>
          <w:sz w:val="24"/>
          <w:szCs w:val="24"/>
        </w:rPr>
        <w:t>e health management strategies. Also, m</w:t>
      </w:r>
      <w:r w:rsidR="000456B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acro social </w:t>
      </w:r>
      <w:r w:rsidR="00C32DD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workers serve as representatives for the disadvantaged populations</w:t>
      </w:r>
      <w:r w:rsidR="009C7E51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 various initiatives such as child welfare programs. </w:t>
      </w:r>
      <w:r w:rsidR="00D65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than that, the </w:t>
      </w:r>
      <w:r w:rsidR="009C7E51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fundamental priority of the social work profession is to empower and satisfy vulnerable persons' needs to </w:t>
      </w:r>
      <w:r w:rsidR="00204B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solve</w:t>
      </w:r>
      <w:r w:rsidR="002576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wide range of </w:t>
      </w:r>
      <w:r w:rsidR="009C7E51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challenges</w:t>
      </w:r>
      <w:r w:rsidR="00EC0A1C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56091386" w14:textId="77777777" w:rsidR="003C6ABB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Macro social work has various benefits</w:t>
      </w:r>
      <w:r w:rsidR="00257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F73C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first o</w:t>
      </w:r>
      <w:r w:rsidR="002576E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73C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all,</w:t>
      </w:r>
      <w:r w:rsidR="00BB75C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social workers must</w:t>
      </w:r>
      <w:r w:rsidR="009B2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always</w:t>
      </w:r>
      <w:r w:rsidR="00BB75C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investigate and understand the vulnerable populations in relation to the </w:t>
      </w:r>
      <w:r w:rsidR="00CC048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political, social, and cultural factors. </w:t>
      </w:r>
      <w:r w:rsidR="00BB75C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Secondly,</w:t>
      </w:r>
      <w:r w:rsidR="00F73C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empowers a large number of people as compared to other social work methods. </w:t>
      </w:r>
      <w:r w:rsidR="00AF3EC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For consistency and proficiency, macro social work primarily involves analyzing policies, evaluation, and advocacy for social programs. What is m</w:t>
      </w:r>
      <w:r w:rsidR="009B2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ore, macro social work </w:t>
      </w:r>
      <w:r w:rsidR="009B23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encompasses </w:t>
      </w:r>
      <w:r w:rsidR="00AF3EC0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communal education through various institutions </w:t>
      </w:r>
      <w:r w:rsidR="008117C4"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(Rothman &amp; Mizrahi, 2014)</w:t>
      </w:r>
      <w:r w:rsidR="00AF3EC0"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B2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Despite of the benefits, 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macro social work has a wide range of limitations; </w:t>
      </w:r>
      <w:r w:rsidR="008117C4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of all, working with communities </w:t>
      </w:r>
      <w:r w:rsidR="0013483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time intensive since it involves a large number of people. </w:t>
      </w:r>
      <w:r w:rsidR="0030249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Therefore, this could be discouraging to some social workers who prefer working in indivi</w:t>
      </w:r>
      <w:r w:rsidR="0024632B">
        <w:rPr>
          <w:rFonts w:ascii="Times New Roman" w:hAnsi="Times New Roman" w:cs="Times New Roman"/>
          <w:color w:val="000000" w:themeColor="text1"/>
          <w:sz w:val="24"/>
          <w:szCs w:val="24"/>
        </w:rPr>
        <w:t>dual environments. O</w:t>
      </w:r>
      <w:r w:rsidR="0030249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course, macro social work is meant to benefit many people; however, social workers could face resistance </w:t>
      </w:r>
      <w:r w:rsidR="0024632B">
        <w:rPr>
          <w:rFonts w:ascii="Times New Roman" w:hAnsi="Times New Roman" w:cs="Times New Roman"/>
          <w:color w:val="000000" w:themeColor="text1"/>
          <w:sz w:val="24"/>
          <w:szCs w:val="24"/>
        </w:rPr>
        <w:t>from specific communities; this</w:t>
      </w:r>
      <w:r w:rsidR="0030249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frustrate a lot of participants.</w:t>
      </w:r>
      <w:r w:rsidR="00C3548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14F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r w:rsidR="0024632B">
        <w:rPr>
          <w:rFonts w:ascii="Times New Roman" w:hAnsi="Times New Roman" w:cs="Times New Roman"/>
          <w:color w:val="000000" w:themeColor="text1"/>
          <w:sz w:val="24"/>
          <w:szCs w:val="24"/>
        </w:rPr>
        <w:t>s in policies and laws are often</w:t>
      </w:r>
      <w:r w:rsidR="006514F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; this means that most workers should participate in regular education to ensure</w:t>
      </w:r>
      <w:r w:rsidR="00626601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14F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social work is sustainable and productive. </w:t>
      </w:r>
      <w:r w:rsidR="0030249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3ECC87" w14:textId="77777777" w:rsidR="001C14E4" w:rsidRPr="000A3EC9" w:rsidRDefault="00F11FA4" w:rsidP="004B5BDD">
      <w:pPr>
        <w:spacing w:line="480" w:lineRule="auto"/>
        <w:ind w:firstLine="72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theory that can be used to explain </w:t>
      </w:r>
      <w:r w:rsidR="005F025D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macro social work is the transpersonal theory</w:t>
      </w:r>
      <w:r w:rsidR="008F293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516B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be more precise, the transpersonal theory utilizes positive influences and initiatives to empower people and make them realize their full </w:t>
      </w:r>
      <w:r w:rsidR="0015073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potential</w:t>
      </w:r>
      <w:r w:rsidR="00F516B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50737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591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theory can be used for human development </w:t>
      </w:r>
      <w:r w:rsidR="002F6C6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to help them overcome adversity</w:t>
      </w:r>
      <w:r w:rsidR="00644F8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44F83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Maniago &amp; </w:t>
      </w:r>
      <w:proofErr w:type="spellStart"/>
      <w:r w:rsidR="00644F83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Albougami</w:t>
      </w:r>
      <w:proofErr w:type="spellEnd"/>
      <w:r w:rsidR="00644F83"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2019).</w:t>
      </w:r>
      <w:r w:rsidR="00644F83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60D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On the same note,</w:t>
      </w:r>
      <w:r w:rsidR="00F516B5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60DF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macro social work fosters various organizations' development, analysis of policies, evaluation, and advocacy for social programs and communal education. </w:t>
      </w:r>
      <w:r w:rsidR="00002EEB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Social workers who advocate for policies raise awareness of human rights and other challenges, essential in addres</w:t>
      </w:r>
      <w:r w:rsidR="00996F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 large-scale social issues. </w:t>
      </w:r>
      <w:r w:rsidR="00B063DE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like the transpersonal theory's roles, these initiatives </w:t>
      </w:r>
      <w:r w:rsidR="000B0572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empower vulnerable populations such as immigrants, the homeless, and persons with disabilities</w:t>
      </w:r>
      <w:r w:rsidR="006B2F3A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A152D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investigating social challenges, </w:t>
      </w:r>
      <w:r w:rsidR="0041320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educating people, </w:t>
      </w:r>
      <w:r w:rsidR="001A152D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and advocating for the underserved</w:t>
      </w:r>
      <w:r w:rsidR="00E9725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16D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transpersonal theory provides and understanding for</w:t>
      </w:r>
      <w:r w:rsidR="00E97258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6D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people, and this enables </w:t>
      </w:r>
      <w:r w:rsidR="0041320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macro social work </w:t>
      </w:r>
      <w:r w:rsidR="00116DFA">
        <w:rPr>
          <w:rFonts w:ascii="Times New Roman" w:hAnsi="Times New Roman" w:cs="Times New Roman"/>
          <w:color w:val="000000" w:themeColor="text1"/>
          <w:sz w:val="24"/>
          <w:szCs w:val="24"/>
        </w:rPr>
        <w:t>to empower and implement change within the communal</w:t>
      </w:r>
      <w:r w:rsidR="00413209"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state level. </w:t>
      </w:r>
      <w:r w:rsidR="00116D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393082" w14:textId="77777777" w:rsidR="00F67EF5" w:rsidRPr="000A3EC9" w:rsidRDefault="00F67EF5" w:rsidP="004B5BDD">
      <w:pPr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6C06C" w14:textId="77777777" w:rsidR="005B03D9" w:rsidRPr="000A3EC9" w:rsidRDefault="005B03D9" w:rsidP="004B5BDD">
      <w:pPr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0DFB3" w14:textId="77777777" w:rsidR="00FD269C" w:rsidRPr="000A3EC9" w:rsidRDefault="00FD269C" w:rsidP="004B5BDD">
      <w:pPr>
        <w:spacing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22AD8A" w14:textId="77777777" w:rsidR="005B03D9" w:rsidRPr="000A3EC9" w:rsidRDefault="00F11FA4" w:rsidP="004B5BDD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References </w:t>
      </w:r>
    </w:p>
    <w:p w14:paraId="59688D54" w14:textId="77777777" w:rsidR="00E347AE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Bywaters</w:t>
      </w:r>
      <w:proofErr w:type="spellEnd"/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 P. (1986). Social work and the medical profession—Arguments against unconditional collaboration. </w:t>
      </w:r>
      <w:r w:rsidRPr="000A3E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British Journal of Social Work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A3E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16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(6).</w:t>
      </w:r>
    </w:p>
    <w:p w14:paraId="1B02B5A5" w14:textId="77777777" w:rsidR="00724FC5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Canadian Association of Social Workers (2005). Social Work Code of Ethics.  Ottawa, ON.</w:t>
      </w:r>
    </w:p>
    <w:p w14:paraId="51FF4485" w14:textId="77777777" w:rsidR="009C1460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Hick, S. &amp; Stokes, J. (2016). Social work in Canada: An introduction (4th ed.). Toronto, ON: Thompson Educational Publishing. </w:t>
      </w:r>
    </w:p>
    <w:p w14:paraId="48F48A64" w14:textId="77777777" w:rsidR="00644F83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Maniago, J. D., &amp; </w:t>
      </w:r>
      <w:proofErr w:type="spellStart"/>
      <w:r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Albougami</w:t>
      </w:r>
      <w:proofErr w:type="spellEnd"/>
      <w:r w:rsidRPr="000A3E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A. (2019). A national survey of transpersonal caring competency among emergency room nurses in Saudi Arabia.</w:t>
      </w:r>
    </w:p>
    <w:p w14:paraId="686E03A1" w14:textId="77777777" w:rsidR="00E347AE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Rose, S. M., &amp; </w:t>
      </w:r>
      <w:proofErr w:type="spellStart"/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Hatzenbuehler</w:t>
      </w:r>
      <w:proofErr w:type="spellEnd"/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 (2009). Embodying social class: The link between poverty, income inequality, and health. </w:t>
      </w:r>
      <w:r w:rsidRPr="000A3E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International Social Work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0A3E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52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459-471.</w:t>
      </w:r>
    </w:p>
    <w:p w14:paraId="5F8E2781" w14:textId="77777777" w:rsidR="009C1460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Rothman, J., &amp; Mizrahi, T. (2014). Balancing micro and macro practice: A challenge for social work. </w:t>
      </w:r>
      <w:r w:rsidRPr="000A3E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Social Work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0A3E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59</w:t>
      </w:r>
      <w:r w:rsidRPr="000A3E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91-93.</w:t>
      </w:r>
    </w:p>
    <w:p w14:paraId="6B8E6EE8" w14:textId="77777777" w:rsidR="009C1460" w:rsidRPr="000A3EC9" w:rsidRDefault="00F11FA4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EC9">
        <w:rPr>
          <w:rFonts w:ascii="Times New Roman" w:hAnsi="Times New Roman" w:cs="Times New Roman"/>
          <w:color w:val="000000" w:themeColor="text1"/>
          <w:sz w:val="24"/>
          <w:szCs w:val="24"/>
        </w:rPr>
        <w:t>Syed, M., &amp; McLean, K. C. (2017). Erikson’s theory of psychosocial development.</w:t>
      </w:r>
    </w:p>
    <w:p w14:paraId="52419B76" w14:textId="77777777" w:rsidR="000A3EC9" w:rsidRPr="000A3EC9" w:rsidRDefault="000A3EC9" w:rsidP="004B5BDD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A3EC9" w:rsidRPr="000A3EC9" w:rsidSect="00365ED2">
      <w:headerReference w:type="default" r:id="rId8"/>
      <w:headerReference w:type="first" r:id="rId9"/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B8E6" w14:textId="77777777" w:rsidR="00CF0621" w:rsidRDefault="00CF0621" w:rsidP="00DA2FAC">
      <w:pPr>
        <w:spacing w:after="0" w:line="240" w:lineRule="auto"/>
      </w:pPr>
      <w:r>
        <w:separator/>
      </w:r>
    </w:p>
  </w:endnote>
  <w:endnote w:type="continuationSeparator" w:id="0">
    <w:p w14:paraId="3CA99F42" w14:textId="77777777" w:rsidR="00CF0621" w:rsidRDefault="00CF0621" w:rsidP="00DA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181DD" w14:textId="77777777" w:rsidR="00CF0621" w:rsidRDefault="00CF0621" w:rsidP="00DA2FAC">
      <w:pPr>
        <w:spacing w:after="0" w:line="240" w:lineRule="auto"/>
      </w:pPr>
      <w:r>
        <w:separator/>
      </w:r>
    </w:p>
  </w:footnote>
  <w:footnote w:type="continuationSeparator" w:id="0">
    <w:p w14:paraId="7FFD333A" w14:textId="77777777" w:rsidR="00CF0621" w:rsidRDefault="00CF0621" w:rsidP="00DA2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C3C33" w14:textId="77777777" w:rsidR="004B175E" w:rsidRPr="002C7FC7" w:rsidRDefault="00F11FA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C7FC7">
      <w:rPr>
        <w:rFonts w:ascii="Times New Roman" w:hAnsi="Times New Roman" w:cs="Times New Roman"/>
        <w:sz w:val="24"/>
        <w:szCs w:val="24"/>
      </w:rPr>
      <w:t>SOCIAL WORK</w:t>
    </w:r>
    <w:r>
      <w:rPr>
        <w:rFonts w:ascii="Times New Roman" w:hAnsi="Times New Roman" w:cs="Times New Roman"/>
        <w:sz w:val="24"/>
        <w:szCs w:val="24"/>
      </w:rPr>
      <w:t xml:space="preserve"> INEQUALITY</w:t>
    </w:r>
    <w:r w:rsidRPr="002C7FC7">
      <w:rPr>
        <w:rFonts w:ascii="Times New Roman" w:hAnsi="Times New Roman" w:cs="Times New Roman"/>
        <w:sz w:val="24"/>
        <w:szCs w:val="24"/>
      </w:rPr>
      <w:tab/>
    </w:r>
    <w:r w:rsidRPr="002C7FC7">
      <w:rPr>
        <w:rFonts w:ascii="Times New Roman" w:hAnsi="Times New Roman" w:cs="Times New Roman"/>
        <w:sz w:val="24"/>
        <w:szCs w:val="24"/>
      </w:rPr>
      <w:tab/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770893"/>
        <w:docPartObj>
          <w:docPartGallery w:val="Page Numbers (Top of Page)"/>
          <w:docPartUnique/>
        </w:docPartObj>
      </w:sdtPr>
      <w:sdtEndPr/>
      <w:sdtContent>
        <w:r w:rsidR="003B60DE" w:rsidRPr="002C7F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C7F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B60DE" w:rsidRPr="002C7F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57F5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B60DE" w:rsidRPr="002C7FC7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1A0E57A2" w14:textId="77777777" w:rsidR="004B175E" w:rsidRPr="002C7FC7" w:rsidRDefault="004B175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910"/>
      <w:docPartObj>
        <w:docPartGallery w:val="Page Numbers (Top of Page)"/>
        <w:docPartUnique/>
      </w:docPartObj>
    </w:sdtPr>
    <w:sdtEndPr/>
    <w:sdtContent>
      <w:p w14:paraId="68C58D53" w14:textId="77777777" w:rsidR="004B175E" w:rsidRDefault="003B60DE">
        <w:pPr>
          <w:pStyle w:val="Header"/>
          <w:jc w:val="right"/>
        </w:pPr>
        <w:r>
          <w:fldChar w:fldCharType="begin"/>
        </w:r>
        <w:r w:rsidR="00F11FA4">
          <w:instrText xml:space="preserve"> PAGE   \* MERGEFORMAT </w:instrText>
        </w:r>
        <w:r>
          <w:fldChar w:fldCharType="separate"/>
        </w:r>
        <w:r w:rsidR="00F57F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B9353" w14:textId="77777777" w:rsidR="004B175E" w:rsidRDefault="004B1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E86"/>
    <w:multiLevelType w:val="hybridMultilevel"/>
    <w:tmpl w:val="126E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6BB"/>
    <w:rsid w:val="00002EEB"/>
    <w:rsid w:val="00003C13"/>
    <w:rsid w:val="00016276"/>
    <w:rsid w:val="00016420"/>
    <w:rsid w:val="00024AC9"/>
    <w:rsid w:val="00031675"/>
    <w:rsid w:val="000456B9"/>
    <w:rsid w:val="00046DD5"/>
    <w:rsid w:val="000638EB"/>
    <w:rsid w:val="000713C6"/>
    <w:rsid w:val="00072B0F"/>
    <w:rsid w:val="000851D0"/>
    <w:rsid w:val="00091F8B"/>
    <w:rsid w:val="000933E5"/>
    <w:rsid w:val="000A1D40"/>
    <w:rsid w:val="000A3EC9"/>
    <w:rsid w:val="000B0572"/>
    <w:rsid w:val="000D044A"/>
    <w:rsid w:val="000E3BB9"/>
    <w:rsid w:val="00116DFA"/>
    <w:rsid w:val="00117CA7"/>
    <w:rsid w:val="0013483E"/>
    <w:rsid w:val="00140C51"/>
    <w:rsid w:val="00150737"/>
    <w:rsid w:val="00157EC2"/>
    <w:rsid w:val="0016221D"/>
    <w:rsid w:val="00167C41"/>
    <w:rsid w:val="00171970"/>
    <w:rsid w:val="001719FC"/>
    <w:rsid w:val="001A152D"/>
    <w:rsid w:val="001A591E"/>
    <w:rsid w:val="001C14E4"/>
    <w:rsid w:val="001E04B5"/>
    <w:rsid w:val="002021D0"/>
    <w:rsid w:val="00204BAF"/>
    <w:rsid w:val="0021794E"/>
    <w:rsid w:val="0024632B"/>
    <w:rsid w:val="00255C24"/>
    <w:rsid w:val="002576E5"/>
    <w:rsid w:val="00281A82"/>
    <w:rsid w:val="00286E73"/>
    <w:rsid w:val="0029465F"/>
    <w:rsid w:val="002C7FC7"/>
    <w:rsid w:val="002F5AF7"/>
    <w:rsid w:val="002F637B"/>
    <w:rsid w:val="002F6C6B"/>
    <w:rsid w:val="0030249A"/>
    <w:rsid w:val="0030501D"/>
    <w:rsid w:val="0034684C"/>
    <w:rsid w:val="00355503"/>
    <w:rsid w:val="00356D93"/>
    <w:rsid w:val="00365ED2"/>
    <w:rsid w:val="00384649"/>
    <w:rsid w:val="003B60DE"/>
    <w:rsid w:val="003C6ABB"/>
    <w:rsid w:val="003E617E"/>
    <w:rsid w:val="003F13D9"/>
    <w:rsid w:val="00401E5B"/>
    <w:rsid w:val="00413209"/>
    <w:rsid w:val="00427F92"/>
    <w:rsid w:val="004304FF"/>
    <w:rsid w:val="00452C72"/>
    <w:rsid w:val="0048064B"/>
    <w:rsid w:val="0048779A"/>
    <w:rsid w:val="004B175E"/>
    <w:rsid w:val="004B3B0F"/>
    <w:rsid w:val="004B5BDD"/>
    <w:rsid w:val="004C0045"/>
    <w:rsid w:val="004D0144"/>
    <w:rsid w:val="004E1137"/>
    <w:rsid w:val="004F6EBD"/>
    <w:rsid w:val="00517B84"/>
    <w:rsid w:val="00520C34"/>
    <w:rsid w:val="0052239E"/>
    <w:rsid w:val="00536E36"/>
    <w:rsid w:val="00541B5F"/>
    <w:rsid w:val="00546BFE"/>
    <w:rsid w:val="00567C75"/>
    <w:rsid w:val="005B03D9"/>
    <w:rsid w:val="005D3681"/>
    <w:rsid w:val="005F025D"/>
    <w:rsid w:val="00626601"/>
    <w:rsid w:val="00627A1E"/>
    <w:rsid w:val="00631D43"/>
    <w:rsid w:val="00644F83"/>
    <w:rsid w:val="006514FF"/>
    <w:rsid w:val="00655B1D"/>
    <w:rsid w:val="00681488"/>
    <w:rsid w:val="006823EB"/>
    <w:rsid w:val="00687A5F"/>
    <w:rsid w:val="00691770"/>
    <w:rsid w:val="00694777"/>
    <w:rsid w:val="006A1421"/>
    <w:rsid w:val="006A4350"/>
    <w:rsid w:val="006B124C"/>
    <w:rsid w:val="006B2F3A"/>
    <w:rsid w:val="006F6875"/>
    <w:rsid w:val="00704854"/>
    <w:rsid w:val="00716A88"/>
    <w:rsid w:val="00724FC5"/>
    <w:rsid w:val="007424F3"/>
    <w:rsid w:val="00794088"/>
    <w:rsid w:val="007A36BB"/>
    <w:rsid w:val="007B4F75"/>
    <w:rsid w:val="007C60DF"/>
    <w:rsid w:val="007C774B"/>
    <w:rsid w:val="007D4A44"/>
    <w:rsid w:val="007E0C2E"/>
    <w:rsid w:val="008117C4"/>
    <w:rsid w:val="00823F24"/>
    <w:rsid w:val="00850298"/>
    <w:rsid w:val="00850827"/>
    <w:rsid w:val="008518A2"/>
    <w:rsid w:val="0087339D"/>
    <w:rsid w:val="0087353B"/>
    <w:rsid w:val="00897687"/>
    <w:rsid w:val="008B34E8"/>
    <w:rsid w:val="008B67AB"/>
    <w:rsid w:val="008C58D1"/>
    <w:rsid w:val="008C7F03"/>
    <w:rsid w:val="008D6482"/>
    <w:rsid w:val="008F293B"/>
    <w:rsid w:val="008F6AC9"/>
    <w:rsid w:val="0090271E"/>
    <w:rsid w:val="009111E5"/>
    <w:rsid w:val="009169DD"/>
    <w:rsid w:val="0093114C"/>
    <w:rsid w:val="009349BA"/>
    <w:rsid w:val="00936909"/>
    <w:rsid w:val="0094132A"/>
    <w:rsid w:val="00965B7A"/>
    <w:rsid w:val="00992E92"/>
    <w:rsid w:val="00996FDC"/>
    <w:rsid w:val="009A4DE5"/>
    <w:rsid w:val="009B23B3"/>
    <w:rsid w:val="009C1460"/>
    <w:rsid w:val="009C7E51"/>
    <w:rsid w:val="009D5989"/>
    <w:rsid w:val="009D7C6F"/>
    <w:rsid w:val="00A15CF1"/>
    <w:rsid w:val="00A25BB6"/>
    <w:rsid w:val="00A32BB0"/>
    <w:rsid w:val="00A35096"/>
    <w:rsid w:val="00A4569B"/>
    <w:rsid w:val="00A459C1"/>
    <w:rsid w:val="00A75ABC"/>
    <w:rsid w:val="00A77164"/>
    <w:rsid w:val="00A81048"/>
    <w:rsid w:val="00AF3EC0"/>
    <w:rsid w:val="00AF5996"/>
    <w:rsid w:val="00B063DE"/>
    <w:rsid w:val="00B10C21"/>
    <w:rsid w:val="00B232EC"/>
    <w:rsid w:val="00B30F72"/>
    <w:rsid w:val="00B44BE3"/>
    <w:rsid w:val="00B53DE3"/>
    <w:rsid w:val="00B722EA"/>
    <w:rsid w:val="00B92ACE"/>
    <w:rsid w:val="00B93261"/>
    <w:rsid w:val="00BB75C0"/>
    <w:rsid w:val="00BC4409"/>
    <w:rsid w:val="00C32DD3"/>
    <w:rsid w:val="00C33A16"/>
    <w:rsid w:val="00C3548E"/>
    <w:rsid w:val="00C4090C"/>
    <w:rsid w:val="00C84246"/>
    <w:rsid w:val="00CB4F89"/>
    <w:rsid w:val="00CC0483"/>
    <w:rsid w:val="00CC671C"/>
    <w:rsid w:val="00CD1438"/>
    <w:rsid w:val="00CF0621"/>
    <w:rsid w:val="00CF586C"/>
    <w:rsid w:val="00D03B5A"/>
    <w:rsid w:val="00D268E2"/>
    <w:rsid w:val="00D31634"/>
    <w:rsid w:val="00D350F4"/>
    <w:rsid w:val="00D35AC3"/>
    <w:rsid w:val="00D40F9F"/>
    <w:rsid w:val="00D53A65"/>
    <w:rsid w:val="00D659BF"/>
    <w:rsid w:val="00D82F16"/>
    <w:rsid w:val="00DA2FAC"/>
    <w:rsid w:val="00DF1886"/>
    <w:rsid w:val="00E05314"/>
    <w:rsid w:val="00E246A9"/>
    <w:rsid w:val="00E347AE"/>
    <w:rsid w:val="00E60BB9"/>
    <w:rsid w:val="00E74609"/>
    <w:rsid w:val="00E846F2"/>
    <w:rsid w:val="00E92A2F"/>
    <w:rsid w:val="00E94975"/>
    <w:rsid w:val="00E971C9"/>
    <w:rsid w:val="00E97258"/>
    <w:rsid w:val="00EA049B"/>
    <w:rsid w:val="00EB5C23"/>
    <w:rsid w:val="00EC0A1C"/>
    <w:rsid w:val="00EC3467"/>
    <w:rsid w:val="00EC654B"/>
    <w:rsid w:val="00EE3C1D"/>
    <w:rsid w:val="00F11FA4"/>
    <w:rsid w:val="00F13B7F"/>
    <w:rsid w:val="00F3017B"/>
    <w:rsid w:val="00F333EB"/>
    <w:rsid w:val="00F516B5"/>
    <w:rsid w:val="00F54333"/>
    <w:rsid w:val="00F57F5B"/>
    <w:rsid w:val="00F67EF5"/>
    <w:rsid w:val="00F729E5"/>
    <w:rsid w:val="00F73C1E"/>
    <w:rsid w:val="00FD07B6"/>
    <w:rsid w:val="00FD269C"/>
    <w:rsid w:val="00FF1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D8A9"/>
  <w15:docId w15:val="{9FC8FAC3-F811-431E-9C36-D48A8C6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C7"/>
  </w:style>
  <w:style w:type="paragraph" w:styleId="Footer">
    <w:name w:val="footer"/>
    <w:basedOn w:val="Normal"/>
    <w:link w:val="FooterChar"/>
    <w:uiPriority w:val="99"/>
    <w:semiHidden/>
    <w:unhideWhenUsed/>
    <w:rsid w:val="002C7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FC7"/>
  </w:style>
  <w:style w:type="paragraph" w:styleId="ListParagraph">
    <w:name w:val="List Paragraph"/>
    <w:basedOn w:val="Normal"/>
    <w:uiPriority w:val="34"/>
    <w:qFormat/>
    <w:rsid w:val="0082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EADD4-4365-4249-86A4-DB92F086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Nwasiwe-Obuh, Onyeka C.</dc:creator>
  <cp:lastModifiedBy>ROYAL SMILES DENTAL CLINIC</cp:lastModifiedBy>
  <cp:revision>6</cp:revision>
  <dcterms:created xsi:type="dcterms:W3CDTF">2020-10-21T10:33:00Z</dcterms:created>
  <dcterms:modified xsi:type="dcterms:W3CDTF">2021-03-13T04:39:00Z</dcterms:modified>
</cp:coreProperties>
</file>