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3E9B6" w14:textId="77777777" w:rsidR="00293DE5" w:rsidRPr="00E5169F"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t>Running Head: Investment</w:t>
      </w:r>
    </w:p>
    <w:p w14:paraId="2449D990" w14:textId="77777777" w:rsidR="00293DE5" w:rsidRPr="00E5169F" w:rsidRDefault="00293DE5" w:rsidP="00706A12">
      <w:pPr>
        <w:spacing w:after="0" w:line="360" w:lineRule="auto"/>
        <w:contextualSpacing/>
        <w:rPr>
          <w:rFonts w:asciiTheme="majorBidi" w:hAnsiTheme="majorBidi" w:cstheme="majorBidi"/>
          <w:sz w:val="24"/>
          <w:szCs w:val="24"/>
        </w:rPr>
      </w:pPr>
    </w:p>
    <w:p w14:paraId="402C391D" w14:textId="77777777" w:rsidR="00293DE5" w:rsidRPr="00E5169F" w:rsidRDefault="00293DE5" w:rsidP="00706A12">
      <w:pPr>
        <w:spacing w:after="0" w:line="360" w:lineRule="auto"/>
        <w:contextualSpacing/>
        <w:rPr>
          <w:rFonts w:asciiTheme="majorBidi" w:hAnsiTheme="majorBidi" w:cstheme="majorBidi"/>
          <w:sz w:val="24"/>
          <w:szCs w:val="24"/>
        </w:rPr>
      </w:pPr>
    </w:p>
    <w:p w14:paraId="7B97D22B" w14:textId="77777777" w:rsidR="00293DE5" w:rsidRPr="00E5169F" w:rsidRDefault="00293DE5" w:rsidP="00706A12">
      <w:pPr>
        <w:spacing w:after="0" w:line="360" w:lineRule="auto"/>
        <w:contextualSpacing/>
        <w:rPr>
          <w:rFonts w:asciiTheme="majorBidi" w:hAnsiTheme="majorBidi" w:cstheme="majorBidi"/>
          <w:sz w:val="24"/>
          <w:szCs w:val="24"/>
        </w:rPr>
      </w:pPr>
    </w:p>
    <w:p w14:paraId="0A66A426" w14:textId="77777777" w:rsidR="00293DE5" w:rsidRPr="00E5169F" w:rsidRDefault="00293DE5" w:rsidP="00706A12">
      <w:pPr>
        <w:spacing w:after="0" w:line="360" w:lineRule="auto"/>
        <w:contextualSpacing/>
        <w:rPr>
          <w:rFonts w:asciiTheme="majorBidi" w:hAnsiTheme="majorBidi" w:cstheme="majorBidi"/>
          <w:sz w:val="24"/>
          <w:szCs w:val="24"/>
        </w:rPr>
      </w:pPr>
    </w:p>
    <w:p w14:paraId="1EB40845" w14:textId="77777777" w:rsidR="00293DE5" w:rsidRPr="00E5169F" w:rsidRDefault="00293DE5" w:rsidP="00706A12">
      <w:pPr>
        <w:spacing w:after="0" w:line="360" w:lineRule="auto"/>
        <w:contextualSpacing/>
        <w:rPr>
          <w:rFonts w:asciiTheme="majorBidi" w:hAnsiTheme="majorBidi" w:cstheme="majorBidi"/>
          <w:sz w:val="24"/>
          <w:szCs w:val="24"/>
        </w:rPr>
      </w:pPr>
    </w:p>
    <w:p w14:paraId="7BADF6F6" w14:textId="77777777" w:rsidR="00293DE5" w:rsidRPr="00E5169F" w:rsidRDefault="00293DE5" w:rsidP="00706A12">
      <w:pPr>
        <w:spacing w:after="0" w:line="360" w:lineRule="auto"/>
        <w:contextualSpacing/>
        <w:rPr>
          <w:rFonts w:asciiTheme="majorBidi" w:hAnsiTheme="majorBidi" w:cstheme="majorBidi"/>
          <w:sz w:val="24"/>
          <w:szCs w:val="24"/>
        </w:rPr>
      </w:pPr>
    </w:p>
    <w:p w14:paraId="5BE82889" w14:textId="77777777" w:rsidR="00293DE5" w:rsidRPr="00E5169F" w:rsidRDefault="00293DE5" w:rsidP="00706A12">
      <w:pPr>
        <w:spacing w:after="0" w:line="360" w:lineRule="auto"/>
        <w:contextualSpacing/>
        <w:rPr>
          <w:rFonts w:asciiTheme="majorBidi" w:hAnsiTheme="majorBidi" w:cstheme="majorBidi"/>
          <w:sz w:val="24"/>
          <w:szCs w:val="24"/>
        </w:rPr>
      </w:pPr>
    </w:p>
    <w:p w14:paraId="746802A2" w14:textId="77777777" w:rsidR="00293DE5" w:rsidRPr="00E5169F" w:rsidRDefault="00293DE5" w:rsidP="00706A12">
      <w:pPr>
        <w:spacing w:after="0" w:line="360" w:lineRule="auto"/>
        <w:contextualSpacing/>
        <w:rPr>
          <w:rFonts w:asciiTheme="majorBidi" w:hAnsiTheme="majorBidi" w:cstheme="majorBidi"/>
          <w:sz w:val="24"/>
          <w:szCs w:val="24"/>
        </w:rPr>
      </w:pPr>
    </w:p>
    <w:p w14:paraId="5539EC26" w14:textId="77777777" w:rsidR="00293DE5" w:rsidRPr="00E5169F" w:rsidRDefault="00293DE5" w:rsidP="00706A12">
      <w:pPr>
        <w:spacing w:after="0" w:line="360" w:lineRule="auto"/>
        <w:contextualSpacing/>
        <w:rPr>
          <w:rFonts w:asciiTheme="majorBidi" w:hAnsiTheme="majorBidi" w:cstheme="majorBidi"/>
          <w:sz w:val="24"/>
          <w:szCs w:val="24"/>
        </w:rPr>
      </w:pPr>
    </w:p>
    <w:p w14:paraId="2A254BD7" w14:textId="77777777" w:rsidR="00293DE5" w:rsidRPr="00E5169F" w:rsidRDefault="00293DE5" w:rsidP="00706A12">
      <w:pPr>
        <w:spacing w:after="0" w:line="360" w:lineRule="auto"/>
        <w:contextualSpacing/>
        <w:rPr>
          <w:rFonts w:asciiTheme="majorBidi" w:hAnsiTheme="majorBidi" w:cstheme="majorBidi"/>
          <w:sz w:val="24"/>
          <w:szCs w:val="24"/>
        </w:rPr>
      </w:pPr>
    </w:p>
    <w:p w14:paraId="73DB4F5E" w14:textId="77777777" w:rsidR="00293DE5" w:rsidRPr="00E5169F" w:rsidRDefault="00293DE5" w:rsidP="00706A12">
      <w:pPr>
        <w:spacing w:after="0" w:line="360" w:lineRule="auto"/>
        <w:contextualSpacing/>
        <w:rPr>
          <w:rFonts w:asciiTheme="majorBidi" w:hAnsiTheme="majorBidi" w:cstheme="majorBidi"/>
          <w:sz w:val="24"/>
          <w:szCs w:val="24"/>
        </w:rPr>
      </w:pPr>
    </w:p>
    <w:p w14:paraId="3F80C84D" w14:textId="77777777" w:rsidR="00293DE5" w:rsidRPr="00E5169F" w:rsidRDefault="00293DE5" w:rsidP="00706A12">
      <w:pPr>
        <w:spacing w:after="0" w:line="360" w:lineRule="auto"/>
        <w:contextualSpacing/>
        <w:rPr>
          <w:rFonts w:asciiTheme="majorBidi" w:hAnsiTheme="majorBidi" w:cstheme="majorBidi"/>
          <w:sz w:val="24"/>
          <w:szCs w:val="24"/>
        </w:rPr>
      </w:pPr>
    </w:p>
    <w:p w14:paraId="4A911541" w14:textId="77777777" w:rsidR="00293DE5" w:rsidRPr="00E5169F" w:rsidRDefault="00293DE5" w:rsidP="00706A12">
      <w:pPr>
        <w:spacing w:after="0" w:line="360" w:lineRule="auto"/>
        <w:contextualSpacing/>
        <w:rPr>
          <w:rFonts w:asciiTheme="majorBidi" w:hAnsiTheme="majorBidi" w:cstheme="majorBidi"/>
          <w:sz w:val="24"/>
          <w:szCs w:val="24"/>
        </w:rPr>
      </w:pPr>
    </w:p>
    <w:p w14:paraId="3AE92BF1" w14:textId="77777777" w:rsidR="00293DE5" w:rsidRPr="00E5169F" w:rsidRDefault="00293DE5" w:rsidP="00706A12">
      <w:pPr>
        <w:spacing w:after="0" w:line="360" w:lineRule="auto"/>
        <w:contextualSpacing/>
        <w:rPr>
          <w:rFonts w:asciiTheme="majorBidi" w:hAnsiTheme="majorBidi" w:cstheme="majorBidi"/>
          <w:sz w:val="24"/>
          <w:szCs w:val="24"/>
        </w:rPr>
      </w:pPr>
    </w:p>
    <w:p w14:paraId="1E47816A" w14:textId="77777777" w:rsidR="00293DE5" w:rsidRPr="00E5169F" w:rsidRDefault="00293DE5" w:rsidP="00706A12">
      <w:pPr>
        <w:spacing w:after="0" w:line="360" w:lineRule="auto"/>
        <w:contextualSpacing/>
        <w:rPr>
          <w:rFonts w:asciiTheme="majorBidi" w:hAnsiTheme="majorBidi" w:cstheme="majorBidi"/>
          <w:sz w:val="24"/>
          <w:szCs w:val="24"/>
        </w:rPr>
      </w:pPr>
    </w:p>
    <w:p w14:paraId="383C7036" w14:textId="77777777" w:rsidR="00293DE5" w:rsidRPr="00E5169F" w:rsidRDefault="00665654" w:rsidP="00706A12">
      <w:pPr>
        <w:spacing w:after="0" w:line="360" w:lineRule="auto"/>
        <w:contextualSpacing/>
        <w:jc w:val="center"/>
        <w:rPr>
          <w:rFonts w:asciiTheme="majorBidi" w:hAnsiTheme="majorBidi" w:cstheme="majorBidi"/>
          <w:sz w:val="24"/>
          <w:szCs w:val="24"/>
        </w:rPr>
      </w:pPr>
      <w:r w:rsidRPr="00E5169F">
        <w:rPr>
          <w:rFonts w:asciiTheme="majorBidi" w:hAnsiTheme="majorBidi" w:cstheme="majorBidi"/>
          <w:sz w:val="24"/>
          <w:szCs w:val="24"/>
        </w:rPr>
        <w:t>International Trade Finance &amp;Investment</w:t>
      </w:r>
    </w:p>
    <w:p w14:paraId="01A9A402" w14:textId="77777777" w:rsidR="00293DE5" w:rsidRPr="00E5169F" w:rsidRDefault="00665654" w:rsidP="00706A12">
      <w:pPr>
        <w:spacing w:after="0" w:line="360" w:lineRule="auto"/>
        <w:contextualSpacing/>
        <w:jc w:val="center"/>
        <w:rPr>
          <w:rFonts w:asciiTheme="majorBidi" w:hAnsiTheme="majorBidi" w:cstheme="majorBidi"/>
          <w:sz w:val="24"/>
          <w:szCs w:val="24"/>
        </w:rPr>
      </w:pPr>
      <w:r w:rsidRPr="00E5169F">
        <w:rPr>
          <w:rFonts w:asciiTheme="majorBidi" w:hAnsiTheme="majorBidi" w:cstheme="majorBidi"/>
          <w:sz w:val="24"/>
          <w:szCs w:val="24"/>
        </w:rPr>
        <w:t>[Name of institute]</w:t>
      </w:r>
    </w:p>
    <w:p w14:paraId="640592C7" w14:textId="77777777" w:rsidR="00293DE5" w:rsidRPr="00E5169F" w:rsidRDefault="00665654" w:rsidP="00706A12">
      <w:pPr>
        <w:spacing w:after="0" w:line="360" w:lineRule="auto"/>
        <w:contextualSpacing/>
        <w:jc w:val="center"/>
        <w:rPr>
          <w:rFonts w:asciiTheme="majorBidi" w:hAnsiTheme="majorBidi" w:cstheme="majorBidi"/>
          <w:sz w:val="24"/>
          <w:szCs w:val="24"/>
        </w:rPr>
      </w:pPr>
      <w:r w:rsidRPr="00E5169F">
        <w:rPr>
          <w:rFonts w:asciiTheme="majorBidi" w:hAnsiTheme="majorBidi" w:cstheme="majorBidi"/>
          <w:sz w:val="24"/>
          <w:szCs w:val="24"/>
        </w:rPr>
        <w:t>[Name of Student]</w:t>
      </w:r>
    </w:p>
    <w:p w14:paraId="44DCC305" w14:textId="77777777" w:rsidR="00377BB1" w:rsidRDefault="00665654" w:rsidP="00706A12">
      <w:pPr>
        <w:spacing w:after="0" w:line="360" w:lineRule="auto"/>
        <w:contextualSpacing/>
        <w:jc w:val="center"/>
        <w:rPr>
          <w:rFonts w:asciiTheme="majorBidi" w:hAnsiTheme="majorBidi" w:cstheme="majorBidi"/>
          <w:sz w:val="24"/>
          <w:szCs w:val="24"/>
        </w:rPr>
      </w:pPr>
      <w:r w:rsidRPr="00E5169F">
        <w:rPr>
          <w:rFonts w:asciiTheme="majorBidi" w:hAnsiTheme="majorBidi" w:cstheme="majorBidi"/>
          <w:sz w:val="24"/>
          <w:szCs w:val="24"/>
        </w:rPr>
        <w:t>[Class]</w:t>
      </w:r>
    </w:p>
    <w:p w14:paraId="2BBB03A8" w14:textId="77777777" w:rsidR="00AE361F" w:rsidRPr="00E5169F" w:rsidRDefault="00665654" w:rsidP="00377BB1">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br w:type="page"/>
      </w:r>
    </w:p>
    <w:sdt>
      <w:sdtPr>
        <w:rPr>
          <w:rFonts w:asciiTheme="minorHAnsi" w:eastAsiaTheme="minorHAnsi" w:hAnsiTheme="minorHAnsi" w:cstheme="minorBidi"/>
          <w:color w:val="auto"/>
          <w:sz w:val="22"/>
          <w:szCs w:val="22"/>
          <w:lang w:val="en-GB"/>
        </w:rPr>
        <w:id w:val="1472636646"/>
        <w:docPartObj>
          <w:docPartGallery w:val="Table of Contents"/>
          <w:docPartUnique/>
        </w:docPartObj>
      </w:sdtPr>
      <w:sdtEndPr>
        <w:rPr>
          <w:rFonts w:asciiTheme="majorBidi" w:hAnsiTheme="majorBidi"/>
          <w:b/>
          <w:bCs/>
          <w:noProof/>
          <w:sz w:val="24"/>
          <w:szCs w:val="24"/>
        </w:rPr>
      </w:sdtEndPr>
      <w:sdtContent>
        <w:p w14:paraId="4088073E" w14:textId="77777777" w:rsidR="00293DE5" w:rsidRPr="002A561E" w:rsidRDefault="00665654" w:rsidP="00706A12">
          <w:pPr>
            <w:pStyle w:val="TOCHeading"/>
            <w:spacing w:before="0" w:line="360" w:lineRule="auto"/>
            <w:contextualSpacing/>
            <w:jc w:val="center"/>
            <w:rPr>
              <w:rFonts w:asciiTheme="majorBidi" w:hAnsiTheme="majorBidi"/>
              <w:color w:val="000000" w:themeColor="text1"/>
              <w:sz w:val="24"/>
              <w:szCs w:val="24"/>
            </w:rPr>
          </w:pPr>
          <w:r w:rsidRPr="002A561E">
            <w:rPr>
              <w:rFonts w:asciiTheme="majorBidi" w:hAnsiTheme="majorBidi"/>
              <w:color w:val="000000" w:themeColor="text1"/>
              <w:sz w:val="24"/>
              <w:szCs w:val="24"/>
            </w:rPr>
            <w:t>Table of Contents</w:t>
          </w:r>
        </w:p>
        <w:p w14:paraId="3D8AACBE" w14:textId="77777777" w:rsidR="002A561E" w:rsidRDefault="00585314" w:rsidP="00706A12">
          <w:pPr>
            <w:pStyle w:val="TOC1"/>
            <w:rPr>
              <w:rFonts w:eastAsiaTheme="minorEastAsia"/>
              <w:noProof/>
              <w:lang w:val="en-US"/>
            </w:rPr>
          </w:pPr>
          <w:r w:rsidRPr="00E5169F">
            <w:rPr>
              <w:rFonts w:asciiTheme="majorBidi" w:hAnsiTheme="majorBidi" w:cstheme="majorBidi"/>
              <w:sz w:val="24"/>
              <w:szCs w:val="24"/>
            </w:rPr>
            <w:fldChar w:fldCharType="begin"/>
          </w:r>
          <w:r w:rsidR="00665654" w:rsidRPr="00E5169F">
            <w:rPr>
              <w:rFonts w:asciiTheme="majorBidi" w:hAnsiTheme="majorBidi" w:cstheme="majorBidi"/>
              <w:sz w:val="24"/>
              <w:szCs w:val="24"/>
            </w:rPr>
            <w:instrText xml:space="preserve"> TOC \o "1-3" \h \z \u </w:instrText>
          </w:r>
          <w:r w:rsidRPr="00E5169F">
            <w:rPr>
              <w:rFonts w:asciiTheme="majorBidi" w:hAnsiTheme="majorBidi" w:cstheme="majorBidi"/>
              <w:sz w:val="24"/>
              <w:szCs w:val="24"/>
            </w:rPr>
            <w:fldChar w:fldCharType="separate"/>
          </w:r>
          <w:hyperlink w:anchor="_Toc55146453" w:history="1">
            <w:r w:rsidR="00665654" w:rsidRPr="00BA7C20">
              <w:rPr>
                <w:rStyle w:val="Hyperlink"/>
                <w:noProof/>
              </w:rPr>
              <w:t>Executive Summary</w:t>
            </w:r>
            <w:r w:rsidR="00665654">
              <w:rPr>
                <w:noProof/>
                <w:webHidden/>
              </w:rPr>
              <w:tab/>
            </w:r>
            <w:r>
              <w:rPr>
                <w:noProof/>
                <w:webHidden/>
              </w:rPr>
              <w:fldChar w:fldCharType="begin"/>
            </w:r>
            <w:r w:rsidR="00665654">
              <w:rPr>
                <w:noProof/>
                <w:webHidden/>
              </w:rPr>
              <w:instrText xml:space="preserve"> PAGEREF _Toc55146453 \h </w:instrText>
            </w:r>
            <w:r>
              <w:rPr>
                <w:noProof/>
                <w:webHidden/>
              </w:rPr>
            </w:r>
            <w:r>
              <w:rPr>
                <w:noProof/>
                <w:webHidden/>
              </w:rPr>
              <w:fldChar w:fldCharType="separate"/>
            </w:r>
            <w:r w:rsidR="00665654">
              <w:rPr>
                <w:noProof/>
                <w:webHidden/>
              </w:rPr>
              <w:t>3</w:t>
            </w:r>
            <w:r>
              <w:rPr>
                <w:noProof/>
                <w:webHidden/>
              </w:rPr>
              <w:fldChar w:fldCharType="end"/>
            </w:r>
          </w:hyperlink>
        </w:p>
        <w:p w14:paraId="0C11B8FD" w14:textId="77777777" w:rsidR="002A561E" w:rsidRDefault="009365A3" w:rsidP="00706A12">
          <w:pPr>
            <w:pStyle w:val="TOC1"/>
            <w:rPr>
              <w:rFonts w:eastAsiaTheme="minorEastAsia"/>
              <w:noProof/>
              <w:lang w:val="en-US"/>
            </w:rPr>
          </w:pPr>
          <w:hyperlink w:anchor="_Toc55146454" w:history="1">
            <w:r w:rsidR="00665654" w:rsidRPr="00BA7C20">
              <w:rPr>
                <w:rStyle w:val="Hyperlink"/>
                <w:noProof/>
              </w:rPr>
              <w:t>Financial Markets and Trade Organisations</w:t>
            </w:r>
            <w:r w:rsidR="00665654">
              <w:rPr>
                <w:noProof/>
                <w:webHidden/>
              </w:rPr>
              <w:tab/>
            </w:r>
            <w:r w:rsidR="00585314">
              <w:rPr>
                <w:noProof/>
                <w:webHidden/>
              </w:rPr>
              <w:fldChar w:fldCharType="begin"/>
            </w:r>
            <w:r w:rsidR="00665654">
              <w:rPr>
                <w:noProof/>
                <w:webHidden/>
              </w:rPr>
              <w:instrText xml:space="preserve"> PAGEREF _Toc55146454 \h </w:instrText>
            </w:r>
            <w:r w:rsidR="00585314">
              <w:rPr>
                <w:noProof/>
                <w:webHidden/>
              </w:rPr>
            </w:r>
            <w:r w:rsidR="00585314">
              <w:rPr>
                <w:noProof/>
                <w:webHidden/>
              </w:rPr>
              <w:fldChar w:fldCharType="separate"/>
            </w:r>
            <w:r w:rsidR="00665654">
              <w:rPr>
                <w:noProof/>
                <w:webHidden/>
              </w:rPr>
              <w:t>4</w:t>
            </w:r>
            <w:r w:rsidR="00585314">
              <w:rPr>
                <w:noProof/>
                <w:webHidden/>
              </w:rPr>
              <w:fldChar w:fldCharType="end"/>
            </w:r>
          </w:hyperlink>
        </w:p>
        <w:p w14:paraId="1EF26BB9"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55" w:history="1">
            <w:r w:rsidR="00665654" w:rsidRPr="00BA7C20">
              <w:rPr>
                <w:rStyle w:val="Hyperlink"/>
                <w:noProof/>
              </w:rPr>
              <w:t>Principles of the Trading System</w:t>
            </w:r>
            <w:r w:rsidR="00665654">
              <w:rPr>
                <w:noProof/>
                <w:webHidden/>
              </w:rPr>
              <w:tab/>
            </w:r>
            <w:r w:rsidR="00585314">
              <w:rPr>
                <w:noProof/>
                <w:webHidden/>
              </w:rPr>
              <w:fldChar w:fldCharType="begin"/>
            </w:r>
            <w:r w:rsidR="00665654">
              <w:rPr>
                <w:noProof/>
                <w:webHidden/>
              </w:rPr>
              <w:instrText xml:space="preserve"> PAGEREF _Toc55146455 \h </w:instrText>
            </w:r>
            <w:r w:rsidR="00585314">
              <w:rPr>
                <w:noProof/>
                <w:webHidden/>
              </w:rPr>
            </w:r>
            <w:r w:rsidR="00585314">
              <w:rPr>
                <w:noProof/>
                <w:webHidden/>
              </w:rPr>
              <w:fldChar w:fldCharType="separate"/>
            </w:r>
            <w:r w:rsidR="00665654">
              <w:rPr>
                <w:noProof/>
                <w:webHidden/>
              </w:rPr>
              <w:t>4</w:t>
            </w:r>
            <w:r w:rsidR="00585314">
              <w:rPr>
                <w:noProof/>
                <w:webHidden/>
              </w:rPr>
              <w:fldChar w:fldCharType="end"/>
            </w:r>
          </w:hyperlink>
        </w:p>
        <w:p w14:paraId="551B5952" w14:textId="77777777" w:rsidR="002A561E" w:rsidRDefault="009365A3" w:rsidP="00706A12">
          <w:pPr>
            <w:pStyle w:val="TOC1"/>
            <w:rPr>
              <w:rFonts w:eastAsiaTheme="minorEastAsia"/>
              <w:noProof/>
              <w:lang w:val="en-US"/>
            </w:rPr>
          </w:pPr>
          <w:hyperlink w:anchor="_Toc55146456" w:history="1">
            <w:r w:rsidR="00665654" w:rsidRPr="00BA7C20">
              <w:rPr>
                <w:rStyle w:val="Hyperlink"/>
                <w:noProof/>
              </w:rPr>
              <w:t>Capital Allocation Within Domestic and International Markets</w:t>
            </w:r>
            <w:r w:rsidR="00665654">
              <w:rPr>
                <w:noProof/>
                <w:webHidden/>
              </w:rPr>
              <w:tab/>
            </w:r>
            <w:r w:rsidR="00585314">
              <w:rPr>
                <w:noProof/>
                <w:webHidden/>
              </w:rPr>
              <w:fldChar w:fldCharType="begin"/>
            </w:r>
            <w:r w:rsidR="00665654">
              <w:rPr>
                <w:noProof/>
                <w:webHidden/>
              </w:rPr>
              <w:instrText xml:space="preserve"> PAGEREF _Toc55146456 \h </w:instrText>
            </w:r>
            <w:r w:rsidR="00585314">
              <w:rPr>
                <w:noProof/>
                <w:webHidden/>
              </w:rPr>
            </w:r>
            <w:r w:rsidR="00585314">
              <w:rPr>
                <w:noProof/>
                <w:webHidden/>
              </w:rPr>
              <w:fldChar w:fldCharType="separate"/>
            </w:r>
            <w:r w:rsidR="00665654">
              <w:rPr>
                <w:noProof/>
                <w:webHidden/>
              </w:rPr>
              <w:t>5</w:t>
            </w:r>
            <w:r w:rsidR="00585314">
              <w:rPr>
                <w:noProof/>
                <w:webHidden/>
              </w:rPr>
              <w:fldChar w:fldCharType="end"/>
            </w:r>
          </w:hyperlink>
        </w:p>
        <w:p w14:paraId="153E72B6"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57" w:history="1">
            <w:r w:rsidR="00665654" w:rsidRPr="00BA7C20">
              <w:rPr>
                <w:rStyle w:val="Hyperlink"/>
                <w:noProof/>
              </w:rPr>
              <w:t>Investment Treaties between States</w:t>
            </w:r>
            <w:r w:rsidR="00665654">
              <w:rPr>
                <w:noProof/>
                <w:webHidden/>
              </w:rPr>
              <w:tab/>
            </w:r>
            <w:r w:rsidR="00585314">
              <w:rPr>
                <w:noProof/>
                <w:webHidden/>
              </w:rPr>
              <w:fldChar w:fldCharType="begin"/>
            </w:r>
            <w:r w:rsidR="00665654">
              <w:rPr>
                <w:noProof/>
                <w:webHidden/>
              </w:rPr>
              <w:instrText xml:space="preserve"> PAGEREF _Toc55146457 \h </w:instrText>
            </w:r>
            <w:r w:rsidR="00585314">
              <w:rPr>
                <w:noProof/>
                <w:webHidden/>
              </w:rPr>
            </w:r>
            <w:r w:rsidR="00585314">
              <w:rPr>
                <w:noProof/>
                <w:webHidden/>
              </w:rPr>
              <w:fldChar w:fldCharType="separate"/>
            </w:r>
            <w:r w:rsidR="00665654">
              <w:rPr>
                <w:noProof/>
                <w:webHidden/>
              </w:rPr>
              <w:t>6</w:t>
            </w:r>
            <w:r w:rsidR="00585314">
              <w:rPr>
                <w:noProof/>
                <w:webHidden/>
              </w:rPr>
              <w:fldChar w:fldCharType="end"/>
            </w:r>
          </w:hyperlink>
        </w:p>
        <w:p w14:paraId="17C37461"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58" w:history="1">
            <w:r w:rsidR="00665654" w:rsidRPr="00BA7C20">
              <w:rPr>
                <w:rStyle w:val="Hyperlink"/>
                <w:noProof/>
              </w:rPr>
              <w:t>Contingent Protections</w:t>
            </w:r>
            <w:r w:rsidR="00665654">
              <w:rPr>
                <w:noProof/>
                <w:webHidden/>
              </w:rPr>
              <w:tab/>
            </w:r>
            <w:r w:rsidR="00585314">
              <w:rPr>
                <w:noProof/>
                <w:webHidden/>
              </w:rPr>
              <w:fldChar w:fldCharType="begin"/>
            </w:r>
            <w:r w:rsidR="00665654">
              <w:rPr>
                <w:noProof/>
                <w:webHidden/>
              </w:rPr>
              <w:instrText xml:space="preserve"> PAGEREF _Toc55146458 \h </w:instrText>
            </w:r>
            <w:r w:rsidR="00585314">
              <w:rPr>
                <w:noProof/>
                <w:webHidden/>
              </w:rPr>
            </w:r>
            <w:r w:rsidR="00585314">
              <w:rPr>
                <w:noProof/>
                <w:webHidden/>
              </w:rPr>
              <w:fldChar w:fldCharType="separate"/>
            </w:r>
            <w:r w:rsidR="00665654">
              <w:rPr>
                <w:noProof/>
                <w:webHidden/>
              </w:rPr>
              <w:t>7</w:t>
            </w:r>
            <w:r w:rsidR="00585314">
              <w:rPr>
                <w:noProof/>
                <w:webHidden/>
              </w:rPr>
              <w:fldChar w:fldCharType="end"/>
            </w:r>
          </w:hyperlink>
        </w:p>
        <w:p w14:paraId="405472EC"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59" w:history="1">
            <w:r w:rsidR="00665654" w:rsidRPr="00BA7C20">
              <w:rPr>
                <w:rStyle w:val="Hyperlink"/>
                <w:noProof/>
              </w:rPr>
              <w:t>Protection against Expropriation</w:t>
            </w:r>
            <w:r w:rsidR="00665654">
              <w:rPr>
                <w:noProof/>
                <w:webHidden/>
              </w:rPr>
              <w:tab/>
            </w:r>
            <w:r w:rsidR="00585314">
              <w:rPr>
                <w:noProof/>
                <w:webHidden/>
              </w:rPr>
              <w:fldChar w:fldCharType="begin"/>
            </w:r>
            <w:r w:rsidR="00665654">
              <w:rPr>
                <w:noProof/>
                <w:webHidden/>
              </w:rPr>
              <w:instrText xml:space="preserve"> PAGEREF _Toc55146459 \h </w:instrText>
            </w:r>
            <w:r w:rsidR="00585314">
              <w:rPr>
                <w:noProof/>
                <w:webHidden/>
              </w:rPr>
            </w:r>
            <w:r w:rsidR="00585314">
              <w:rPr>
                <w:noProof/>
                <w:webHidden/>
              </w:rPr>
              <w:fldChar w:fldCharType="separate"/>
            </w:r>
            <w:r w:rsidR="00665654">
              <w:rPr>
                <w:noProof/>
                <w:webHidden/>
              </w:rPr>
              <w:t>7</w:t>
            </w:r>
            <w:r w:rsidR="00585314">
              <w:rPr>
                <w:noProof/>
                <w:webHidden/>
              </w:rPr>
              <w:fldChar w:fldCharType="end"/>
            </w:r>
          </w:hyperlink>
        </w:p>
        <w:p w14:paraId="02C99EBB"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60" w:history="1">
            <w:r w:rsidR="00665654" w:rsidRPr="00BA7C20">
              <w:rPr>
                <w:rStyle w:val="Hyperlink"/>
                <w:noProof/>
              </w:rPr>
              <w:t>Investor-State Arbitration</w:t>
            </w:r>
            <w:r w:rsidR="00665654">
              <w:rPr>
                <w:noProof/>
                <w:webHidden/>
              </w:rPr>
              <w:tab/>
            </w:r>
            <w:r w:rsidR="00585314">
              <w:rPr>
                <w:noProof/>
                <w:webHidden/>
              </w:rPr>
              <w:fldChar w:fldCharType="begin"/>
            </w:r>
            <w:r w:rsidR="00665654">
              <w:rPr>
                <w:noProof/>
                <w:webHidden/>
              </w:rPr>
              <w:instrText xml:space="preserve"> PAGEREF _Toc55146460 \h </w:instrText>
            </w:r>
            <w:r w:rsidR="00585314">
              <w:rPr>
                <w:noProof/>
                <w:webHidden/>
              </w:rPr>
            </w:r>
            <w:r w:rsidR="00585314">
              <w:rPr>
                <w:noProof/>
                <w:webHidden/>
              </w:rPr>
              <w:fldChar w:fldCharType="separate"/>
            </w:r>
            <w:r w:rsidR="00665654">
              <w:rPr>
                <w:noProof/>
                <w:webHidden/>
              </w:rPr>
              <w:t>7</w:t>
            </w:r>
            <w:r w:rsidR="00585314">
              <w:rPr>
                <w:noProof/>
                <w:webHidden/>
              </w:rPr>
              <w:fldChar w:fldCharType="end"/>
            </w:r>
          </w:hyperlink>
        </w:p>
        <w:p w14:paraId="0BDB1AFE" w14:textId="77777777" w:rsidR="002A561E" w:rsidRDefault="009365A3" w:rsidP="00706A12">
          <w:pPr>
            <w:pStyle w:val="TOC1"/>
            <w:rPr>
              <w:rFonts w:eastAsiaTheme="minorEastAsia"/>
              <w:noProof/>
              <w:lang w:val="en-US"/>
            </w:rPr>
          </w:pPr>
          <w:hyperlink w:anchor="_Toc55146461" w:history="1">
            <w:r w:rsidR="00665654" w:rsidRPr="00BA7C20">
              <w:rPr>
                <w:rStyle w:val="Hyperlink"/>
                <w:noProof/>
              </w:rPr>
              <w:t>Economic Evaluation</w:t>
            </w:r>
            <w:r w:rsidR="00665654">
              <w:rPr>
                <w:noProof/>
                <w:webHidden/>
              </w:rPr>
              <w:tab/>
            </w:r>
            <w:r w:rsidR="00585314">
              <w:rPr>
                <w:noProof/>
                <w:webHidden/>
              </w:rPr>
              <w:fldChar w:fldCharType="begin"/>
            </w:r>
            <w:r w:rsidR="00665654">
              <w:rPr>
                <w:noProof/>
                <w:webHidden/>
              </w:rPr>
              <w:instrText xml:space="preserve"> PAGEREF _Toc55146461 \h </w:instrText>
            </w:r>
            <w:r w:rsidR="00585314">
              <w:rPr>
                <w:noProof/>
                <w:webHidden/>
              </w:rPr>
            </w:r>
            <w:r w:rsidR="00585314">
              <w:rPr>
                <w:noProof/>
                <w:webHidden/>
              </w:rPr>
              <w:fldChar w:fldCharType="separate"/>
            </w:r>
            <w:r w:rsidR="00665654">
              <w:rPr>
                <w:noProof/>
                <w:webHidden/>
              </w:rPr>
              <w:t>8</w:t>
            </w:r>
            <w:r w:rsidR="00585314">
              <w:rPr>
                <w:noProof/>
                <w:webHidden/>
              </w:rPr>
              <w:fldChar w:fldCharType="end"/>
            </w:r>
          </w:hyperlink>
        </w:p>
        <w:p w14:paraId="6FA73872"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62" w:history="1">
            <w:r w:rsidR="00665654" w:rsidRPr="00BA7C20">
              <w:rPr>
                <w:rStyle w:val="Hyperlink"/>
                <w:noProof/>
              </w:rPr>
              <w:t>Economic Evaluation of Charities</w:t>
            </w:r>
            <w:r w:rsidR="00665654">
              <w:rPr>
                <w:noProof/>
                <w:webHidden/>
              </w:rPr>
              <w:tab/>
            </w:r>
            <w:r w:rsidR="00585314">
              <w:rPr>
                <w:noProof/>
                <w:webHidden/>
              </w:rPr>
              <w:fldChar w:fldCharType="begin"/>
            </w:r>
            <w:r w:rsidR="00665654">
              <w:rPr>
                <w:noProof/>
                <w:webHidden/>
              </w:rPr>
              <w:instrText xml:space="preserve"> PAGEREF _Toc55146462 \h </w:instrText>
            </w:r>
            <w:r w:rsidR="00585314">
              <w:rPr>
                <w:noProof/>
                <w:webHidden/>
              </w:rPr>
            </w:r>
            <w:r w:rsidR="00585314">
              <w:rPr>
                <w:noProof/>
                <w:webHidden/>
              </w:rPr>
              <w:fldChar w:fldCharType="separate"/>
            </w:r>
            <w:r w:rsidR="00665654">
              <w:rPr>
                <w:noProof/>
                <w:webHidden/>
              </w:rPr>
              <w:t>8</w:t>
            </w:r>
            <w:r w:rsidR="00585314">
              <w:rPr>
                <w:noProof/>
                <w:webHidden/>
              </w:rPr>
              <w:fldChar w:fldCharType="end"/>
            </w:r>
          </w:hyperlink>
        </w:p>
        <w:p w14:paraId="7D2D6AC2"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63" w:history="1">
            <w:r w:rsidR="00665654" w:rsidRPr="00BA7C20">
              <w:rPr>
                <w:rStyle w:val="Hyperlink"/>
                <w:noProof/>
              </w:rPr>
              <w:t>Finance theories and Concepts</w:t>
            </w:r>
            <w:r w:rsidR="00665654">
              <w:rPr>
                <w:noProof/>
                <w:webHidden/>
              </w:rPr>
              <w:tab/>
            </w:r>
            <w:r w:rsidR="00585314">
              <w:rPr>
                <w:noProof/>
                <w:webHidden/>
              </w:rPr>
              <w:fldChar w:fldCharType="begin"/>
            </w:r>
            <w:r w:rsidR="00665654">
              <w:rPr>
                <w:noProof/>
                <w:webHidden/>
              </w:rPr>
              <w:instrText xml:space="preserve"> PAGEREF _Toc55146463 \h </w:instrText>
            </w:r>
            <w:r w:rsidR="00585314">
              <w:rPr>
                <w:noProof/>
                <w:webHidden/>
              </w:rPr>
            </w:r>
            <w:r w:rsidR="00585314">
              <w:rPr>
                <w:noProof/>
                <w:webHidden/>
              </w:rPr>
              <w:fldChar w:fldCharType="separate"/>
            </w:r>
            <w:r w:rsidR="00665654">
              <w:rPr>
                <w:noProof/>
                <w:webHidden/>
              </w:rPr>
              <w:t>9</w:t>
            </w:r>
            <w:r w:rsidR="00585314">
              <w:rPr>
                <w:noProof/>
                <w:webHidden/>
              </w:rPr>
              <w:fldChar w:fldCharType="end"/>
            </w:r>
          </w:hyperlink>
        </w:p>
        <w:p w14:paraId="5265810C"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64" w:history="1">
            <w:r w:rsidR="00665654" w:rsidRPr="00BA7C20">
              <w:rPr>
                <w:rStyle w:val="Hyperlink"/>
                <w:noProof/>
              </w:rPr>
              <w:t>Efficient Market Hypothesis</w:t>
            </w:r>
            <w:r w:rsidR="00665654">
              <w:rPr>
                <w:noProof/>
                <w:webHidden/>
              </w:rPr>
              <w:tab/>
            </w:r>
            <w:r w:rsidR="00585314">
              <w:rPr>
                <w:noProof/>
                <w:webHidden/>
              </w:rPr>
              <w:fldChar w:fldCharType="begin"/>
            </w:r>
            <w:r w:rsidR="00665654">
              <w:rPr>
                <w:noProof/>
                <w:webHidden/>
              </w:rPr>
              <w:instrText xml:space="preserve"> PAGEREF _Toc55146464 \h </w:instrText>
            </w:r>
            <w:r w:rsidR="00585314">
              <w:rPr>
                <w:noProof/>
                <w:webHidden/>
              </w:rPr>
            </w:r>
            <w:r w:rsidR="00585314">
              <w:rPr>
                <w:noProof/>
                <w:webHidden/>
              </w:rPr>
              <w:fldChar w:fldCharType="separate"/>
            </w:r>
            <w:r w:rsidR="00665654">
              <w:rPr>
                <w:noProof/>
                <w:webHidden/>
              </w:rPr>
              <w:t>9</w:t>
            </w:r>
            <w:r w:rsidR="00585314">
              <w:rPr>
                <w:noProof/>
                <w:webHidden/>
              </w:rPr>
              <w:fldChar w:fldCharType="end"/>
            </w:r>
          </w:hyperlink>
        </w:p>
        <w:p w14:paraId="1B148AD8"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65" w:history="1">
            <w:r w:rsidR="00665654" w:rsidRPr="00BA7C20">
              <w:rPr>
                <w:rStyle w:val="Hyperlink"/>
                <w:noProof/>
              </w:rPr>
              <w:t>Fifty Percent Principle</w:t>
            </w:r>
            <w:r w:rsidR="00665654">
              <w:rPr>
                <w:noProof/>
                <w:webHidden/>
              </w:rPr>
              <w:tab/>
            </w:r>
            <w:r w:rsidR="00585314">
              <w:rPr>
                <w:noProof/>
                <w:webHidden/>
              </w:rPr>
              <w:fldChar w:fldCharType="begin"/>
            </w:r>
            <w:r w:rsidR="00665654">
              <w:rPr>
                <w:noProof/>
                <w:webHidden/>
              </w:rPr>
              <w:instrText xml:space="preserve"> PAGEREF _Toc55146465 \h </w:instrText>
            </w:r>
            <w:r w:rsidR="00585314">
              <w:rPr>
                <w:noProof/>
                <w:webHidden/>
              </w:rPr>
            </w:r>
            <w:r w:rsidR="00585314">
              <w:rPr>
                <w:noProof/>
                <w:webHidden/>
              </w:rPr>
              <w:fldChar w:fldCharType="separate"/>
            </w:r>
            <w:r w:rsidR="00665654">
              <w:rPr>
                <w:noProof/>
                <w:webHidden/>
              </w:rPr>
              <w:t>9</w:t>
            </w:r>
            <w:r w:rsidR="00585314">
              <w:rPr>
                <w:noProof/>
                <w:webHidden/>
              </w:rPr>
              <w:fldChar w:fldCharType="end"/>
            </w:r>
          </w:hyperlink>
        </w:p>
        <w:p w14:paraId="7E1F4001" w14:textId="77777777" w:rsidR="002A561E" w:rsidRDefault="009365A3" w:rsidP="00706A12">
          <w:pPr>
            <w:pStyle w:val="TOC2"/>
            <w:tabs>
              <w:tab w:val="right" w:leader="dot" w:pos="9350"/>
            </w:tabs>
            <w:spacing w:after="0" w:line="360" w:lineRule="auto"/>
            <w:contextualSpacing/>
            <w:rPr>
              <w:rFonts w:eastAsiaTheme="minorEastAsia"/>
              <w:noProof/>
              <w:lang w:val="en-US"/>
            </w:rPr>
          </w:pPr>
          <w:hyperlink w:anchor="_Toc55146466" w:history="1">
            <w:r w:rsidR="00665654" w:rsidRPr="00BA7C20">
              <w:rPr>
                <w:rStyle w:val="Hyperlink"/>
                <w:noProof/>
              </w:rPr>
              <w:t>Risk Return Relationship</w:t>
            </w:r>
            <w:r w:rsidR="00665654">
              <w:rPr>
                <w:noProof/>
                <w:webHidden/>
              </w:rPr>
              <w:tab/>
            </w:r>
            <w:r w:rsidR="00585314">
              <w:rPr>
                <w:noProof/>
                <w:webHidden/>
              </w:rPr>
              <w:fldChar w:fldCharType="begin"/>
            </w:r>
            <w:r w:rsidR="00665654">
              <w:rPr>
                <w:noProof/>
                <w:webHidden/>
              </w:rPr>
              <w:instrText xml:space="preserve"> PAGEREF _Toc55146466 \h </w:instrText>
            </w:r>
            <w:r w:rsidR="00585314">
              <w:rPr>
                <w:noProof/>
                <w:webHidden/>
              </w:rPr>
            </w:r>
            <w:r w:rsidR="00585314">
              <w:rPr>
                <w:noProof/>
                <w:webHidden/>
              </w:rPr>
              <w:fldChar w:fldCharType="separate"/>
            </w:r>
            <w:r w:rsidR="00665654">
              <w:rPr>
                <w:noProof/>
                <w:webHidden/>
              </w:rPr>
              <w:t>10</w:t>
            </w:r>
            <w:r w:rsidR="00585314">
              <w:rPr>
                <w:noProof/>
                <w:webHidden/>
              </w:rPr>
              <w:fldChar w:fldCharType="end"/>
            </w:r>
          </w:hyperlink>
        </w:p>
        <w:p w14:paraId="0FE767C5" w14:textId="77777777" w:rsidR="002A561E" w:rsidRDefault="009365A3" w:rsidP="00706A12">
          <w:pPr>
            <w:pStyle w:val="TOC1"/>
            <w:rPr>
              <w:rFonts w:eastAsiaTheme="minorEastAsia"/>
              <w:noProof/>
              <w:lang w:val="en-US"/>
            </w:rPr>
          </w:pPr>
          <w:hyperlink w:anchor="_Toc55146467" w:history="1">
            <w:r w:rsidR="00665654" w:rsidRPr="00BA7C20">
              <w:rPr>
                <w:rStyle w:val="Hyperlink"/>
                <w:noProof/>
              </w:rPr>
              <w:t>Conclusion</w:t>
            </w:r>
            <w:r w:rsidR="00665654">
              <w:rPr>
                <w:noProof/>
                <w:webHidden/>
              </w:rPr>
              <w:tab/>
            </w:r>
            <w:r w:rsidR="00585314">
              <w:rPr>
                <w:noProof/>
                <w:webHidden/>
              </w:rPr>
              <w:fldChar w:fldCharType="begin"/>
            </w:r>
            <w:r w:rsidR="00665654">
              <w:rPr>
                <w:noProof/>
                <w:webHidden/>
              </w:rPr>
              <w:instrText xml:space="preserve"> PAGEREF _Toc55146467 \h </w:instrText>
            </w:r>
            <w:r w:rsidR="00585314">
              <w:rPr>
                <w:noProof/>
                <w:webHidden/>
              </w:rPr>
            </w:r>
            <w:r w:rsidR="00585314">
              <w:rPr>
                <w:noProof/>
                <w:webHidden/>
              </w:rPr>
              <w:fldChar w:fldCharType="separate"/>
            </w:r>
            <w:r w:rsidR="00665654">
              <w:rPr>
                <w:noProof/>
                <w:webHidden/>
              </w:rPr>
              <w:t>10</w:t>
            </w:r>
            <w:r w:rsidR="00585314">
              <w:rPr>
                <w:noProof/>
                <w:webHidden/>
              </w:rPr>
              <w:fldChar w:fldCharType="end"/>
            </w:r>
          </w:hyperlink>
        </w:p>
        <w:p w14:paraId="3B84985B" w14:textId="77777777" w:rsidR="002A561E" w:rsidRDefault="009365A3" w:rsidP="00706A12">
          <w:pPr>
            <w:pStyle w:val="TOC1"/>
            <w:rPr>
              <w:rFonts w:eastAsiaTheme="minorEastAsia"/>
              <w:noProof/>
              <w:lang w:val="en-US"/>
            </w:rPr>
          </w:pPr>
          <w:hyperlink w:anchor="_Toc55146468" w:history="1">
            <w:r w:rsidR="00665654" w:rsidRPr="00BA7C20">
              <w:rPr>
                <w:rStyle w:val="Hyperlink"/>
                <w:noProof/>
              </w:rPr>
              <w:t>Recommendations</w:t>
            </w:r>
            <w:r w:rsidR="00665654">
              <w:rPr>
                <w:noProof/>
                <w:webHidden/>
              </w:rPr>
              <w:tab/>
            </w:r>
            <w:r w:rsidR="00585314">
              <w:rPr>
                <w:noProof/>
                <w:webHidden/>
              </w:rPr>
              <w:fldChar w:fldCharType="begin"/>
            </w:r>
            <w:r w:rsidR="00665654">
              <w:rPr>
                <w:noProof/>
                <w:webHidden/>
              </w:rPr>
              <w:instrText xml:space="preserve"> PAGEREF _Toc55146468 \h </w:instrText>
            </w:r>
            <w:r w:rsidR="00585314">
              <w:rPr>
                <w:noProof/>
                <w:webHidden/>
              </w:rPr>
            </w:r>
            <w:r w:rsidR="00585314">
              <w:rPr>
                <w:noProof/>
                <w:webHidden/>
              </w:rPr>
              <w:fldChar w:fldCharType="separate"/>
            </w:r>
            <w:r w:rsidR="00665654">
              <w:rPr>
                <w:noProof/>
                <w:webHidden/>
              </w:rPr>
              <w:t>11</w:t>
            </w:r>
            <w:r w:rsidR="00585314">
              <w:rPr>
                <w:noProof/>
                <w:webHidden/>
              </w:rPr>
              <w:fldChar w:fldCharType="end"/>
            </w:r>
          </w:hyperlink>
        </w:p>
        <w:p w14:paraId="68D59FD7" w14:textId="77777777" w:rsidR="002A561E" w:rsidRDefault="009365A3" w:rsidP="00706A12">
          <w:pPr>
            <w:pStyle w:val="TOC1"/>
            <w:rPr>
              <w:rFonts w:eastAsiaTheme="minorEastAsia"/>
              <w:noProof/>
              <w:lang w:val="en-US"/>
            </w:rPr>
          </w:pPr>
          <w:hyperlink w:anchor="_Toc55146469" w:history="1">
            <w:r w:rsidR="00665654" w:rsidRPr="00BA7C20">
              <w:rPr>
                <w:rStyle w:val="Hyperlink"/>
                <w:noProof/>
              </w:rPr>
              <w:t>References</w:t>
            </w:r>
            <w:r w:rsidR="00665654">
              <w:rPr>
                <w:noProof/>
                <w:webHidden/>
              </w:rPr>
              <w:tab/>
            </w:r>
            <w:r w:rsidR="00585314">
              <w:rPr>
                <w:noProof/>
                <w:webHidden/>
              </w:rPr>
              <w:fldChar w:fldCharType="begin"/>
            </w:r>
            <w:r w:rsidR="00665654">
              <w:rPr>
                <w:noProof/>
                <w:webHidden/>
              </w:rPr>
              <w:instrText xml:space="preserve"> PAGEREF _Toc55146469 \h </w:instrText>
            </w:r>
            <w:r w:rsidR="00585314">
              <w:rPr>
                <w:noProof/>
                <w:webHidden/>
              </w:rPr>
            </w:r>
            <w:r w:rsidR="00585314">
              <w:rPr>
                <w:noProof/>
                <w:webHidden/>
              </w:rPr>
              <w:fldChar w:fldCharType="separate"/>
            </w:r>
            <w:r w:rsidR="00665654">
              <w:rPr>
                <w:noProof/>
                <w:webHidden/>
              </w:rPr>
              <w:t>12</w:t>
            </w:r>
            <w:r w:rsidR="00585314">
              <w:rPr>
                <w:noProof/>
                <w:webHidden/>
              </w:rPr>
              <w:fldChar w:fldCharType="end"/>
            </w:r>
          </w:hyperlink>
        </w:p>
        <w:p w14:paraId="6661F191" w14:textId="77777777" w:rsidR="00293DE5" w:rsidRPr="00E5169F" w:rsidRDefault="0058531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b/>
              <w:bCs/>
              <w:noProof/>
              <w:sz w:val="24"/>
              <w:szCs w:val="24"/>
            </w:rPr>
            <w:fldChar w:fldCharType="end"/>
          </w:r>
        </w:p>
      </w:sdtContent>
    </w:sdt>
    <w:p w14:paraId="567D282F" w14:textId="77777777" w:rsidR="00AE361F" w:rsidRPr="00E5169F"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br w:type="page"/>
      </w:r>
    </w:p>
    <w:p w14:paraId="1A7B6B1E" w14:textId="77777777" w:rsidR="00AE361F" w:rsidRPr="00E5169F" w:rsidRDefault="00AE361F" w:rsidP="00706A12">
      <w:pPr>
        <w:spacing w:after="0" w:line="360" w:lineRule="auto"/>
        <w:contextualSpacing/>
        <w:rPr>
          <w:rFonts w:asciiTheme="majorBidi" w:eastAsiaTheme="majorEastAsia" w:hAnsiTheme="majorBidi" w:cstheme="majorBidi"/>
          <w:b/>
          <w:i/>
          <w:color w:val="000000" w:themeColor="text1"/>
          <w:sz w:val="24"/>
          <w:szCs w:val="24"/>
        </w:rPr>
      </w:pPr>
    </w:p>
    <w:p w14:paraId="0BC921C9" w14:textId="77777777" w:rsidR="00400B1C" w:rsidRPr="00E5169F" w:rsidRDefault="00665654" w:rsidP="00706A12">
      <w:pPr>
        <w:pStyle w:val="Heading1"/>
        <w:spacing w:before="0" w:line="360" w:lineRule="auto"/>
        <w:contextualSpacing/>
      </w:pPr>
      <w:bookmarkStart w:id="0" w:name="_Toc55146453"/>
      <w:bookmarkStart w:id="1" w:name="_Hlk65390071"/>
      <w:r w:rsidRPr="00E5169F">
        <w:t>Executive Summary</w:t>
      </w:r>
      <w:bookmarkEnd w:id="0"/>
    </w:p>
    <w:p w14:paraId="3E21E53A" w14:textId="77777777" w:rsidR="0088474B" w:rsidRPr="00E5169F" w:rsidRDefault="00665654" w:rsidP="00706A12">
      <w:pPr>
        <w:spacing w:after="0" w:line="360" w:lineRule="auto"/>
        <w:ind w:firstLine="720"/>
        <w:contextualSpacing/>
        <w:jc w:val="both"/>
        <w:rPr>
          <w:rFonts w:asciiTheme="majorBidi" w:hAnsiTheme="majorBidi" w:cstheme="majorBidi"/>
          <w:sz w:val="24"/>
          <w:szCs w:val="24"/>
        </w:rPr>
      </w:pPr>
      <w:r w:rsidRPr="00E5169F">
        <w:rPr>
          <w:rFonts w:asciiTheme="majorBidi" w:hAnsiTheme="majorBidi" w:cstheme="majorBidi"/>
          <w:sz w:val="24"/>
          <w:szCs w:val="24"/>
        </w:rPr>
        <w:t xml:space="preserve">International trade is directly associated with the process </w:t>
      </w:r>
      <w:r w:rsidR="00BA5B42" w:rsidRPr="00E5169F">
        <w:rPr>
          <w:rFonts w:asciiTheme="majorBidi" w:hAnsiTheme="majorBidi" w:cstheme="majorBidi"/>
          <w:sz w:val="24"/>
          <w:szCs w:val="24"/>
        </w:rPr>
        <w:t xml:space="preserve">of </w:t>
      </w:r>
      <w:proofErr w:type="spellStart"/>
      <w:proofErr w:type="gramStart"/>
      <w:r w:rsidR="00BA5B42" w:rsidRPr="00E5169F">
        <w:rPr>
          <w:rFonts w:asciiTheme="majorBidi" w:hAnsiTheme="majorBidi" w:cstheme="majorBidi"/>
          <w:sz w:val="24"/>
          <w:szCs w:val="24"/>
        </w:rPr>
        <w:t>globalisation</w:t>
      </w:r>
      <w:r w:rsidRPr="00E5169F">
        <w:rPr>
          <w:rFonts w:asciiTheme="majorBidi" w:hAnsiTheme="majorBidi" w:cstheme="majorBidi"/>
          <w:sz w:val="24"/>
          <w:szCs w:val="24"/>
        </w:rPr>
        <w:t>.</w:t>
      </w:r>
      <w:r w:rsidR="00381136" w:rsidRPr="00E5169F">
        <w:rPr>
          <w:rFonts w:asciiTheme="majorBidi" w:hAnsiTheme="majorBidi" w:cstheme="majorBidi"/>
          <w:sz w:val="24"/>
          <w:szCs w:val="24"/>
        </w:rPr>
        <w:t>The</w:t>
      </w:r>
      <w:proofErr w:type="spellEnd"/>
      <w:proofErr w:type="gramEnd"/>
      <w:r w:rsidR="00381136" w:rsidRPr="00E5169F">
        <w:rPr>
          <w:rFonts w:asciiTheme="majorBidi" w:hAnsiTheme="majorBidi" w:cstheme="majorBidi"/>
          <w:sz w:val="24"/>
          <w:szCs w:val="24"/>
        </w:rPr>
        <w:t xml:space="preserve"> governments in many countries have decided to open their economies for international trade and commerce.</w:t>
      </w:r>
      <w:r w:rsidR="00A27029" w:rsidRPr="00E5169F">
        <w:rPr>
          <w:rFonts w:asciiTheme="majorBidi" w:hAnsiTheme="majorBidi" w:cstheme="majorBidi"/>
          <w:sz w:val="24"/>
          <w:szCs w:val="24"/>
        </w:rPr>
        <w:t xml:space="preserve"> It has been done with the help of multinational organisations, </w:t>
      </w:r>
      <w:r w:rsidR="00992926" w:rsidRPr="00E5169F">
        <w:rPr>
          <w:rFonts w:asciiTheme="majorBidi" w:hAnsiTheme="majorBidi" w:cstheme="majorBidi"/>
          <w:sz w:val="24"/>
          <w:szCs w:val="24"/>
        </w:rPr>
        <w:t>multilateral trading system, governmental and intergovernmental organisations.</w:t>
      </w:r>
      <w:r w:rsidR="0033368C" w:rsidRPr="00E5169F">
        <w:rPr>
          <w:rFonts w:asciiTheme="majorBidi" w:hAnsiTheme="majorBidi" w:cstheme="majorBidi"/>
          <w:sz w:val="24"/>
          <w:szCs w:val="24"/>
        </w:rPr>
        <w:t xml:space="preserve"> G</w:t>
      </w:r>
      <w:r w:rsidR="00310FCE" w:rsidRPr="00E5169F">
        <w:rPr>
          <w:rFonts w:asciiTheme="majorBidi" w:hAnsiTheme="majorBidi" w:cstheme="majorBidi"/>
          <w:sz w:val="24"/>
          <w:szCs w:val="24"/>
        </w:rPr>
        <w:t>lobalis</w:t>
      </w:r>
      <w:r w:rsidR="0033368C" w:rsidRPr="00E5169F">
        <w:rPr>
          <w:rFonts w:asciiTheme="majorBidi" w:hAnsiTheme="majorBidi" w:cstheme="majorBidi"/>
          <w:sz w:val="24"/>
          <w:szCs w:val="24"/>
        </w:rPr>
        <w:t xml:space="preserve">ation and </w:t>
      </w:r>
      <w:r w:rsidR="004813DA" w:rsidRPr="00E5169F">
        <w:rPr>
          <w:rFonts w:asciiTheme="majorBidi" w:hAnsiTheme="majorBidi" w:cstheme="majorBidi"/>
          <w:sz w:val="24"/>
          <w:szCs w:val="24"/>
        </w:rPr>
        <w:t xml:space="preserve">business have brought </w:t>
      </w:r>
      <w:r w:rsidR="00D237E5" w:rsidRPr="00E5169F">
        <w:rPr>
          <w:rFonts w:asciiTheme="majorBidi" w:hAnsiTheme="majorBidi" w:cstheme="majorBidi"/>
          <w:sz w:val="24"/>
          <w:szCs w:val="24"/>
        </w:rPr>
        <w:t xml:space="preserve">increased advantages to the citizens and </w:t>
      </w:r>
      <w:proofErr w:type="spellStart"/>
      <w:proofErr w:type="gramStart"/>
      <w:r w:rsidR="00D237E5" w:rsidRPr="00E5169F">
        <w:rPr>
          <w:rFonts w:asciiTheme="majorBidi" w:hAnsiTheme="majorBidi" w:cstheme="majorBidi"/>
          <w:sz w:val="24"/>
          <w:szCs w:val="24"/>
        </w:rPr>
        <w:t>countries.</w:t>
      </w:r>
      <w:r w:rsidR="000F551A" w:rsidRPr="00E5169F">
        <w:rPr>
          <w:rFonts w:asciiTheme="majorBidi" w:hAnsiTheme="majorBidi" w:cstheme="majorBidi"/>
          <w:sz w:val="24"/>
          <w:szCs w:val="24"/>
        </w:rPr>
        <w:t>International</w:t>
      </w:r>
      <w:proofErr w:type="spellEnd"/>
      <w:proofErr w:type="gramEnd"/>
      <w:r w:rsidR="000F551A" w:rsidRPr="00E5169F">
        <w:rPr>
          <w:rFonts w:asciiTheme="majorBidi" w:hAnsiTheme="majorBidi" w:cstheme="majorBidi"/>
          <w:sz w:val="24"/>
          <w:szCs w:val="24"/>
        </w:rPr>
        <w:t xml:space="preserve"> and</w:t>
      </w:r>
      <w:r w:rsidR="00C86AFC" w:rsidRPr="00E5169F">
        <w:rPr>
          <w:rFonts w:asciiTheme="majorBidi" w:hAnsiTheme="majorBidi" w:cstheme="majorBidi"/>
          <w:sz w:val="24"/>
          <w:szCs w:val="24"/>
        </w:rPr>
        <w:t xml:space="preserve"> domestic trade agreements have</w:t>
      </w:r>
      <w:r w:rsidR="009202FE" w:rsidRPr="00E5169F">
        <w:rPr>
          <w:rFonts w:asciiTheme="majorBidi" w:hAnsiTheme="majorBidi" w:cstheme="majorBidi"/>
          <w:sz w:val="24"/>
          <w:szCs w:val="24"/>
        </w:rPr>
        <w:t xml:space="preserve"> allowed nations around the wor</w:t>
      </w:r>
      <w:r w:rsidR="007260E4" w:rsidRPr="00E5169F">
        <w:rPr>
          <w:rFonts w:asciiTheme="majorBidi" w:hAnsiTheme="majorBidi" w:cstheme="majorBidi"/>
          <w:sz w:val="24"/>
          <w:szCs w:val="24"/>
        </w:rPr>
        <w:t xml:space="preserve">ld to benefit from </w:t>
      </w:r>
      <w:r w:rsidR="000F551A" w:rsidRPr="00E5169F">
        <w:rPr>
          <w:rFonts w:asciiTheme="majorBidi" w:hAnsiTheme="majorBidi" w:cstheme="majorBidi"/>
          <w:sz w:val="24"/>
          <w:szCs w:val="24"/>
        </w:rPr>
        <w:t>economies to</w:t>
      </w:r>
      <w:r w:rsidR="003736F0" w:rsidRPr="00E5169F">
        <w:rPr>
          <w:rFonts w:asciiTheme="majorBidi" w:hAnsiTheme="majorBidi" w:cstheme="majorBidi"/>
          <w:sz w:val="24"/>
          <w:szCs w:val="24"/>
        </w:rPr>
        <w:t xml:space="preserve"> create a more sophisticated </w:t>
      </w:r>
      <w:proofErr w:type="spellStart"/>
      <w:r w:rsidR="004B1F7C" w:rsidRPr="00E5169F">
        <w:rPr>
          <w:rFonts w:asciiTheme="majorBidi" w:hAnsiTheme="majorBidi" w:cstheme="majorBidi"/>
          <w:sz w:val="24"/>
          <w:szCs w:val="24"/>
        </w:rPr>
        <w:t>environment</w:t>
      </w:r>
      <w:r w:rsidR="007260E4" w:rsidRPr="00E5169F">
        <w:rPr>
          <w:rFonts w:asciiTheme="majorBidi" w:hAnsiTheme="majorBidi" w:cstheme="majorBidi"/>
          <w:sz w:val="24"/>
          <w:szCs w:val="24"/>
        </w:rPr>
        <w:t>.</w:t>
      </w:r>
      <w:r w:rsidR="00D96983" w:rsidRPr="00E5169F">
        <w:rPr>
          <w:rFonts w:asciiTheme="majorBidi" w:hAnsiTheme="majorBidi" w:cstheme="majorBidi"/>
          <w:sz w:val="24"/>
          <w:szCs w:val="24"/>
        </w:rPr>
        <w:t>The</w:t>
      </w:r>
      <w:proofErr w:type="spellEnd"/>
      <w:r w:rsidR="00D96983" w:rsidRPr="00E5169F">
        <w:rPr>
          <w:rFonts w:asciiTheme="majorBidi" w:hAnsiTheme="majorBidi" w:cstheme="majorBidi"/>
          <w:sz w:val="24"/>
          <w:szCs w:val="24"/>
        </w:rPr>
        <w:t xml:space="preserve"> study will explore </w:t>
      </w:r>
      <w:r w:rsidR="00D84DEA" w:rsidRPr="00E5169F">
        <w:rPr>
          <w:rFonts w:asciiTheme="majorBidi" w:hAnsiTheme="majorBidi" w:cstheme="majorBidi"/>
          <w:sz w:val="24"/>
          <w:szCs w:val="24"/>
        </w:rPr>
        <w:t>international trade, international financial institutions, and some critical theories of international trade, finance and investment.</w:t>
      </w:r>
    </w:p>
    <w:bookmarkEnd w:id="1"/>
    <w:p w14:paraId="3563A74E" w14:textId="77777777" w:rsidR="0089411B" w:rsidRPr="00E5169F" w:rsidRDefault="00665654" w:rsidP="00706A12">
      <w:pPr>
        <w:spacing w:after="0" w:line="360" w:lineRule="auto"/>
        <w:contextualSpacing/>
        <w:jc w:val="both"/>
        <w:rPr>
          <w:rFonts w:asciiTheme="majorBidi" w:hAnsiTheme="majorBidi" w:cstheme="majorBidi"/>
          <w:sz w:val="24"/>
          <w:szCs w:val="24"/>
        </w:rPr>
      </w:pPr>
      <w:r w:rsidRPr="00E5169F">
        <w:rPr>
          <w:rFonts w:asciiTheme="majorBidi" w:hAnsiTheme="majorBidi" w:cstheme="majorBidi"/>
          <w:sz w:val="24"/>
          <w:szCs w:val="24"/>
        </w:rPr>
        <w:br w:type="page"/>
      </w:r>
    </w:p>
    <w:p w14:paraId="4B162EE1" w14:textId="77777777" w:rsidR="00112A73" w:rsidRPr="00E5169F" w:rsidRDefault="00665654" w:rsidP="00706A12">
      <w:pPr>
        <w:pStyle w:val="Heading1"/>
        <w:spacing w:before="0" w:line="360" w:lineRule="auto"/>
        <w:contextualSpacing/>
      </w:pPr>
      <w:bookmarkStart w:id="2" w:name="_Toc55146454"/>
      <w:r w:rsidRPr="00E5169F">
        <w:lastRenderedPageBreak/>
        <w:t xml:space="preserve">Financial Markets and </w:t>
      </w:r>
      <w:proofErr w:type="spellStart"/>
      <w:r w:rsidR="004D0B76" w:rsidRPr="00E5169F">
        <w:t>Trade</w:t>
      </w:r>
      <w:r w:rsidRPr="00E5169F">
        <w:t>Organisations</w:t>
      </w:r>
      <w:bookmarkEnd w:id="2"/>
      <w:proofErr w:type="spellEnd"/>
    </w:p>
    <w:p w14:paraId="2D115BE2" w14:textId="77777777" w:rsidR="006D16F6"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The World Trade Organization </w:t>
      </w:r>
      <w:r w:rsidR="008E7F29" w:rsidRPr="00E5169F">
        <w:rPr>
          <w:rFonts w:asciiTheme="majorBidi" w:hAnsiTheme="majorBidi" w:cstheme="majorBidi"/>
          <w:sz w:val="24"/>
          <w:szCs w:val="24"/>
        </w:rPr>
        <w:t>(WTO</w:t>
      </w:r>
      <w:r w:rsidRPr="00E5169F">
        <w:rPr>
          <w:rFonts w:asciiTheme="majorBidi" w:hAnsiTheme="majorBidi" w:cstheme="majorBidi"/>
          <w:sz w:val="24"/>
          <w:szCs w:val="24"/>
        </w:rPr>
        <w:t xml:space="preserve">) is the only major international organisation concerned with the terms of trade between nations. At its heart are the </w:t>
      </w:r>
      <w:r w:rsidR="008E7F29" w:rsidRPr="00E5169F">
        <w:rPr>
          <w:rFonts w:asciiTheme="majorBidi" w:hAnsiTheme="majorBidi" w:cstheme="majorBidi"/>
          <w:sz w:val="24"/>
          <w:szCs w:val="24"/>
        </w:rPr>
        <w:t xml:space="preserve">agreements of </w:t>
      </w:r>
      <w:proofErr w:type="spellStart"/>
      <w:proofErr w:type="gramStart"/>
      <w:r w:rsidR="008E7F29" w:rsidRPr="00E5169F">
        <w:rPr>
          <w:rFonts w:asciiTheme="majorBidi" w:hAnsiTheme="majorBidi" w:cstheme="majorBidi"/>
          <w:sz w:val="24"/>
          <w:szCs w:val="24"/>
        </w:rPr>
        <w:t>WTO,</w:t>
      </w:r>
      <w:r w:rsidR="0099307B" w:rsidRPr="00E5169F">
        <w:rPr>
          <w:rFonts w:asciiTheme="majorBidi" w:hAnsiTheme="majorBidi" w:cstheme="majorBidi"/>
          <w:sz w:val="24"/>
          <w:szCs w:val="24"/>
        </w:rPr>
        <w:t>discussed</w:t>
      </w:r>
      <w:proofErr w:type="spellEnd"/>
      <w:proofErr w:type="gramEnd"/>
      <w:r w:rsidRPr="00E5169F">
        <w:rPr>
          <w:rFonts w:asciiTheme="majorBidi" w:hAnsiTheme="majorBidi" w:cstheme="majorBidi"/>
          <w:sz w:val="24"/>
          <w:szCs w:val="24"/>
        </w:rPr>
        <w:t xml:space="preserve"> and signed by most of the world's trading </w:t>
      </w:r>
      <w:r w:rsidR="0099307B" w:rsidRPr="00E5169F">
        <w:rPr>
          <w:rFonts w:asciiTheme="majorBidi" w:hAnsiTheme="majorBidi" w:cstheme="majorBidi"/>
          <w:sz w:val="24"/>
          <w:szCs w:val="24"/>
        </w:rPr>
        <w:t>countries</w:t>
      </w:r>
      <w:r w:rsidRPr="00E5169F">
        <w:rPr>
          <w:rFonts w:asciiTheme="majorBidi" w:hAnsiTheme="majorBidi" w:cstheme="majorBidi"/>
          <w:sz w:val="24"/>
          <w:szCs w:val="24"/>
        </w:rPr>
        <w:t xml:space="preserve"> and </w:t>
      </w:r>
      <w:r w:rsidR="0099307B" w:rsidRPr="00E5169F">
        <w:rPr>
          <w:rFonts w:asciiTheme="majorBidi" w:hAnsiTheme="majorBidi" w:cstheme="majorBidi"/>
          <w:sz w:val="24"/>
          <w:szCs w:val="24"/>
        </w:rPr>
        <w:t>approved</w:t>
      </w:r>
      <w:r w:rsidRPr="00E5169F">
        <w:rPr>
          <w:rFonts w:asciiTheme="majorBidi" w:hAnsiTheme="majorBidi" w:cstheme="majorBidi"/>
          <w:sz w:val="24"/>
          <w:szCs w:val="24"/>
        </w:rPr>
        <w:t xml:space="preserve"> in their </w:t>
      </w:r>
      <w:r w:rsidR="0099307B" w:rsidRPr="00E5169F">
        <w:rPr>
          <w:rFonts w:asciiTheme="majorBidi" w:hAnsiTheme="majorBidi" w:cstheme="majorBidi"/>
          <w:sz w:val="24"/>
          <w:szCs w:val="24"/>
        </w:rPr>
        <w:t>governments</w:t>
      </w:r>
      <w:r w:rsidRPr="00E5169F">
        <w:rPr>
          <w:rFonts w:asciiTheme="majorBidi" w:hAnsiTheme="majorBidi" w:cstheme="majorBidi"/>
          <w:sz w:val="24"/>
          <w:szCs w:val="24"/>
        </w:rPr>
        <w:t>. The purpose is to help producers, exporters, and importers of goods and services conduct their business.</w:t>
      </w:r>
      <w:r w:rsidR="0099307B" w:rsidRPr="00E5169F">
        <w:rPr>
          <w:rFonts w:asciiTheme="majorBidi" w:hAnsiTheme="majorBidi" w:cstheme="majorBidi"/>
          <w:sz w:val="24"/>
          <w:szCs w:val="24"/>
        </w:rPr>
        <w:t xml:space="preserve"> A variety of ways of looking at the World Trade Organization are available. It is a trade-opening organisation. It is a platform for the negotiation of trade agreements by governments</w:t>
      </w:r>
      <w:r w:rsidR="00957816" w:rsidRPr="00E5169F">
        <w:rPr>
          <w:rFonts w:asciiTheme="majorBidi" w:hAnsiTheme="majorBidi" w:cstheme="majorBidi"/>
          <w:sz w:val="24"/>
          <w:szCs w:val="24"/>
        </w:rPr>
        <w:t xml:space="preserve"> (Petros, 2012)</w:t>
      </w:r>
      <w:r w:rsidR="0099307B" w:rsidRPr="00E5169F">
        <w:rPr>
          <w:rFonts w:asciiTheme="majorBidi" w:hAnsiTheme="majorBidi" w:cstheme="majorBidi"/>
          <w:sz w:val="24"/>
          <w:szCs w:val="24"/>
        </w:rPr>
        <w:t>. For them, it is a</w:t>
      </w:r>
      <w:r w:rsidR="009E63E5" w:rsidRPr="00E5169F">
        <w:rPr>
          <w:rFonts w:asciiTheme="majorBidi" w:hAnsiTheme="majorBidi" w:cstheme="majorBidi"/>
          <w:sz w:val="24"/>
          <w:szCs w:val="24"/>
        </w:rPr>
        <w:t xml:space="preserve"> venue to settle trade disputes</w:t>
      </w:r>
      <w:r w:rsidR="0099307B" w:rsidRPr="00E5169F">
        <w:rPr>
          <w:rFonts w:asciiTheme="majorBidi" w:hAnsiTheme="majorBidi" w:cstheme="majorBidi"/>
          <w:sz w:val="24"/>
          <w:szCs w:val="24"/>
        </w:rPr>
        <w:t xml:space="preserve">. The WTO, in turn, is a position where member governments attempt to overcome the trade issues they face with each </w:t>
      </w:r>
      <w:proofErr w:type="spellStart"/>
      <w:proofErr w:type="gramStart"/>
      <w:r w:rsidR="0099307B" w:rsidRPr="00E5169F">
        <w:rPr>
          <w:rFonts w:asciiTheme="majorBidi" w:hAnsiTheme="majorBidi" w:cstheme="majorBidi"/>
          <w:sz w:val="24"/>
          <w:szCs w:val="24"/>
        </w:rPr>
        <w:t>other.</w:t>
      </w:r>
      <w:r w:rsidR="008A10E1" w:rsidRPr="00E5169F">
        <w:rPr>
          <w:rFonts w:asciiTheme="majorBidi" w:hAnsiTheme="majorBidi" w:cstheme="majorBidi"/>
          <w:sz w:val="24"/>
          <w:szCs w:val="24"/>
        </w:rPr>
        <w:t>On</w:t>
      </w:r>
      <w:proofErr w:type="spellEnd"/>
      <w:proofErr w:type="gramEnd"/>
      <w:r w:rsidR="008A10E1" w:rsidRPr="00E5169F">
        <w:rPr>
          <w:rFonts w:asciiTheme="majorBidi" w:hAnsiTheme="majorBidi" w:cstheme="majorBidi"/>
          <w:sz w:val="24"/>
          <w:szCs w:val="24"/>
        </w:rPr>
        <w:t xml:space="preserve"> 1 January 1995, the WTO began existence, but it is half a century older than its trading method. Since 1948, the General Agreement on Tariffs and Trade </w:t>
      </w:r>
      <w:r w:rsidR="00CE1959" w:rsidRPr="00E5169F">
        <w:rPr>
          <w:rFonts w:asciiTheme="majorBidi" w:hAnsiTheme="majorBidi" w:cstheme="majorBidi"/>
          <w:sz w:val="24"/>
          <w:szCs w:val="24"/>
        </w:rPr>
        <w:t>(GATT</w:t>
      </w:r>
      <w:r w:rsidR="008A10E1" w:rsidRPr="00E5169F">
        <w:rPr>
          <w:rFonts w:asciiTheme="majorBidi" w:hAnsiTheme="majorBidi" w:cstheme="majorBidi"/>
          <w:sz w:val="24"/>
          <w:szCs w:val="24"/>
        </w:rPr>
        <w:t>) has establi</w:t>
      </w:r>
      <w:r w:rsidR="00957816" w:rsidRPr="00E5169F">
        <w:rPr>
          <w:rFonts w:asciiTheme="majorBidi" w:hAnsiTheme="majorBidi" w:cstheme="majorBidi"/>
          <w:sz w:val="24"/>
          <w:szCs w:val="24"/>
        </w:rPr>
        <w:t xml:space="preserve">shed the rules for the system </w:t>
      </w:r>
      <w:r w:rsidR="00957816" w:rsidRPr="00E5169F">
        <w:rPr>
          <w:rFonts w:asciiTheme="majorBidi" w:hAnsiTheme="majorBidi" w:cstheme="majorBidi"/>
          <w:color w:val="222222"/>
          <w:sz w:val="24"/>
          <w:szCs w:val="24"/>
          <w:shd w:val="clear" w:color="auto" w:fill="FFFFFF"/>
        </w:rPr>
        <w:t xml:space="preserve">(Knight and </w:t>
      </w:r>
      <w:proofErr w:type="spellStart"/>
      <w:r w:rsidR="00957816" w:rsidRPr="00E5169F">
        <w:rPr>
          <w:rFonts w:asciiTheme="majorBidi" w:hAnsiTheme="majorBidi" w:cstheme="majorBidi"/>
          <w:color w:val="222222"/>
          <w:sz w:val="24"/>
          <w:szCs w:val="24"/>
          <w:shd w:val="clear" w:color="auto" w:fill="FFFFFF"/>
        </w:rPr>
        <w:t>Voon</w:t>
      </w:r>
      <w:proofErr w:type="spellEnd"/>
      <w:r w:rsidR="00957816" w:rsidRPr="00E5169F">
        <w:rPr>
          <w:rFonts w:asciiTheme="majorBidi" w:hAnsiTheme="majorBidi" w:cstheme="majorBidi"/>
          <w:color w:val="222222"/>
          <w:sz w:val="24"/>
          <w:szCs w:val="24"/>
          <w:shd w:val="clear" w:color="auto" w:fill="FFFFFF"/>
        </w:rPr>
        <w:t>, 2020)</w:t>
      </w:r>
      <w:r w:rsidR="00957816" w:rsidRPr="00E5169F">
        <w:rPr>
          <w:rFonts w:asciiTheme="majorBidi" w:hAnsiTheme="majorBidi" w:cstheme="majorBidi"/>
          <w:sz w:val="24"/>
          <w:szCs w:val="24"/>
        </w:rPr>
        <w:t>.</w:t>
      </w:r>
    </w:p>
    <w:p w14:paraId="0DFEC765" w14:textId="77777777" w:rsidR="00AC0226"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It did not take long for an unofficial, de facto international body, also known informally as the GATT, to be formed by the General Agreement. Via several rounds of negotiations over the years, GATT has grown. The last and largest GATT round was the Uruguay Round, which lasted from 1986 to 1994 and contributed to the creation of the </w:t>
      </w:r>
      <w:proofErr w:type="gramStart"/>
      <w:r w:rsidRPr="00E5169F">
        <w:rPr>
          <w:rFonts w:asciiTheme="majorBidi" w:hAnsiTheme="majorBidi" w:cstheme="majorBidi"/>
          <w:sz w:val="24"/>
          <w:szCs w:val="24"/>
        </w:rPr>
        <w:t>WTO</w:t>
      </w:r>
      <w:r w:rsidR="00957816" w:rsidRPr="00E5169F">
        <w:rPr>
          <w:rFonts w:asciiTheme="majorBidi" w:hAnsiTheme="majorBidi" w:cstheme="majorBidi"/>
          <w:color w:val="222222"/>
          <w:sz w:val="24"/>
          <w:szCs w:val="24"/>
          <w:shd w:val="clear" w:color="auto" w:fill="FFFFFF"/>
        </w:rPr>
        <w:t>(</w:t>
      </w:r>
      <w:proofErr w:type="spellStart"/>
      <w:proofErr w:type="gramEnd"/>
      <w:r w:rsidR="00957816" w:rsidRPr="00E5169F">
        <w:rPr>
          <w:rFonts w:asciiTheme="majorBidi" w:hAnsiTheme="majorBidi" w:cstheme="majorBidi"/>
          <w:color w:val="222222"/>
          <w:sz w:val="24"/>
          <w:szCs w:val="24"/>
          <w:shd w:val="clear" w:color="auto" w:fill="FFFFFF"/>
        </w:rPr>
        <w:t>Dimitropoulos</w:t>
      </w:r>
      <w:proofErr w:type="spellEnd"/>
      <w:r w:rsidR="00957816" w:rsidRPr="00E5169F">
        <w:rPr>
          <w:rFonts w:asciiTheme="majorBidi" w:hAnsiTheme="majorBidi" w:cstheme="majorBidi"/>
          <w:color w:val="222222"/>
          <w:sz w:val="24"/>
          <w:szCs w:val="24"/>
          <w:shd w:val="clear" w:color="auto" w:fill="FFFFFF"/>
        </w:rPr>
        <w:t>, 2020)</w:t>
      </w:r>
      <w:r w:rsidRPr="00E5169F">
        <w:rPr>
          <w:rFonts w:asciiTheme="majorBidi" w:hAnsiTheme="majorBidi" w:cstheme="majorBidi"/>
          <w:sz w:val="24"/>
          <w:szCs w:val="24"/>
        </w:rPr>
        <w:t>.</w:t>
      </w:r>
    </w:p>
    <w:p w14:paraId="02341C73" w14:textId="77777777" w:rsidR="00957816" w:rsidRPr="00E5169F" w:rsidRDefault="00957816" w:rsidP="00706A12">
      <w:pPr>
        <w:spacing w:after="0" w:line="360" w:lineRule="auto"/>
        <w:ind w:firstLine="720"/>
        <w:contextualSpacing/>
        <w:rPr>
          <w:rFonts w:asciiTheme="majorBidi" w:hAnsiTheme="majorBidi" w:cstheme="majorBidi"/>
          <w:sz w:val="24"/>
          <w:szCs w:val="24"/>
        </w:rPr>
      </w:pPr>
    </w:p>
    <w:p w14:paraId="24342871" w14:textId="77777777" w:rsidR="000414F8" w:rsidRPr="00E5169F" w:rsidRDefault="00665654" w:rsidP="00706A12">
      <w:pPr>
        <w:pStyle w:val="Heading2"/>
        <w:spacing w:before="0" w:line="360" w:lineRule="auto"/>
        <w:contextualSpacing/>
      </w:pPr>
      <w:bookmarkStart w:id="3" w:name="_Toc55146455"/>
      <w:r w:rsidRPr="00E5169F">
        <w:t>Principles of the Trading System</w:t>
      </w:r>
      <w:bookmarkEnd w:id="3"/>
    </w:p>
    <w:p w14:paraId="00004788" w14:textId="77777777" w:rsidR="006D16F6"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The WTO agreements are complex and lengthy since they are legal texts covering a wide variety of </w:t>
      </w:r>
      <w:r w:rsidR="00344D77" w:rsidRPr="00E5169F">
        <w:rPr>
          <w:rFonts w:asciiTheme="majorBidi" w:hAnsiTheme="majorBidi" w:cstheme="majorBidi"/>
          <w:sz w:val="24"/>
          <w:szCs w:val="24"/>
        </w:rPr>
        <w:t>accomplishments</w:t>
      </w:r>
      <w:r w:rsidRPr="00E5169F">
        <w:rPr>
          <w:rFonts w:asciiTheme="majorBidi" w:hAnsiTheme="majorBidi" w:cstheme="majorBidi"/>
          <w:sz w:val="24"/>
          <w:szCs w:val="24"/>
        </w:rPr>
        <w:t xml:space="preserve">. They are concerned with: </w:t>
      </w:r>
      <w:r w:rsidR="00344D77" w:rsidRPr="00E5169F">
        <w:rPr>
          <w:rFonts w:asciiTheme="majorBidi" w:hAnsiTheme="majorBidi" w:cstheme="majorBidi"/>
          <w:sz w:val="24"/>
          <w:szCs w:val="24"/>
        </w:rPr>
        <w:t>textiles</w:t>
      </w:r>
      <w:r w:rsidRPr="00E5169F">
        <w:rPr>
          <w:rFonts w:asciiTheme="majorBidi" w:hAnsiTheme="majorBidi" w:cstheme="majorBidi"/>
          <w:sz w:val="24"/>
          <w:szCs w:val="24"/>
        </w:rPr>
        <w:t xml:space="preserve">, </w:t>
      </w:r>
      <w:r w:rsidR="00344D77" w:rsidRPr="00E5169F">
        <w:rPr>
          <w:rFonts w:asciiTheme="majorBidi" w:hAnsiTheme="majorBidi" w:cstheme="majorBidi"/>
          <w:sz w:val="24"/>
          <w:szCs w:val="24"/>
        </w:rPr>
        <w:t>agriculture</w:t>
      </w:r>
      <w:r w:rsidR="00A215AB" w:rsidRPr="00E5169F">
        <w:rPr>
          <w:rFonts w:asciiTheme="majorBidi" w:hAnsiTheme="majorBidi" w:cstheme="majorBidi"/>
          <w:sz w:val="24"/>
          <w:szCs w:val="24"/>
        </w:rPr>
        <w:t>, banking</w:t>
      </w:r>
      <w:r w:rsidRPr="00E5169F">
        <w:rPr>
          <w:rFonts w:asciiTheme="majorBidi" w:hAnsiTheme="majorBidi" w:cstheme="majorBidi"/>
          <w:sz w:val="24"/>
          <w:szCs w:val="24"/>
        </w:rPr>
        <w:t xml:space="preserve">, </w:t>
      </w:r>
      <w:r w:rsidR="00344D77" w:rsidRPr="00E5169F">
        <w:rPr>
          <w:rFonts w:asciiTheme="majorBidi" w:hAnsiTheme="majorBidi" w:cstheme="majorBidi"/>
          <w:sz w:val="24"/>
          <w:szCs w:val="24"/>
        </w:rPr>
        <w:t>clothing,</w:t>
      </w:r>
      <w:r w:rsidR="00905082" w:rsidRPr="00E5169F">
        <w:rPr>
          <w:rFonts w:asciiTheme="majorBidi" w:hAnsiTheme="majorBidi" w:cstheme="majorBidi"/>
          <w:sz w:val="24"/>
          <w:szCs w:val="24"/>
        </w:rPr>
        <w:t xml:space="preserve"> public procurement, telecommunications</w:t>
      </w:r>
      <w:r w:rsidRPr="00E5169F">
        <w:rPr>
          <w:rFonts w:asciiTheme="majorBidi" w:hAnsiTheme="majorBidi" w:cstheme="majorBidi"/>
          <w:sz w:val="24"/>
          <w:szCs w:val="24"/>
        </w:rPr>
        <w:t xml:space="preserve">, legislation on industrial and product safety, food hygiene rules, intellectual property, and much more. But there are several simple, universal concepts in all these texts. Those principles constitute the foundations of the </w:t>
      </w:r>
      <w:r w:rsidR="00BB301B" w:rsidRPr="00E5169F">
        <w:rPr>
          <w:rFonts w:asciiTheme="majorBidi" w:hAnsiTheme="majorBidi" w:cstheme="majorBidi"/>
          <w:sz w:val="24"/>
          <w:szCs w:val="24"/>
        </w:rPr>
        <w:t>multifaceted</w:t>
      </w:r>
      <w:r w:rsidRPr="00E5169F">
        <w:rPr>
          <w:rFonts w:asciiTheme="majorBidi" w:hAnsiTheme="majorBidi" w:cstheme="majorBidi"/>
          <w:sz w:val="24"/>
          <w:szCs w:val="24"/>
        </w:rPr>
        <w:t xml:space="preserve"> trading </w:t>
      </w:r>
      <w:proofErr w:type="gramStart"/>
      <w:r w:rsidRPr="00E5169F">
        <w:rPr>
          <w:rFonts w:asciiTheme="majorBidi" w:hAnsiTheme="majorBidi" w:cstheme="majorBidi"/>
          <w:sz w:val="24"/>
          <w:szCs w:val="24"/>
        </w:rPr>
        <w:t>system</w:t>
      </w:r>
      <w:r w:rsidR="00957816" w:rsidRPr="00E5169F">
        <w:rPr>
          <w:rFonts w:asciiTheme="majorBidi" w:hAnsiTheme="majorBidi" w:cstheme="majorBidi"/>
          <w:color w:val="222222"/>
          <w:sz w:val="24"/>
          <w:szCs w:val="24"/>
          <w:shd w:val="clear" w:color="auto" w:fill="FFFFFF"/>
        </w:rPr>
        <w:t>(</w:t>
      </w:r>
      <w:proofErr w:type="gramEnd"/>
      <w:r w:rsidR="00957816" w:rsidRPr="00E5169F">
        <w:rPr>
          <w:rFonts w:asciiTheme="majorBidi" w:hAnsiTheme="majorBidi" w:cstheme="majorBidi"/>
          <w:color w:val="222222"/>
          <w:sz w:val="24"/>
          <w:szCs w:val="24"/>
          <w:shd w:val="clear" w:color="auto" w:fill="FFFFFF"/>
        </w:rPr>
        <w:t>Huang et al., 2018)</w:t>
      </w:r>
      <w:r w:rsidRPr="00E5169F">
        <w:rPr>
          <w:rFonts w:asciiTheme="majorBidi" w:hAnsiTheme="majorBidi" w:cstheme="majorBidi"/>
          <w:sz w:val="24"/>
          <w:szCs w:val="24"/>
        </w:rPr>
        <w:t>.</w:t>
      </w:r>
      <w:r w:rsidR="00143B62" w:rsidRPr="00E5169F">
        <w:rPr>
          <w:rFonts w:asciiTheme="majorBidi" w:hAnsiTheme="majorBidi" w:cstheme="majorBidi"/>
          <w:sz w:val="24"/>
          <w:szCs w:val="24"/>
        </w:rPr>
        <w:t xml:space="preserve">Some of the principles of the World Trading Organisation are traded without discrimination, </w:t>
      </w:r>
      <w:r w:rsidR="007044E6" w:rsidRPr="00E5169F">
        <w:rPr>
          <w:rFonts w:asciiTheme="majorBidi" w:hAnsiTheme="majorBidi" w:cstheme="majorBidi"/>
          <w:sz w:val="24"/>
          <w:szCs w:val="24"/>
        </w:rPr>
        <w:t>equality</w:t>
      </w:r>
      <w:r w:rsidR="00375231" w:rsidRPr="00E5169F">
        <w:rPr>
          <w:rFonts w:asciiTheme="majorBidi" w:hAnsiTheme="majorBidi" w:cstheme="majorBidi"/>
          <w:sz w:val="24"/>
          <w:szCs w:val="24"/>
        </w:rPr>
        <w:t xml:space="preserve"> in </w:t>
      </w:r>
      <w:r w:rsidR="007044E6" w:rsidRPr="00E5169F">
        <w:rPr>
          <w:rFonts w:asciiTheme="majorBidi" w:hAnsiTheme="majorBidi" w:cstheme="majorBidi"/>
          <w:sz w:val="24"/>
          <w:szCs w:val="24"/>
        </w:rPr>
        <w:t xml:space="preserve">the local and international </w:t>
      </w:r>
      <w:r w:rsidR="007D5519" w:rsidRPr="00E5169F">
        <w:rPr>
          <w:rFonts w:asciiTheme="majorBidi" w:hAnsiTheme="majorBidi" w:cstheme="majorBidi"/>
          <w:sz w:val="24"/>
          <w:szCs w:val="24"/>
        </w:rPr>
        <w:t xml:space="preserve">agreements among nations, </w:t>
      </w:r>
      <w:r w:rsidR="00D03ACB" w:rsidRPr="00E5169F">
        <w:rPr>
          <w:rFonts w:asciiTheme="majorBidi" w:hAnsiTheme="majorBidi" w:cstheme="majorBidi"/>
          <w:sz w:val="24"/>
          <w:szCs w:val="24"/>
        </w:rPr>
        <w:t xml:space="preserve">and the promotion of free trade through </w:t>
      </w:r>
      <w:proofErr w:type="spellStart"/>
      <w:r w:rsidR="00D03ACB" w:rsidRPr="00E5169F">
        <w:rPr>
          <w:rFonts w:asciiTheme="majorBidi" w:hAnsiTheme="majorBidi" w:cstheme="majorBidi"/>
          <w:sz w:val="24"/>
          <w:szCs w:val="24"/>
        </w:rPr>
        <w:t>negotiation.</w:t>
      </w:r>
      <w:r w:rsidR="00802905" w:rsidRPr="00E5169F">
        <w:rPr>
          <w:rFonts w:asciiTheme="majorBidi" w:hAnsiTheme="majorBidi" w:cstheme="majorBidi"/>
          <w:sz w:val="24"/>
          <w:szCs w:val="24"/>
        </w:rPr>
        <w:t>Besides</w:t>
      </w:r>
      <w:proofErr w:type="spellEnd"/>
      <w:r w:rsidR="00802905" w:rsidRPr="00E5169F">
        <w:rPr>
          <w:rFonts w:asciiTheme="majorBidi" w:hAnsiTheme="majorBidi" w:cstheme="majorBidi"/>
          <w:sz w:val="24"/>
          <w:szCs w:val="24"/>
        </w:rPr>
        <w:t>, the World Trade Organisation</w:t>
      </w:r>
      <w:r w:rsidR="00F17105" w:rsidRPr="00E5169F">
        <w:rPr>
          <w:rFonts w:asciiTheme="majorBidi" w:hAnsiTheme="majorBidi" w:cstheme="majorBidi"/>
          <w:sz w:val="24"/>
          <w:szCs w:val="24"/>
        </w:rPr>
        <w:t xml:space="preserve"> aims to support </w:t>
      </w:r>
      <w:r w:rsidR="000D3BC7" w:rsidRPr="00E5169F">
        <w:rPr>
          <w:rFonts w:asciiTheme="majorBidi" w:hAnsiTheme="majorBidi" w:cstheme="majorBidi"/>
          <w:sz w:val="24"/>
          <w:szCs w:val="24"/>
        </w:rPr>
        <w:t>the free and fair promotion of work.</w:t>
      </w:r>
      <w:r w:rsidR="00695D04" w:rsidRPr="00E5169F">
        <w:rPr>
          <w:rFonts w:asciiTheme="majorBidi" w:hAnsiTheme="majorBidi" w:cstheme="majorBidi"/>
          <w:sz w:val="24"/>
          <w:szCs w:val="24"/>
        </w:rPr>
        <w:t xml:space="preserve"> Most of the nations of the world are a part of this international trade organisation.</w:t>
      </w:r>
      <w:r w:rsidR="008934B0" w:rsidRPr="00E5169F">
        <w:rPr>
          <w:rFonts w:asciiTheme="majorBidi" w:hAnsiTheme="majorBidi" w:cstheme="majorBidi"/>
          <w:sz w:val="24"/>
          <w:szCs w:val="24"/>
        </w:rPr>
        <w:t xml:space="preserve"> When a country becomes part of the WTO or enters an agreement, it is granted the most favourable conditions to promote trade with other </w:t>
      </w:r>
      <w:proofErr w:type="spellStart"/>
      <w:proofErr w:type="gramStart"/>
      <w:r w:rsidR="008934B0" w:rsidRPr="00E5169F">
        <w:rPr>
          <w:rFonts w:asciiTheme="majorBidi" w:hAnsiTheme="majorBidi" w:cstheme="majorBidi"/>
          <w:sz w:val="24"/>
          <w:szCs w:val="24"/>
        </w:rPr>
        <w:t>parties.</w:t>
      </w:r>
      <w:r w:rsidR="004C4FAC" w:rsidRPr="00E5169F">
        <w:rPr>
          <w:rFonts w:asciiTheme="majorBidi" w:hAnsiTheme="majorBidi" w:cstheme="majorBidi"/>
          <w:sz w:val="24"/>
          <w:szCs w:val="24"/>
        </w:rPr>
        <w:t>Furthermore</w:t>
      </w:r>
      <w:proofErr w:type="spellEnd"/>
      <w:proofErr w:type="gramEnd"/>
      <w:r w:rsidR="004C4FAC" w:rsidRPr="00E5169F">
        <w:rPr>
          <w:rFonts w:asciiTheme="majorBidi" w:hAnsiTheme="majorBidi" w:cstheme="majorBidi"/>
          <w:sz w:val="24"/>
          <w:szCs w:val="24"/>
        </w:rPr>
        <w:t>, the trade agreement is signed according to the principle of non-discrimination highlighted in the provisions of the WTO</w:t>
      </w:r>
      <w:r w:rsidR="00957816" w:rsidRPr="00E5169F">
        <w:rPr>
          <w:rFonts w:asciiTheme="majorBidi" w:hAnsiTheme="majorBidi" w:cstheme="majorBidi"/>
          <w:color w:val="222222"/>
          <w:sz w:val="24"/>
          <w:szCs w:val="24"/>
          <w:shd w:val="clear" w:color="auto" w:fill="FFFFFF"/>
        </w:rPr>
        <w:t>(Mbengue, 2017)</w:t>
      </w:r>
      <w:r w:rsidR="004C4FAC" w:rsidRPr="00E5169F">
        <w:rPr>
          <w:rFonts w:asciiTheme="majorBidi" w:hAnsiTheme="majorBidi" w:cstheme="majorBidi"/>
          <w:sz w:val="24"/>
          <w:szCs w:val="24"/>
        </w:rPr>
        <w:t>.</w:t>
      </w:r>
    </w:p>
    <w:p w14:paraId="25C4D3AC" w14:textId="77777777" w:rsidR="00836697"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lastRenderedPageBreak/>
        <w:t xml:space="preserve">Policymakers are aware that regional trade agreements need to be aligned with multilateral rules, and that local </w:t>
      </w:r>
      <w:r w:rsidR="00F54F0B" w:rsidRPr="00E5169F">
        <w:rPr>
          <w:rFonts w:asciiTheme="majorBidi" w:hAnsiTheme="majorBidi" w:cstheme="majorBidi"/>
          <w:sz w:val="24"/>
          <w:szCs w:val="24"/>
        </w:rPr>
        <w:t>measures</w:t>
      </w:r>
      <w:r w:rsidRPr="00E5169F">
        <w:rPr>
          <w:rFonts w:asciiTheme="majorBidi" w:hAnsiTheme="majorBidi" w:cstheme="majorBidi"/>
          <w:sz w:val="24"/>
          <w:szCs w:val="24"/>
        </w:rPr>
        <w:t xml:space="preserve">, as well as regional and multilateral frameworks, require coherence. Some countries are also negotiating RTAs that are specifically meant to set </w:t>
      </w:r>
      <w:proofErr w:type="spellStart"/>
      <w:r w:rsidRPr="00E5169F">
        <w:rPr>
          <w:rFonts w:asciiTheme="majorBidi" w:hAnsiTheme="majorBidi" w:cstheme="majorBidi"/>
          <w:sz w:val="24"/>
          <w:szCs w:val="24"/>
        </w:rPr>
        <w:t>a</w:t>
      </w:r>
      <w:r w:rsidR="00F54F0B" w:rsidRPr="00E5169F">
        <w:rPr>
          <w:rFonts w:asciiTheme="majorBidi" w:hAnsiTheme="majorBidi" w:cstheme="majorBidi"/>
          <w:sz w:val="24"/>
          <w:szCs w:val="24"/>
        </w:rPr>
        <w:t>nexample</w:t>
      </w:r>
      <w:proofErr w:type="spellEnd"/>
      <w:r w:rsidRPr="00E5169F">
        <w:rPr>
          <w:rFonts w:asciiTheme="majorBidi" w:hAnsiTheme="majorBidi" w:cstheme="majorBidi"/>
          <w:sz w:val="24"/>
          <w:szCs w:val="24"/>
        </w:rPr>
        <w:t xml:space="preserve"> for future </w:t>
      </w:r>
      <w:r w:rsidR="009A7354" w:rsidRPr="00E5169F">
        <w:rPr>
          <w:rFonts w:asciiTheme="majorBidi" w:hAnsiTheme="majorBidi" w:cstheme="majorBidi"/>
          <w:sz w:val="24"/>
          <w:szCs w:val="24"/>
        </w:rPr>
        <w:t>multifaceted</w:t>
      </w:r>
      <w:r w:rsidRPr="00E5169F">
        <w:rPr>
          <w:rFonts w:asciiTheme="majorBidi" w:hAnsiTheme="majorBidi" w:cstheme="majorBidi"/>
          <w:sz w:val="24"/>
          <w:szCs w:val="24"/>
        </w:rPr>
        <w:t xml:space="preserve"> rules-making. In contrast, others see deeper regional cooperation mechanisms as a way to supplement the multilateral </w:t>
      </w:r>
      <w:proofErr w:type="spellStart"/>
      <w:proofErr w:type="gramStart"/>
      <w:r w:rsidRPr="00E5169F">
        <w:rPr>
          <w:rFonts w:asciiTheme="majorBidi" w:hAnsiTheme="majorBidi" w:cstheme="majorBidi"/>
          <w:sz w:val="24"/>
          <w:szCs w:val="24"/>
        </w:rPr>
        <w:t>system.</w:t>
      </w:r>
      <w:r w:rsidR="00C27160" w:rsidRPr="00E5169F">
        <w:rPr>
          <w:rFonts w:asciiTheme="majorBidi" w:hAnsiTheme="majorBidi" w:cstheme="majorBidi"/>
          <w:sz w:val="24"/>
          <w:szCs w:val="24"/>
        </w:rPr>
        <w:t>In</w:t>
      </w:r>
      <w:proofErr w:type="spellEnd"/>
      <w:proofErr w:type="gramEnd"/>
      <w:r w:rsidR="00C27160" w:rsidRPr="00E5169F">
        <w:rPr>
          <w:rFonts w:asciiTheme="majorBidi" w:hAnsiTheme="majorBidi" w:cstheme="majorBidi"/>
          <w:sz w:val="24"/>
          <w:szCs w:val="24"/>
        </w:rPr>
        <w:t xml:space="preserve"> ways that go beyond existing multilateral law, RTAs are being established today. For example, finance, the movement of </w:t>
      </w:r>
      <w:r w:rsidR="003C6AE9" w:rsidRPr="00E5169F">
        <w:rPr>
          <w:rFonts w:asciiTheme="majorBidi" w:hAnsiTheme="majorBidi" w:cstheme="majorBidi"/>
          <w:sz w:val="24"/>
          <w:szCs w:val="24"/>
        </w:rPr>
        <w:t xml:space="preserve">individuals and </w:t>
      </w:r>
      <w:r w:rsidR="00A1557C" w:rsidRPr="00E5169F">
        <w:rPr>
          <w:rFonts w:asciiTheme="majorBidi" w:hAnsiTheme="majorBidi" w:cstheme="majorBidi"/>
          <w:sz w:val="24"/>
          <w:szCs w:val="24"/>
        </w:rPr>
        <w:t>capital</w:t>
      </w:r>
      <w:r w:rsidR="00104387" w:rsidRPr="00E5169F">
        <w:rPr>
          <w:rFonts w:asciiTheme="majorBidi" w:hAnsiTheme="majorBidi" w:cstheme="majorBidi"/>
          <w:sz w:val="24"/>
          <w:szCs w:val="24"/>
        </w:rPr>
        <w:t>,</w:t>
      </w:r>
      <w:r w:rsidR="00C27160" w:rsidRPr="00E5169F">
        <w:rPr>
          <w:rFonts w:asciiTheme="majorBidi" w:hAnsiTheme="majorBidi" w:cstheme="majorBidi"/>
          <w:sz w:val="24"/>
          <w:szCs w:val="24"/>
        </w:rPr>
        <w:t xml:space="preserve"> state-owned enterprises</w:t>
      </w:r>
      <w:r w:rsidR="00104387" w:rsidRPr="00E5169F">
        <w:rPr>
          <w:rFonts w:asciiTheme="majorBidi" w:hAnsiTheme="majorBidi" w:cstheme="majorBidi"/>
          <w:sz w:val="24"/>
          <w:szCs w:val="24"/>
        </w:rPr>
        <w:t xml:space="preserve"> and competition</w:t>
      </w:r>
      <w:r w:rsidR="00C27160" w:rsidRPr="00E5169F">
        <w:rPr>
          <w:rFonts w:asciiTheme="majorBidi" w:hAnsiTheme="majorBidi" w:cstheme="majorBidi"/>
          <w:sz w:val="24"/>
          <w:szCs w:val="24"/>
        </w:rPr>
        <w:t xml:space="preserve">, </w:t>
      </w:r>
      <w:r w:rsidR="00A37422" w:rsidRPr="00E5169F">
        <w:rPr>
          <w:rFonts w:asciiTheme="majorBidi" w:hAnsiTheme="majorBidi" w:cstheme="majorBidi"/>
          <w:sz w:val="24"/>
          <w:szCs w:val="24"/>
        </w:rPr>
        <w:t>anti-corruption, e-commerce</w:t>
      </w:r>
      <w:r w:rsidR="00C27160" w:rsidRPr="00E5169F">
        <w:rPr>
          <w:rFonts w:asciiTheme="majorBidi" w:hAnsiTheme="majorBidi" w:cstheme="majorBidi"/>
          <w:sz w:val="24"/>
          <w:szCs w:val="24"/>
        </w:rPr>
        <w:t xml:space="preserve">, and </w:t>
      </w:r>
      <w:r w:rsidR="009818D5" w:rsidRPr="00E5169F">
        <w:rPr>
          <w:rFonts w:asciiTheme="majorBidi" w:hAnsiTheme="majorBidi" w:cstheme="majorBidi"/>
          <w:sz w:val="24"/>
          <w:szCs w:val="24"/>
        </w:rPr>
        <w:t>rights of intellectual property</w:t>
      </w:r>
      <w:r w:rsidR="00C27160" w:rsidRPr="00E5169F">
        <w:rPr>
          <w:rFonts w:asciiTheme="majorBidi" w:hAnsiTheme="majorBidi" w:cstheme="majorBidi"/>
          <w:sz w:val="24"/>
          <w:szCs w:val="24"/>
        </w:rPr>
        <w:t xml:space="preserve"> are fundamental policy problems that need to be addressed in today's more integrated </w:t>
      </w:r>
      <w:proofErr w:type="gramStart"/>
      <w:r w:rsidR="00C27160" w:rsidRPr="00E5169F">
        <w:rPr>
          <w:rFonts w:asciiTheme="majorBidi" w:hAnsiTheme="majorBidi" w:cstheme="majorBidi"/>
          <w:sz w:val="24"/>
          <w:szCs w:val="24"/>
        </w:rPr>
        <w:t>economies</w:t>
      </w:r>
      <w:r w:rsidR="00957816" w:rsidRPr="00E5169F">
        <w:rPr>
          <w:rFonts w:asciiTheme="majorBidi" w:hAnsiTheme="majorBidi" w:cstheme="majorBidi"/>
          <w:color w:val="222222"/>
          <w:sz w:val="24"/>
          <w:szCs w:val="24"/>
          <w:shd w:val="clear" w:color="auto" w:fill="FFFFFF"/>
        </w:rPr>
        <w:t>(</w:t>
      </w:r>
      <w:proofErr w:type="gramEnd"/>
      <w:r w:rsidR="00957816" w:rsidRPr="00E5169F">
        <w:rPr>
          <w:rFonts w:asciiTheme="majorBidi" w:hAnsiTheme="majorBidi" w:cstheme="majorBidi"/>
          <w:color w:val="222222"/>
          <w:sz w:val="24"/>
          <w:szCs w:val="24"/>
          <w:shd w:val="clear" w:color="auto" w:fill="FFFFFF"/>
        </w:rPr>
        <w:t xml:space="preserve">Knight and </w:t>
      </w:r>
      <w:proofErr w:type="spellStart"/>
      <w:r w:rsidR="00957816" w:rsidRPr="00E5169F">
        <w:rPr>
          <w:rFonts w:asciiTheme="majorBidi" w:hAnsiTheme="majorBidi" w:cstheme="majorBidi"/>
          <w:color w:val="222222"/>
          <w:sz w:val="24"/>
          <w:szCs w:val="24"/>
          <w:shd w:val="clear" w:color="auto" w:fill="FFFFFF"/>
        </w:rPr>
        <w:t>Voon</w:t>
      </w:r>
      <w:proofErr w:type="spellEnd"/>
      <w:r w:rsidR="00957816" w:rsidRPr="00E5169F">
        <w:rPr>
          <w:rFonts w:asciiTheme="majorBidi" w:hAnsiTheme="majorBidi" w:cstheme="majorBidi"/>
          <w:color w:val="222222"/>
          <w:sz w:val="24"/>
          <w:szCs w:val="24"/>
          <w:shd w:val="clear" w:color="auto" w:fill="FFFFFF"/>
        </w:rPr>
        <w:t>, 2020)</w:t>
      </w:r>
      <w:r w:rsidR="00C27160" w:rsidRPr="00E5169F">
        <w:rPr>
          <w:rFonts w:asciiTheme="majorBidi" w:hAnsiTheme="majorBidi" w:cstheme="majorBidi"/>
          <w:sz w:val="24"/>
          <w:szCs w:val="24"/>
        </w:rPr>
        <w:t>.</w:t>
      </w:r>
    </w:p>
    <w:p w14:paraId="0AF927DC" w14:textId="77777777" w:rsidR="006B7F5D" w:rsidRPr="00E5169F" w:rsidRDefault="006B7F5D" w:rsidP="00706A12">
      <w:pPr>
        <w:spacing w:after="0" w:line="360" w:lineRule="auto"/>
        <w:ind w:firstLine="720"/>
        <w:contextualSpacing/>
        <w:rPr>
          <w:rFonts w:asciiTheme="majorBidi" w:hAnsiTheme="majorBidi" w:cstheme="majorBidi"/>
          <w:sz w:val="24"/>
          <w:szCs w:val="24"/>
        </w:rPr>
      </w:pPr>
    </w:p>
    <w:p w14:paraId="137AD0EE" w14:textId="77777777" w:rsidR="00982223" w:rsidRPr="00E5169F" w:rsidRDefault="00665654" w:rsidP="00706A12">
      <w:pPr>
        <w:pStyle w:val="Heading1"/>
        <w:spacing w:before="0" w:line="360" w:lineRule="auto"/>
        <w:contextualSpacing/>
      </w:pPr>
      <w:bookmarkStart w:id="4" w:name="_Toc55146456"/>
      <w:r w:rsidRPr="00E5169F">
        <w:t>Capital Allocation Within Domestic and International Markets</w:t>
      </w:r>
      <w:bookmarkEnd w:id="4"/>
    </w:p>
    <w:p w14:paraId="69AE022A" w14:textId="77777777" w:rsidR="005A0004"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The World Bank has launched its first non-investment </w:t>
      </w:r>
      <w:r w:rsidR="00C57B10" w:rsidRPr="00E5169F">
        <w:rPr>
          <w:rFonts w:asciiTheme="majorBidi" w:hAnsiTheme="majorBidi" w:cstheme="majorBidi"/>
          <w:sz w:val="24"/>
          <w:szCs w:val="24"/>
        </w:rPr>
        <w:t xml:space="preserve">facility of project lending </w:t>
      </w:r>
      <w:r w:rsidRPr="00E5169F">
        <w:rPr>
          <w:rFonts w:asciiTheme="majorBidi" w:hAnsiTheme="majorBidi" w:cstheme="majorBidi"/>
          <w:sz w:val="24"/>
          <w:szCs w:val="24"/>
        </w:rPr>
        <w:t xml:space="preserve">support policy change in </w:t>
      </w:r>
      <w:r w:rsidR="00580388" w:rsidRPr="00E5169F">
        <w:rPr>
          <w:rFonts w:asciiTheme="majorBidi" w:hAnsiTheme="majorBidi" w:cstheme="majorBidi"/>
          <w:sz w:val="24"/>
          <w:szCs w:val="24"/>
        </w:rPr>
        <w:t>beneficiary</w:t>
      </w:r>
      <w:r w:rsidRPr="00E5169F">
        <w:rPr>
          <w:rFonts w:asciiTheme="majorBidi" w:hAnsiTheme="majorBidi" w:cstheme="majorBidi"/>
          <w:sz w:val="24"/>
          <w:szCs w:val="24"/>
        </w:rPr>
        <w:t xml:space="preserve"> countries</w:t>
      </w:r>
      <w:r w:rsidR="00580388" w:rsidRPr="00E5169F">
        <w:rPr>
          <w:rFonts w:asciiTheme="majorBidi" w:hAnsiTheme="majorBidi" w:cstheme="majorBidi"/>
          <w:sz w:val="24"/>
          <w:szCs w:val="24"/>
        </w:rPr>
        <w:t xml:space="preserve"> in 1980</w:t>
      </w:r>
      <w:r w:rsidRPr="00E5169F">
        <w:rPr>
          <w:rFonts w:asciiTheme="majorBidi" w:hAnsiTheme="majorBidi" w:cstheme="majorBidi"/>
          <w:sz w:val="24"/>
          <w:szCs w:val="24"/>
        </w:rPr>
        <w:t>, sometimes r</w:t>
      </w:r>
      <w:r w:rsidR="00C57B10" w:rsidRPr="00E5169F">
        <w:rPr>
          <w:rFonts w:asciiTheme="majorBidi" w:hAnsiTheme="majorBidi" w:cstheme="majorBidi"/>
          <w:sz w:val="24"/>
          <w:szCs w:val="24"/>
        </w:rPr>
        <w:t xml:space="preserve">eferred to as "budget support"; </w:t>
      </w:r>
      <w:r w:rsidR="00C87B24" w:rsidRPr="00E5169F">
        <w:rPr>
          <w:rFonts w:asciiTheme="majorBidi" w:hAnsiTheme="majorBidi" w:cstheme="majorBidi"/>
          <w:sz w:val="24"/>
          <w:szCs w:val="24"/>
        </w:rPr>
        <w:t xml:space="preserve">loans </w:t>
      </w:r>
      <w:proofErr w:type="spellStart"/>
      <w:proofErr w:type="gramStart"/>
      <w:r w:rsidR="00C87B24" w:rsidRPr="00E5169F">
        <w:rPr>
          <w:rFonts w:asciiTheme="majorBidi" w:hAnsiTheme="majorBidi" w:cstheme="majorBidi"/>
          <w:sz w:val="24"/>
          <w:szCs w:val="24"/>
        </w:rPr>
        <w:t>or“</w:t>
      </w:r>
      <w:proofErr w:type="gramEnd"/>
      <w:r w:rsidRPr="00E5169F">
        <w:rPr>
          <w:rFonts w:asciiTheme="majorBidi" w:hAnsiTheme="majorBidi" w:cstheme="majorBidi"/>
          <w:sz w:val="24"/>
          <w:szCs w:val="24"/>
        </w:rPr>
        <w:t>policy</w:t>
      </w:r>
      <w:proofErr w:type="spellEnd"/>
      <w:r w:rsidRPr="00E5169F">
        <w:rPr>
          <w:rFonts w:asciiTheme="majorBidi" w:hAnsiTheme="majorBidi" w:cstheme="majorBidi"/>
          <w:sz w:val="24"/>
          <w:szCs w:val="24"/>
        </w:rPr>
        <w:t xml:space="preserve"> lending</w:t>
      </w:r>
      <w:r w:rsidR="00C87B24" w:rsidRPr="00E5169F">
        <w:rPr>
          <w:rFonts w:asciiTheme="majorBidi" w:hAnsiTheme="majorBidi" w:cstheme="majorBidi"/>
          <w:sz w:val="24"/>
          <w:szCs w:val="24"/>
        </w:rPr>
        <w:t>”</w:t>
      </w:r>
      <w:r w:rsidRPr="00E5169F">
        <w:rPr>
          <w:rFonts w:asciiTheme="majorBidi" w:hAnsiTheme="majorBidi" w:cstheme="majorBidi"/>
          <w:sz w:val="24"/>
          <w:szCs w:val="24"/>
        </w:rPr>
        <w:t>.  Therefore, structural adjustm</w:t>
      </w:r>
      <w:r w:rsidR="00C57B10" w:rsidRPr="00E5169F">
        <w:rPr>
          <w:rFonts w:asciiTheme="majorBidi" w:hAnsiTheme="majorBidi" w:cstheme="majorBidi"/>
          <w:sz w:val="24"/>
          <w:szCs w:val="24"/>
        </w:rPr>
        <w:t xml:space="preserve">ent loans are planned, </w:t>
      </w:r>
      <w:r w:rsidR="002F2290" w:rsidRPr="00E5169F">
        <w:rPr>
          <w:rFonts w:asciiTheme="majorBidi" w:hAnsiTheme="majorBidi" w:cstheme="majorBidi"/>
          <w:sz w:val="24"/>
          <w:szCs w:val="24"/>
        </w:rPr>
        <w:t xml:space="preserve">which is </w:t>
      </w:r>
      <w:r w:rsidRPr="00E5169F">
        <w:rPr>
          <w:rFonts w:asciiTheme="majorBidi" w:hAnsiTheme="majorBidi" w:cstheme="majorBidi"/>
          <w:sz w:val="24"/>
          <w:szCs w:val="24"/>
        </w:rPr>
        <w:t>a</w:t>
      </w:r>
      <w:r w:rsidR="002F2290" w:rsidRPr="00E5169F">
        <w:rPr>
          <w:rFonts w:asciiTheme="majorBidi" w:hAnsiTheme="majorBidi" w:cstheme="majorBidi"/>
          <w:sz w:val="24"/>
          <w:szCs w:val="24"/>
        </w:rPr>
        <w:t>n updated</w:t>
      </w:r>
      <w:r w:rsidRPr="00E5169F">
        <w:rPr>
          <w:rFonts w:asciiTheme="majorBidi" w:hAnsiTheme="majorBidi" w:cstheme="majorBidi"/>
          <w:sz w:val="24"/>
          <w:szCs w:val="24"/>
        </w:rPr>
        <w:t xml:space="preserve"> lending program with which the bank would try to</w:t>
      </w:r>
      <w:r w:rsidR="000065FE" w:rsidRPr="00E5169F">
        <w:rPr>
          <w:rFonts w:asciiTheme="majorBidi" w:hAnsiTheme="majorBidi" w:cstheme="majorBidi"/>
          <w:sz w:val="24"/>
          <w:szCs w:val="24"/>
        </w:rPr>
        <w:t xml:space="preserve"> help governments overcome </w:t>
      </w:r>
      <w:r w:rsidR="006256E2" w:rsidRPr="00E5169F">
        <w:rPr>
          <w:rFonts w:asciiTheme="majorBidi" w:hAnsiTheme="majorBidi" w:cstheme="majorBidi"/>
          <w:sz w:val="24"/>
          <w:szCs w:val="24"/>
        </w:rPr>
        <w:t>this</w:t>
      </w:r>
      <w:r w:rsidR="006256E2" w:rsidRPr="00E5169F">
        <w:rPr>
          <w:rFonts w:asciiTheme="majorBidi" w:hAnsiTheme="majorBidi" w:cstheme="majorBidi"/>
          <w:color w:val="222222"/>
          <w:sz w:val="24"/>
          <w:szCs w:val="24"/>
          <w:shd w:val="clear" w:color="auto" w:fill="FFFFFF"/>
        </w:rPr>
        <w:t xml:space="preserve"> (</w:t>
      </w:r>
      <w:proofErr w:type="spellStart"/>
      <w:r w:rsidR="00957816" w:rsidRPr="00E5169F">
        <w:rPr>
          <w:rFonts w:asciiTheme="majorBidi" w:hAnsiTheme="majorBidi" w:cstheme="majorBidi"/>
          <w:color w:val="222222"/>
          <w:sz w:val="24"/>
          <w:szCs w:val="24"/>
          <w:shd w:val="clear" w:color="auto" w:fill="FFFFFF"/>
        </w:rPr>
        <w:t>Dimitropoulos</w:t>
      </w:r>
      <w:proofErr w:type="spellEnd"/>
      <w:r w:rsidR="00957816" w:rsidRPr="00E5169F">
        <w:rPr>
          <w:rFonts w:asciiTheme="majorBidi" w:hAnsiTheme="majorBidi" w:cstheme="majorBidi"/>
          <w:color w:val="222222"/>
          <w:sz w:val="24"/>
          <w:szCs w:val="24"/>
          <w:shd w:val="clear" w:color="auto" w:fill="FFFFFF"/>
        </w:rPr>
        <w:t>, 2020)</w:t>
      </w:r>
      <w:r w:rsidR="00DA6999" w:rsidRPr="00E5169F">
        <w:rPr>
          <w:rFonts w:asciiTheme="majorBidi" w:hAnsiTheme="majorBidi" w:cstheme="majorBidi"/>
          <w:sz w:val="24"/>
          <w:szCs w:val="24"/>
        </w:rPr>
        <w:t xml:space="preserve">. </w:t>
      </w:r>
      <w:r w:rsidRPr="00E5169F">
        <w:rPr>
          <w:rFonts w:asciiTheme="majorBidi" w:hAnsiTheme="majorBidi" w:cstheme="majorBidi"/>
          <w:sz w:val="24"/>
          <w:szCs w:val="24"/>
        </w:rPr>
        <w:t>The basic idea was that if such structural barriers were r</w:t>
      </w:r>
      <w:r w:rsidR="00C57B10" w:rsidRPr="00E5169F">
        <w:rPr>
          <w:rFonts w:asciiTheme="majorBidi" w:hAnsiTheme="majorBidi" w:cstheme="majorBidi"/>
          <w:sz w:val="24"/>
          <w:szCs w:val="24"/>
        </w:rPr>
        <w:t xml:space="preserve">emoved, the economy would do so </w:t>
      </w:r>
      <w:r w:rsidRPr="00E5169F">
        <w:rPr>
          <w:rFonts w:asciiTheme="majorBidi" w:hAnsiTheme="majorBidi" w:cstheme="majorBidi"/>
          <w:sz w:val="24"/>
          <w:szCs w:val="24"/>
        </w:rPr>
        <w:t xml:space="preserve">embark on </w:t>
      </w:r>
      <w:r w:rsidR="00C57B10" w:rsidRPr="00E5169F">
        <w:rPr>
          <w:rFonts w:asciiTheme="majorBidi" w:hAnsiTheme="majorBidi" w:cstheme="majorBidi"/>
          <w:sz w:val="24"/>
          <w:szCs w:val="24"/>
        </w:rPr>
        <w:t xml:space="preserve">a more sustainable growth path. </w:t>
      </w:r>
      <w:r w:rsidRPr="00E5169F">
        <w:rPr>
          <w:rFonts w:asciiTheme="majorBidi" w:hAnsiTheme="majorBidi" w:cstheme="majorBidi"/>
          <w:sz w:val="24"/>
          <w:szCs w:val="24"/>
        </w:rPr>
        <w:t>These loans have five special features compared to investme</w:t>
      </w:r>
      <w:r w:rsidR="00753A28" w:rsidRPr="00E5169F">
        <w:rPr>
          <w:rFonts w:asciiTheme="majorBidi" w:hAnsiTheme="majorBidi" w:cstheme="majorBidi"/>
          <w:sz w:val="24"/>
          <w:szCs w:val="24"/>
        </w:rPr>
        <w:t xml:space="preserve">nt projects: </w:t>
      </w:r>
      <w:r w:rsidR="00C57B10" w:rsidRPr="00E5169F">
        <w:rPr>
          <w:rFonts w:asciiTheme="majorBidi" w:hAnsiTheme="majorBidi" w:cstheme="majorBidi"/>
          <w:sz w:val="24"/>
          <w:szCs w:val="24"/>
        </w:rPr>
        <w:t xml:space="preserve"> that the funds </w:t>
      </w:r>
      <w:r w:rsidRPr="00E5169F">
        <w:rPr>
          <w:rFonts w:asciiTheme="majorBidi" w:hAnsiTheme="majorBidi" w:cstheme="majorBidi"/>
          <w:sz w:val="24"/>
          <w:szCs w:val="24"/>
        </w:rPr>
        <w:t>disbursed much more quickly,</w:t>
      </w:r>
      <w:r w:rsidR="00C57B10" w:rsidRPr="00E5169F">
        <w:rPr>
          <w:rFonts w:asciiTheme="majorBidi" w:hAnsiTheme="majorBidi" w:cstheme="majorBidi"/>
          <w:sz w:val="24"/>
          <w:szCs w:val="24"/>
        </w:rPr>
        <w:t xml:space="preserve"> in one or more </w:t>
      </w:r>
      <w:r w:rsidR="00487F55" w:rsidRPr="00E5169F">
        <w:rPr>
          <w:rFonts w:asciiTheme="majorBidi" w:hAnsiTheme="majorBidi" w:cstheme="majorBidi"/>
          <w:sz w:val="24"/>
          <w:szCs w:val="24"/>
        </w:rPr>
        <w:t>instalments</w:t>
      </w:r>
      <w:r w:rsidR="00C57B10" w:rsidRPr="00E5169F">
        <w:rPr>
          <w:rFonts w:asciiTheme="majorBidi" w:hAnsiTheme="majorBidi" w:cstheme="majorBidi"/>
          <w:sz w:val="24"/>
          <w:szCs w:val="24"/>
        </w:rPr>
        <w:t>, a</w:t>
      </w:r>
      <w:r w:rsidRPr="00E5169F">
        <w:rPr>
          <w:rFonts w:asciiTheme="majorBidi" w:hAnsiTheme="majorBidi" w:cstheme="majorBidi"/>
          <w:sz w:val="24"/>
          <w:szCs w:val="24"/>
        </w:rPr>
        <w:t>nd the case of investment projects, following the implementation of the proje</w:t>
      </w:r>
      <w:r w:rsidR="00C57B10" w:rsidRPr="00E5169F">
        <w:rPr>
          <w:rFonts w:asciiTheme="majorBidi" w:hAnsiTheme="majorBidi" w:cstheme="majorBidi"/>
          <w:sz w:val="24"/>
          <w:szCs w:val="24"/>
        </w:rPr>
        <w:t xml:space="preserve">ct; therefore a synonymous term </w:t>
      </w:r>
      <w:r w:rsidR="00753A28" w:rsidRPr="00E5169F">
        <w:rPr>
          <w:rFonts w:asciiTheme="majorBidi" w:hAnsiTheme="majorBidi" w:cstheme="majorBidi"/>
          <w:sz w:val="24"/>
          <w:szCs w:val="24"/>
        </w:rPr>
        <w:t xml:space="preserve">"Quick loans" </w:t>
      </w:r>
      <w:r w:rsidRPr="00E5169F">
        <w:rPr>
          <w:rFonts w:asciiTheme="majorBidi" w:hAnsiTheme="majorBidi" w:cstheme="majorBidi"/>
          <w:sz w:val="24"/>
          <w:szCs w:val="24"/>
        </w:rPr>
        <w:t xml:space="preserve"> the fact that World Bank fund</w:t>
      </w:r>
      <w:r w:rsidR="00C57B10" w:rsidRPr="00E5169F">
        <w:rPr>
          <w:rFonts w:asciiTheme="majorBidi" w:hAnsiTheme="majorBidi" w:cstheme="majorBidi"/>
          <w:sz w:val="24"/>
          <w:szCs w:val="24"/>
        </w:rPr>
        <w:t xml:space="preserve">ing is disbursed to the general </w:t>
      </w:r>
      <w:r w:rsidRPr="00E5169F">
        <w:rPr>
          <w:rFonts w:asciiTheme="majorBidi" w:hAnsiTheme="majorBidi" w:cstheme="majorBidi"/>
          <w:sz w:val="24"/>
          <w:szCs w:val="24"/>
        </w:rPr>
        <w:t>individual procurement contract</w:t>
      </w:r>
      <w:r w:rsidR="00C57B10" w:rsidRPr="00E5169F">
        <w:rPr>
          <w:rFonts w:asciiTheme="majorBidi" w:hAnsiTheme="majorBidi" w:cstheme="majorBidi"/>
          <w:sz w:val="24"/>
          <w:szCs w:val="24"/>
        </w:rPr>
        <w:t xml:space="preserve">s instead of government budgets </w:t>
      </w:r>
      <w:r w:rsidR="00753A28" w:rsidRPr="00E5169F">
        <w:rPr>
          <w:rFonts w:asciiTheme="majorBidi" w:hAnsiTheme="majorBidi" w:cstheme="majorBidi"/>
          <w:sz w:val="24"/>
          <w:szCs w:val="24"/>
        </w:rPr>
        <w:t xml:space="preserve">investment projects; </w:t>
      </w:r>
      <w:r w:rsidRPr="00E5169F">
        <w:rPr>
          <w:rFonts w:asciiTheme="majorBidi" w:hAnsiTheme="majorBidi" w:cstheme="majorBidi"/>
          <w:sz w:val="24"/>
          <w:szCs w:val="24"/>
        </w:rPr>
        <w:t xml:space="preserve"> Agreement betw</w:t>
      </w:r>
      <w:r w:rsidR="00C57B10" w:rsidRPr="00E5169F">
        <w:rPr>
          <w:rFonts w:asciiTheme="majorBidi" w:hAnsiTheme="majorBidi" w:cstheme="majorBidi"/>
          <w:sz w:val="24"/>
          <w:szCs w:val="24"/>
        </w:rPr>
        <w:t xml:space="preserve">een the Government Bank for </w:t>
      </w:r>
      <w:r w:rsidRPr="00E5169F">
        <w:rPr>
          <w:rFonts w:asciiTheme="majorBidi" w:hAnsiTheme="majorBidi" w:cstheme="majorBidi"/>
          <w:sz w:val="24"/>
          <w:szCs w:val="24"/>
        </w:rPr>
        <w:t>macroeconomic and structural policy framew</w:t>
      </w:r>
      <w:r w:rsidR="00C57B10" w:rsidRPr="00E5169F">
        <w:rPr>
          <w:rFonts w:asciiTheme="majorBidi" w:hAnsiTheme="majorBidi" w:cstheme="majorBidi"/>
          <w:sz w:val="24"/>
          <w:szCs w:val="24"/>
        </w:rPr>
        <w:t xml:space="preserve">ork (for which spawning is essential) </w:t>
      </w:r>
      <w:r w:rsidR="00753A28" w:rsidRPr="00E5169F">
        <w:rPr>
          <w:rFonts w:asciiTheme="majorBidi" w:hAnsiTheme="majorBidi" w:cstheme="majorBidi"/>
          <w:sz w:val="24"/>
          <w:szCs w:val="24"/>
        </w:rPr>
        <w:t xml:space="preserve">budget); </w:t>
      </w:r>
      <w:r w:rsidRPr="00E5169F">
        <w:rPr>
          <w:rFonts w:asciiTheme="majorBidi" w:hAnsiTheme="majorBidi" w:cstheme="majorBidi"/>
          <w:sz w:val="24"/>
          <w:szCs w:val="24"/>
        </w:rPr>
        <w:t xml:space="preserve"> the bank's minimum confidence in the public of </w:t>
      </w:r>
      <w:r w:rsidR="00C57B10" w:rsidRPr="00E5169F">
        <w:rPr>
          <w:rFonts w:asciiTheme="majorBidi" w:hAnsiTheme="majorBidi" w:cstheme="majorBidi"/>
          <w:sz w:val="24"/>
          <w:szCs w:val="24"/>
        </w:rPr>
        <w:t xml:space="preserve">the country </w:t>
      </w:r>
      <w:r w:rsidRPr="00E5169F">
        <w:rPr>
          <w:rFonts w:asciiTheme="majorBidi" w:hAnsiTheme="majorBidi" w:cstheme="majorBidi"/>
          <w:sz w:val="24"/>
          <w:szCs w:val="24"/>
        </w:rPr>
        <w:t>financial management systems are capable of man</w:t>
      </w:r>
      <w:r w:rsidR="00C57B10" w:rsidRPr="00E5169F">
        <w:rPr>
          <w:rFonts w:asciiTheme="majorBidi" w:hAnsiTheme="majorBidi" w:cstheme="majorBidi"/>
          <w:sz w:val="24"/>
          <w:szCs w:val="24"/>
        </w:rPr>
        <w:t xml:space="preserve">aging more generous financial support </w:t>
      </w:r>
      <w:r w:rsidRPr="00E5169F">
        <w:rPr>
          <w:rFonts w:asciiTheme="majorBidi" w:hAnsiTheme="majorBidi" w:cstheme="majorBidi"/>
          <w:sz w:val="24"/>
          <w:szCs w:val="24"/>
        </w:rPr>
        <w:t>through it</w:t>
      </w:r>
      <w:r w:rsidR="00753A28" w:rsidRPr="00E5169F">
        <w:rPr>
          <w:rFonts w:asciiTheme="majorBidi" w:hAnsiTheme="majorBidi" w:cstheme="majorBidi"/>
          <w:sz w:val="24"/>
          <w:szCs w:val="24"/>
        </w:rPr>
        <w:t>s general budget system; and</w:t>
      </w:r>
      <w:r w:rsidRPr="00E5169F">
        <w:rPr>
          <w:rFonts w:asciiTheme="majorBidi" w:hAnsiTheme="majorBidi" w:cstheme="majorBidi"/>
          <w:sz w:val="24"/>
          <w:szCs w:val="24"/>
        </w:rPr>
        <w:t xml:space="preserve"> speci</w:t>
      </w:r>
      <w:r w:rsidR="00C57B10" w:rsidRPr="00E5169F">
        <w:rPr>
          <w:rFonts w:asciiTheme="majorBidi" w:hAnsiTheme="majorBidi" w:cstheme="majorBidi"/>
          <w:sz w:val="24"/>
          <w:szCs w:val="24"/>
        </w:rPr>
        <w:t xml:space="preserve">fic feelings, i.e. legal action </w:t>
      </w:r>
      <w:r w:rsidRPr="00E5169F">
        <w:rPr>
          <w:rFonts w:asciiTheme="majorBidi" w:hAnsiTheme="majorBidi" w:cstheme="majorBidi"/>
          <w:sz w:val="24"/>
          <w:szCs w:val="24"/>
        </w:rPr>
        <w:t>important necessary for the country to have access to finance</w:t>
      </w:r>
      <w:r w:rsidR="00957816" w:rsidRPr="00E5169F">
        <w:rPr>
          <w:rFonts w:asciiTheme="majorBidi" w:hAnsiTheme="majorBidi" w:cstheme="majorBidi"/>
          <w:color w:val="222222"/>
          <w:sz w:val="24"/>
          <w:szCs w:val="24"/>
          <w:shd w:val="clear" w:color="auto" w:fill="FFFFFF"/>
        </w:rPr>
        <w:t xml:space="preserve">(Mbengue and </w:t>
      </w:r>
      <w:proofErr w:type="spellStart"/>
      <w:r w:rsidR="00957816" w:rsidRPr="00E5169F">
        <w:rPr>
          <w:rFonts w:asciiTheme="majorBidi" w:hAnsiTheme="majorBidi" w:cstheme="majorBidi"/>
          <w:color w:val="222222"/>
          <w:sz w:val="24"/>
          <w:szCs w:val="24"/>
          <w:shd w:val="clear" w:color="auto" w:fill="FFFFFF"/>
        </w:rPr>
        <w:t>Schacherer</w:t>
      </w:r>
      <w:proofErr w:type="spellEnd"/>
      <w:r w:rsidR="00957816" w:rsidRPr="00E5169F">
        <w:rPr>
          <w:rFonts w:asciiTheme="majorBidi" w:hAnsiTheme="majorBidi" w:cstheme="majorBidi"/>
          <w:color w:val="222222"/>
          <w:sz w:val="24"/>
          <w:szCs w:val="24"/>
          <w:shd w:val="clear" w:color="auto" w:fill="FFFFFF"/>
        </w:rPr>
        <w:t>, 2017)</w:t>
      </w:r>
      <w:r w:rsidR="00614CEA" w:rsidRPr="00E5169F">
        <w:rPr>
          <w:rFonts w:asciiTheme="majorBidi" w:hAnsiTheme="majorBidi" w:cstheme="majorBidi"/>
          <w:sz w:val="24"/>
          <w:szCs w:val="24"/>
        </w:rPr>
        <w:t>.</w:t>
      </w:r>
    </w:p>
    <w:p w14:paraId="5395FEF1" w14:textId="77777777" w:rsidR="006F451E"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Regional Trade Agreements (RTAs) control more than half of international trade, functioning in compliance with global multilateral arrangements under the World Trade Organization (WTO). Recently, many countries have actively sought to develop new, often more modern and progressive, bilateral and regional trade agreements aimed at increasing trade and </w:t>
      </w:r>
      <w:r w:rsidRPr="00E5169F">
        <w:rPr>
          <w:rFonts w:asciiTheme="majorBidi" w:hAnsiTheme="majorBidi" w:cstheme="majorBidi"/>
          <w:sz w:val="24"/>
          <w:szCs w:val="24"/>
        </w:rPr>
        <w:lastRenderedPageBreak/>
        <w:t xml:space="preserve">boosting economic development. In part, the current proliferation of RTAs reflects the need for greater integration than has been accomplished in previous multilateral agreements </w:t>
      </w:r>
      <w:r w:rsidRPr="00E5169F">
        <w:rPr>
          <w:rFonts w:asciiTheme="majorBidi" w:hAnsiTheme="majorBidi" w:cstheme="majorBidi"/>
          <w:color w:val="222222"/>
          <w:sz w:val="24"/>
          <w:szCs w:val="24"/>
          <w:shd w:val="clear" w:color="auto" w:fill="FFFFFF"/>
        </w:rPr>
        <w:t>(Fitzgerald et al., 2019)</w:t>
      </w:r>
      <w:r w:rsidRPr="00E5169F">
        <w:rPr>
          <w:rFonts w:asciiTheme="majorBidi" w:hAnsiTheme="majorBidi" w:cstheme="majorBidi"/>
          <w:sz w:val="24"/>
          <w:szCs w:val="24"/>
        </w:rPr>
        <w:t xml:space="preserve">. The multilateral trading system can be complementary to the extent that the RTAs go beyond WTO commitments and remain open to additional participation by countries committed to meeting their goals. The number and scope of regional trade agreements (RTAs) have risen over the years, including a notable rise in the broad multilateral contracts being negotiated. One of the core principles of the WTO is non-discrimination between trading partners. Still, RTAs, which are reciprocal preferential trade agreements between two or more trading partners, constitute one of the exemptions and are permitted under the WTO in compliance with a set of regulations </w:t>
      </w:r>
      <w:r w:rsidRPr="00E5169F">
        <w:rPr>
          <w:rFonts w:asciiTheme="majorBidi" w:hAnsiTheme="majorBidi" w:cstheme="majorBidi"/>
          <w:color w:val="222222"/>
          <w:sz w:val="24"/>
          <w:szCs w:val="24"/>
          <w:shd w:val="clear" w:color="auto" w:fill="FFFFFF"/>
        </w:rPr>
        <w:t>(KAGUNDA, 2017)</w:t>
      </w:r>
      <w:r w:rsidRPr="00E5169F">
        <w:rPr>
          <w:rFonts w:asciiTheme="majorBidi" w:hAnsiTheme="majorBidi" w:cstheme="majorBidi"/>
          <w:sz w:val="24"/>
          <w:szCs w:val="24"/>
        </w:rPr>
        <w:t xml:space="preserve">. </w:t>
      </w:r>
    </w:p>
    <w:p w14:paraId="3C623CCA" w14:textId="77777777" w:rsidR="00957816" w:rsidRPr="00E5169F" w:rsidRDefault="00957816" w:rsidP="00706A12">
      <w:pPr>
        <w:spacing w:after="0" w:line="360" w:lineRule="auto"/>
        <w:contextualSpacing/>
        <w:rPr>
          <w:rFonts w:asciiTheme="majorBidi" w:hAnsiTheme="majorBidi" w:cstheme="majorBidi"/>
          <w:sz w:val="24"/>
          <w:szCs w:val="24"/>
        </w:rPr>
      </w:pPr>
    </w:p>
    <w:p w14:paraId="1FC2F809" w14:textId="77777777" w:rsidR="002F2290" w:rsidRPr="00E5169F" w:rsidRDefault="00665654" w:rsidP="00706A12">
      <w:pPr>
        <w:pStyle w:val="Heading2"/>
        <w:spacing w:before="0" w:line="360" w:lineRule="auto"/>
        <w:contextualSpacing/>
      </w:pPr>
      <w:bookmarkStart w:id="5" w:name="_Toc55146457"/>
      <w:r w:rsidRPr="00E5169F">
        <w:t>Investment Treaties between States</w:t>
      </w:r>
      <w:bookmarkEnd w:id="5"/>
    </w:p>
    <w:p w14:paraId="15B24544" w14:textId="77777777" w:rsidR="00932187"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By the end of 1991, the majority of the treaties were concluded. Nearly all OECD countries and over 75 developing countries are involved, out of the 253 treaties examined. As with the other historical studies, the one on Parts offers tabular analyses and remarks on the application of the Treaties to the critical areas of study (admission, treatment, expropriation and dispute </w:t>
      </w:r>
      <w:proofErr w:type="gramStart"/>
      <w:r w:rsidRPr="00E5169F">
        <w:rPr>
          <w:rFonts w:asciiTheme="majorBidi" w:hAnsiTheme="majorBidi" w:cstheme="majorBidi"/>
          <w:sz w:val="24"/>
          <w:szCs w:val="24"/>
        </w:rPr>
        <w:t>resolution)</w:t>
      </w:r>
      <w:r w:rsidR="00957816" w:rsidRPr="00E5169F">
        <w:rPr>
          <w:rFonts w:asciiTheme="majorBidi" w:hAnsiTheme="majorBidi" w:cstheme="majorBidi"/>
          <w:color w:val="222222"/>
          <w:sz w:val="24"/>
          <w:szCs w:val="24"/>
          <w:shd w:val="clear" w:color="auto" w:fill="FFFFFF"/>
        </w:rPr>
        <w:t>(</w:t>
      </w:r>
      <w:proofErr w:type="gramEnd"/>
      <w:r w:rsidR="00957816" w:rsidRPr="00E5169F">
        <w:rPr>
          <w:rFonts w:asciiTheme="majorBidi" w:hAnsiTheme="majorBidi" w:cstheme="majorBidi"/>
          <w:color w:val="222222"/>
          <w:sz w:val="24"/>
          <w:szCs w:val="24"/>
          <w:shd w:val="clear" w:color="auto" w:fill="FFFFFF"/>
        </w:rPr>
        <w:t xml:space="preserve">Mbengue and </w:t>
      </w:r>
      <w:proofErr w:type="spellStart"/>
      <w:r w:rsidR="00957816" w:rsidRPr="00E5169F">
        <w:rPr>
          <w:rFonts w:asciiTheme="majorBidi" w:hAnsiTheme="majorBidi" w:cstheme="majorBidi"/>
          <w:color w:val="222222"/>
          <w:sz w:val="24"/>
          <w:szCs w:val="24"/>
          <w:shd w:val="clear" w:color="auto" w:fill="FFFFFF"/>
        </w:rPr>
        <w:t>Schacherer</w:t>
      </w:r>
      <w:proofErr w:type="spellEnd"/>
      <w:r w:rsidR="00957816" w:rsidRPr="00E5169F">
        <w:rPr>
          <w:rFonts w:asciiTheme="majorBidi" w:hAnsiTheme="majorBidi" w:cstheme="majorBidi"/>
          <w:color w:val="222222"/>
          <w:sz w:val="24"/>
          <w:szCs w:val="24"/>
          <w:shd w:val="clear" w:color="auto" w:fill="FFFFFF"/>
        </w:rPr>
        <w:t>, 2017)</w:t>
      </w:r>
      <w:r w:rsidRPr="00E5169F">
        <w:rPr>
          <w:rFonts w:asciiTheme="majorBidi" w:hAnsiTheme="majorBidi" w:cstheme="majorBidi"/>
          <w:sz w:val="24"/>
          <w:szCs w:val="24"/>
        </w:rPr>
        <w:t>.</w:t>
      </w:r>
      <w:r w:rsidR="007D39D4" w:rsidRPr="00E5169F">
        <w:rPr>
          <w:rFonts w:asciiTheme="majorBidi" w:hAnsiTheme="majorBidi" w:cstheme="majorBidi"/>
          <w:sz w:val="24"/>
          <w:szCs w:val="24"/>
        </w:rPr>
        <w:t xml:space="preserve"> The investment treaties are the international contracts </w:t>
      </w:r>
      <w:r w:rsidR="003774D3" w:rsidRPr="00E5169F">
        <w:rPr>
          <w:rFonts w:asciiTheme="majorBidi" w:hAnsiTheme="majorBidi" w:cstheme="majorBidi"/>
          <w:sz w:val="24"/>
          <w:szCs w:val="24"/>
        </w:rPr>
        <w:t>that take place countries that regulate the flow of foreign direct investment (FDI), putting a positive effect on the economies.</w:t>
      </w:r>
      <w:r w:rsidR="008249D2" w:rsidRPr="00E5169F">
        <w:rPr>
          <w:rFonts w:asciiTheme="majorBidi" w:hAnsiTheme="majorBidi" w:cstheme="majorBidi"/>
          <w:sz w:val="24"/>
          <w:szCs w:val="24"/>
        </w:rPr>
        <w:t xml:space="preserve"> Such agreements can be in the form of "Bilateral Trade Agreement" or a "Free Trade Agreement (FTA)".</w:t>
      </w:r>
      <w:r w:rsidR="005433D5" w:rsidRPr="00E5169F">
        <w:rPr>
          <w:rFonts w:asciiTheme="majorBidi" w:hAnsiTheme="majorBidi" w:cstheme="majorBidi"/>
          <w:sz w:val="24"/>
          <w:szCs w:val="24"/>
        </w:rPr>
        <w:t xml:space="preserve"> Besides, the contract can be among a particular bloc, such as the "North American Free Trade Treaty (NAFTA)".</w:t>
      </w:r>
      <w:r w:rsidR="00A11D1D" w:rsidRPr="00E5169F">
        <w:rPr>
          <w:rFonts w:asciiTheme="majorBidi" w:hAnsiTheme="majorBidi" w:cstheme="majorBidi"/>
          <w:sz w:val="24"/>
          <w:szCs w:val="24"/>
        </w:rPr>
        <w:t xml:space="preserve"> However, some specific terms and provisions may vary according to the nature of the </w:t>
      </w:r>
      <w:r w:rsidR="0002180E" w:rsidRPr="00E5169F">
        <w:rPr>
          <w:rFonts w:asciiTheme="majorBidi" w:hAnsiTheme="majorBidi" w:cstheme="majorBidi"/>
          <w:sz w:val="24"/>
          <w:szCs w:val="24"/>
        </w:rPr>
        <w:t>treaty.</w:t>
      </w:r>
      <w:r w:rsidRPr="00E5169F">
        <w:rPr>
          <w:rFonts w:asciiTheme="majorBidi" w:hAnsiTheme="majorBidi" w:cstheme="majorBidi"/>
          <w:sz w:val="24"/>
          <w:szCs w:val="24"/>
        </w:rPr>
        <w:t xml:space="preserve"> The substantive protections that the host State undertakes to provide for such secured foreign investment would then be stated in the investment treaty, having defined what constitutes a covered "investor". A covered "investment." Although the exact conditions vary from treaty to treaty; investment treaties commonly establish several standard protections that may include the following: </w:t>
      </w:r>
    </w:p>
    <w:p w14:paraId="73180CEE" w14:textId="77777777" w:rsidR="00962654" w:rsidRDefault="00962654" w:rsidP="00706A12">
      <w:pPr>
        <w:spacing w:after="0" w:line="360" w:lineRule="auto"/>
        <w:ind w:firstLine="720"/>
        <w:contextualSpacing/>
        <w:rPr>
          <w:rFonts w:asciiTheme="majorBidi" w:hAnsiTheme="majorBidi" w:cstheme="majorBidi"/>
          <w:sz w:val="24"/>
          <w:szCs w:val="24"/>
        </w:rPr>
      </w:pPr>
    </w:p>
    <w:p w14:paraId="7CB4EE62" w14:textId="77777777" w:rsidR="00962654" w:rsidRPr="00E5169F" w:rsidRDefault="00962654" w:rsidP="00706A12">
      <w:pPr>
        <w:spacing w:after="0" w:line="360" w:lineRule="auto"/>
        <w:ind w:firstLine="720"/>
        <w:contextualSpacing/>
        <w:rPr>
          <w:rFonts w:asciiTheme="majorBidi" w:hAnsiTheme="majorBidi" w:cstheme="majorBidi"/>
          <w:sz w:val="24"/>
          <w:szCs w:val="24"/>
        </w:rPr>
      </w:pPr>
    </w:p>
    <w:p w14:paraId="442A2368" w14:textId="77777777" w:rsidR="00740FFF" w:rsidRPr="00E5169F" w:rsidRDefault="00665654" w:rsidP="00706A12">
      <w:pPr>
        <w:spacing w:after="0" w:line="360" w:lineRule="auto"/>
        <w:contextualSpacing/>
        <w:rPr>
          <w:rStyle w:val="Strong"/>
          <w:rFonts w:asciiTheme="majorBidi" w:hAnsiTheme="majorBidi" w:cstheme="majorBidi"/>
          <w:b w:val="0"/>
          <w:bCs w:val="0"/>
          <w:i/>
          <w:iCs/>
          <w:color w:val="000000" w:themeColor="text1"/>
          <w:sz w:val="24"/>
          <w:szCs w:val="24"/>
          <w:shd w:val="clear" w:color="auto" w:fill="FFFFFF"/>
        </w:rPr>
      </w:pPr>
      <w:r w:rsidRPr="00E5169F">
        <w:rPr>
          <w:rStyle w:val="Strong"/>
          <w:rFonts w:asciiTheme="majorBidi" w:hAnsiTheme="majorBidi" w:cstheme="majorBidi"/>
          <w:b w:val="0"/>
          <w:bCs w:val="0"/>
          <w:i/>
          <w:iCs/>
          <w:color w:val="000000" w:themeColor="text1"/>
          <w:sz w:val="24"/>
          <w:szCs w:val="24"/>
          <w:shd w:val="clear" w:color="auto" w:fill="FFFFFF"/>
        </w:rPr>
        <w:t>Non-contingent protections</w:t>
      </w:r>
    </w:p>
    <w:p w14:paraId="1F9D25B9" w14:textId="77777777" w:rsidR="006B7F5D"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Many investment treaties set down critical care requirements that must be fulfilled by the host state accepting the </w:t>
      </w:r>
      <w:proofErr w:type="gramStart"/>
      <w:r w:rsidRPr="00E5169F">
        <w:rPr>
          <w:rFonts w:asciiTheme="majorBidi" w:hAnsiTheme="majorBidi" w:cstheme="majorBidi"/>
          <w:sz w:val="24"/>
          <w:szCs w:val="24"/>
        </w:rPr>
        <w:t>investment</w:t>
      </w:r>
      <w:r w:rsidR="00957816" w:rsidRPr="00E5169F">
        <w:rPr>
          <w:rFonts w:asciiTheme="majorBidi" w:hAnsiTheme="majorBidi" w:cstheme="majorBidi"/>
          <w:color w:val="222222"/>
          <w:sz w:val="24"/>
          <w:szCs w:val="24"/>
          <w:shd w:val="clear" w:color="auto" w:fill="FFFFFF"/>
        </w:rPr>
        <w:t>(</w:t>
      </w:r>
      <w:proofErr w:type="gramEnd"/>
      <w:r w:rsidR="00957816" w:rsidRPr="00E5169F">
        <w:rPr>
          <w:rFonts w:asciiTheme="majorBidi" w:hAnsiTheme="majorBidi" w:cstheme="majorBidi"/>
          <w:color w:val="222222"/>
          <w:sz w:val="24"/>
          <w:szCs w:val="24"/>
          <w:shd w:val="clear" w:color="auto" w:fill="FFFFFF"/>
        </w:rPr>
        <w:t>Huang et al., 2018)</w:t>
      </w:r>
      <w:r w:rsidRPr="00E5169F">
        <w:rPr>
          <w:rFonts w:asciiTheme="majorBidi" w:hAnsiTheme="majorBidi" w:cstheme="majorBidi"/>
          <w:sz w:val="24"/>
          <w:szCs w:val="24"/>
        </w:rPr>
        <w:t>.</w:t>
      </w:r>
    </w:p>
    <w:p w14:paraId="6ABCF4FC" w14:textId="77777777" w:rsidR="00962654" w:rsidRPr="00E5169F" w:rsidRDefault="00962654" w:rsidP="00706A12">
      <w:pPr>
        <w:spacing w:after="0" w:line="360" w:lineRule="auto"/>
        <w:ind w:firstLine="720"/>
        <w:contextualSpacing/>
        <w:rPr>
          <w:rFonts w:asciiTheme="majorBidi" w:hAnsiTheme="majorBidi" w:cstheme="majorBidi"/>
          <w:sz w:val="24"/>
          <w:szCs w:val="24"/>
        </w:rPr>
      </w:pPr>
    </w:p>
    <w:p w14:paraId="6E0F4C06" w14:textId="77777777" w:rsidR="00FB122D" w:rsidRPr="00E5169F" w:rsidRDefault="00665654" w:rsidP="00706A12">
      <w:pPr>
        <w:pStyle w:val="Heading2"/>
        <w:spacing w:before="0" w:line="360" w:lineRule="auto"/>
        <w:contextualSpacing/>
      </w:pPr>
      <w:bookmarkStart w:id="6" w:name="_Toc55146458"/>
      <w:r w:rsidRPr="00E5169F">
        <w:t>Contingent Protections</w:t>
      </w:r>
      <w:bookmarkEnd w:id="6"/>
    </w:p>
    <w:p w14:paraId="5BE47245" w14:textId="77777777" w:rsidR="00BF4140"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t xml:space="preserve">In the </w:t>
      </w:r>
      <w:r w:rsidR="007F1DB5" w:rsidRPr="00E5169F">
        <w:rPr>
          <w:rFonts w:asciiTheme="majorBidi" w:hAnsiTheme="majorBidi" w:cstheme="majorBidi"/>
          <w:sz w:val="24"/>
          <w:szCs w:val="24"/>
        </w:rPr>
        <w:t>contingent protections</w:t>
      </w:r>
      <w:r w:rsidRPr="00E5169F">
        <w:rPr>
          <w:rFonts w:asciiTheme="majorBidi" w:hAnsiTheme="majorBidi" w:cstheme="majorBidi"/>
          <w:sz w:val="24"/>
          <w:szCs w:val="24"/>
        </w:rPr>
        <w:t xml:space="preserve">, the investment aid is granted to a dependent member of the aid scheme and is subject to the conditions for the protection of other investors. These provisions include me.  In the case of NMF, a particular element of </w:t>
      </w:r>
      <w:proofErr w:type="spellStart"/>
      <w:r w:rsidRPr="00E5169F">
        <w:rPr>
          <w:rFonts w:asciiTheme="majorBidi" w:hAnsiTheme="majorBidi" w:cstheme="majorBidi"/>
          <w:sz w:val="24"/>
          <w:szCs w:val="24"/>
        </w:rPr>
        <w:t>valioso</w:t>
      </w:r>
      <w:proofErr w:type="spellEnd"/>
      <w:r w:rsidRPr="00E5169F">
        <w:rPr>
          <w:rFonts w:asciiTheme="majorBidi" w:hAnsiTheme="majorBidi" w:cstheme="majorBidi"/>
          <w:sz w:val="24"/>
          <w:szCs w:val="24"/>
        </w:rPr>
        <w:t xml:space="preserve"> that allows the beneficial owner to invest cannot be considered as an investment by investors in the state of </w:t>
      </w:r>
      <w:proofErr w:type="gramStart"/>
      <w:r w:rsidRPr="00E5169F">
        <w:rPr>
          <w:rFonts w:asciiTheme="majorBidi" w:hAnsiTheme="majorBidi" w:cstheme="majorBidi"/>
          <w:sz w:val="24"/>
          <w:szCs w:val="24"/>
        </w:rPr>
        <w:t>investigation</w:t>
      </w:r>
      <w:r w:rsidR="00957816" w:rsidRPr="00E5169F">
        <w:rPr>
          <w:rFonts w:asciiTheme="majorBidi" w:hAnsiTheme="majorBidi" w:cstheme="majorBidi"/>
          <w:color w:val="222222"/>
          <w:sz w:val="24"/>
          <w:szCs w:val="24"/>
          <w:shd w:val="clear" w:color="auto" w:fill="FFFFFF"/>
        </w:rPr>
        <w:t>(</w:t>
      </w:r>
      <w:proofErr w:type="spellStart"/>
      <w:proofErr w:type="gramEnd"/>
      <w:r w:rsidR="00957816" w:rsidRPr="00E5169F">
        <w:rPr>
          <w:rFonts w:asciiTheme="majorBidi" w:hAnsiTheme="majorBidi" w:cstheme="majorBidi"/>
          <w:color w:val="222222"/>
          <w:sz w:val="24"/>
          <w:szCs w:val="24"/>
          <w:shd w:val="clear" w:color="auto" w:fill="FFFFFF"/>
        </w:rPr>
        <w:t>Dimitropoulos</w:t>
      </w:r>
      <w:proofErr w:type="spellEnd"/>
      <w:r w:rsidR="00957816" w:rsidRPr="00E5169F">
        <w:rPr>
          <w:rFonts w:asciiTheme="majorBidi" w:hAnsiTheme="majorBidi" w:cstheme="majorBidi"/>
          <w:color w:val="222222"/>
          <w:sz w:val="24"/>
          <w:szCs w:val="24"/>
          <w:shd w:val="clear" w:color="auto" w:fill="FFFFFF"/>
        </w:rPr>
        <w:t>, 2020)</w:t>
      </w:r>
      <w:r w:rsidRPr="00E5169F">
        <w:rPr>
          <w:rFonts w:asciiTheme="majorBidi" w:hAnsiTheme="majorBidi" w:cstheme="majorBidi"/>
          <w:sz w:val="24"/>
          <w:szCs w:val="24"/>
        </w:rPr>
        <w:t>.</w:t>
      </w:r>
    </w:p>
    <w:p w14:paraId="6600B714" w14:textId="77777777" w:rsidR="00962654" w:rsidRPr="00E5169F" w:rsidRDefault="00962654" w:rsidP="00706A12">
      <w:pPr>
        <w:spacing w:after="0" w:line="360" w:lineRule="auto"/>
        <w:contextualSpacing/>
        <w:rPr>
          <w:rFonts w:asciiTheme="majorBidi" w:hAnsiTheme="majorBidi" w:cstheme="majorBidi"/>
          <w:sz w:val="24"/>
          <w:szCs w:val="24"/>
        </w:rPr>
      </w:pPr>
    </w:p>
    <w:p w14:paraId="447C5754" w14:textId="77777777" w:rsidR="00EF401D" w:rsidRPr="00E5169F" w:rsidRDefault="00665654" w:rsidP="00706A12">
      <w:pPr>
        <w:pStyle w:val="Heading2"/>
        <w:spacing w:before="0" w:line="360" w:lineRule="auto"/>
        <w:contextualSpacing/>
      </w:pPr>
      <w:bookmarkStart w:id="7" w:name="_Toc55146459"/>
      <w:r w:rsidRPr="00E5169F">
        <w:t xml:space="preserve">Protection </w:t>
      </w:r>
      <w:proofErr w:type="spellStart"/>
      <w:r w:rsidR="00C238AB" w:rsidRPr="00E5169F">
        <w:t>against</w:t>
      </w:r>
      <w:r w:rsidR="00D84A46" w:rsidRPr="00E5169F">
        <w:t>Expropriation</w:t>
      </w:r>
      <w:bookmarkEnd w:id="7"/>
      <w:proofErr w:type="spellEnd"/>
    </w:p>
    <w:p w14:paraId="712EFBEB" w14:textId="77777777" w:rsidR="00C238AB"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The terms "expropriation" and "government" are defined to define investment for the benefit of the Community as a link between the economy and the econo</w:t>
      </w:r>
      <w:r w:rsidR="00416685" w:rsidRPr="00E5169F">
        <w:rPr>
          <w:rFonts w:asciiTheme="majorBidi" w:hAnsiTheme="majorBidi" w:cstheme="majorBidi"/>
          <w:sz w:val="24"/>
          <w:szCs w:val="24"/>
        </w:rPr>
        <w:t xml:space="preserve">mic interest in the </w:t>
      </w:r>
      <w:r w:rsidRPr="00E5169F">
        <w:rPr>
          <w:rFonts w:asciiTheme="majorBidi" w:hAnsiTheme="majorBidi" w:cstheme="majorBidi"/>
          <w:sz w:val="24"/>
          <w:szCs w:val="24"/>
        </w:rPr>
        <w:t xml:space="preserve">acquisition and takeover. To expropriate and expropriate certain features of the customs market, investments in the free movement of food must be made under the rules on </w:t>
      </w:r>
      <w:r w:rsidR="00957816" w:rsidRPr="00E5169F">
        <w:rPr>
          <w:rFonts w:asciiTheme="majorBidi" w:hAnsiTheme="majorBidi" w:cstheme="majorBidi"/>
          <w:sz w:val="24"/>
          <w:szCs w:val="24"/>
        </w:rPr>
        <w:t xml:space="preserve">seizure </w:t>
      </w:r>
      <w:r w:rsidR="00957816" w:rsidRPr="00E5169F">
        <w:rPr>
          <w:rFonts w:asciiTheme="majorBidi" w:hAnsiTheme="majorBidi" w:cstheme="majorBidi"/>
          <w:color w:val="222222"/>
          <w:sz w:val="24"/>
          <w:szCs w:val="24"/>
          <w:shd w:val="clear" w:color="auto" w:fill="FFFFFF"/>
        </w:rPr>
        <w:t>(Mbengue, 2017)</w:t>
      </w:r>
      <w:r w:rsidR="00962654">
        <w:rPr>
          <w:rFonts w:asciiTheme="majorBidi" w:hAnsiTheme="majorBidi" w:cstheme="majorBidi"/>
          <w:sz w:val="24"/>
          <w:szCs w:val="24"/>
        </w:rPr>
        <w:t>.</w:t>
      </w:r>
    </w:p>
    <w:p w14:paraId="32834E5F" w14:textId="77777777" w:rsidR="00962654" w:rsidRPr="00E5169F" w:rsidRDefault="00962654" w:rsidP="00706A12">
      <w:pPr>
        <w:spacing w:after="0" w:line="360" w:lineRule="auto"/>
        <w:ind w:firstLine="720"/>
        <w:contextualSpacing/>
        <w:rPr>
          <w:rFonts w:asciiTheme="majorBidi" w:hAnsiTheme="majorBidi" w:cstheme="majorBidi"/>
          <w:sz w:val="24"/>
          <w:szCs w:val="24"/>
        </w:rPr>
      </w:pPr>
    </w:p>
    <w:p w14:paraId="726270D8" w14:textId="77777777" w:rsidR="00962654" w:rsidRPr="00962654" w:rsidRDefault="00665654" w:rsidP="00706A12">
      <w:pPr>
        <w:pStyle w:val="Heading2"/>
        <w:spacing w:before="0" w:line="360" w:lineRule="auto"/>
        <w:contextualSpacing/>
      </w:pPr>
      <w:bookmarkStart w:id="8" w:name="_Toc55146460"/>
      <w:r w:rsidRPr="00E5169F">
        <w:t>Investor-State Arbitration</w:t>
      </w:r>
      <w:bookmarkEnd w:id="8"/>
    </w:p>
    <w:p w14:paraId="4590029C" w14:textId="77777777" w:rsidR="002118C3"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Possibly the most significant feature of an “international investment treaty” is the ability to </w:t>
      </w:r>
      <w:r w:rsidR="008D393D" w:rsidRPr="00E5169F">
        <w:rPr>
          <w:rFonts w:asciiTheme="majorBidi" w:hAnsiTheme="majorBidi" w:cstheme="majorBidi"/>
          <w:sz w:val="24"/>
          <w:szCs w:val="24"/>
        </w:rPr>
        <w:t>implement</w:t>
      </w:r>
      <w:r w:rsidRPr="00E5169F">
        <w:rPr>
          <w:rFonts w:asciiTheme="majorBidi" w:hAnsiTheme="majorBidi" w:cstheme="majorBidi"/>
          <w:sz w:val="24"/>
          <w:szCs w:val="24"/>
        </w:rPr>
        <w:t xml:space="preserve"> contractual financial protection </w:t>
      </w:r>
      <w:proofErr w:type="spellStart"/>
      <w:r w:rsidR="008D393D" w:rsidRPr="00E5169F">
        <w:rPr>
          <w:rFonts w:asciiTheme="majorBidi" w:hAnsiTheme="majorBidi" w:cstheme="majorBidi"/>
          <w:sz w:val="24"/>
          <w:szCs w:val="24"/>
        </w:rPr>
        <w:t>nonstopin</w:t>
      </w:r>
      <w:proofErr w:type="spellEnd"/>
      <w:r w:rsidR="008D393D" w:rsidRPr="00E5169F">
        <w:rPr>
          <w:rFonts w:asciiTheme="majorBidi" w:hAnsiTheme="majorBidi" w:cstheme="majorBidi"/>
          <w:sz w:val="24"/>
          <w:szCs w:val="24"/>
        </w:rPr>
        <w:t xml:space="preserve"> contradiction of the host state via </w:t>
      </w:r>
      <w:r w:rsidR="001271C5" w:rsidRPr="00E5169F">
        <w:rPr>
          <w:rFonts w:asciiTheme="majorBidi" w:hAnsiTheme="majorBidi" w:cstheme="majorBidi"/>
          <w:sz w:val="24"/>
          <w:szCs w:val="24"/>
        </w:rPr>
        <w:t xml:space="preserve">a </w:t>
      </w:r>
      <w:proofErr w:type="spellStart"/>
      <w:r w:rsidR="001271C5" w:rsidRPr="00E5169F">
        <w:rPr>
          <w:rFonts w:asciiTheme="majorBidi" w:hAnsiTheme="majorBidi" w:cstheme="majorBidi"/>
          <w:sz w:val="24"/>
          <w:szCs w:val="24"/>
        </w:rPr>
        <w:t>worldwidenegotiation</w:t>
      </w:r>
      <w:proofErr w:type="spellEnd"/>
      <w:r w:rsidRPr="00E5169F">
        <w:rPr>
          <w:rFonts w:asciiTheme="majorBidi" w:hAnsiTheme="majorBidi" w:cstheme="majorBidi"/>
          <w:sz w:val="24"/>
          <w:szCs w:val="24"/>
        </w:rPr>
        <w:t xml:space="preserve"> with the host state. This mechanism is based on the principle of resolving the investor situation</w:t>
      </w:r>
      <w:r w:rsidR="00957816" w:rsidRPr="00E5169F">
        <w:rPr>
          <w:rFonts w:asciiTheme="majorBidi" w:hAnsiTheme="majorBidi" w:cstheme="majorBidi"/>
          <w:sz w:val="24"/>
          <w:szCs w:val="24"/>
        </w:rPr>
        <w:t xml:space="preserve"> (Petros, 2012)</w:t>
      </w:r>
      <w:r w:rsidRPr="00E5169F">
        <w:rPr>
          <w:rFonts w:asciiTheme="majorBidi" w:hAnsiTheme="majorBidi" w:cstheme="majorBidi"/>
          <w:sz w:val="24"/>
          <w:szCs w:val="24"/>
        </w:rPr>
        <w:t>. The standard rules conclude that the investor should be notified of the appropriation as a result of the re-establishment of the notified body. The presentation of the official notification of the "reflex period" of the thermos (based on the status quo) is not due to the quality of the investor and the rejecting state that the blending. This is not the case for the arbitrator, and the investor is subject to arbitration. Other customs authorities may make such an investment in the "menu" o</w:t>
      </w:r>
      <w:r w:rsidR="001271C5" w:rsidRPr="00E5169F">
        <w:rPr>
          <w:rFonts w:asciiTheme="majorBidi" w:hAnsiTheme="majorBidi" w:cstheme="majorBidi"/>
          <w:sz w:val="24"/>
          <w:szCs w:val="24"/>
        </w:rPr>
        <w:t xml:space="preserve">f </w:t>
      </w:r>
      <w:proofErr w:type="gramStart"/>
      <w:r w:rsidR="001271C5" w:rsidRPr="00E5169F">
        <w:rPr>
          <w:rFonts w:asciiTheme="majorBidi" w:hAnsiTheme="majorBidi" w:cstheme="majorBidi"/>
          <w:sz w:val="24"/>
          <w:szCs w:val="24"/>
        </w:rPr>
        <w:t>arbitrators</w:t>
      </w:r>
      <w:r w:rsidR="00957816" w:rsidRPr="00E5169F">
        <w:rPr>
          <w:rFonts w:asciiTheme="majorBidi" w:hAnsiTheme="majorBidi" w:cstheme="majorBidi"/>
          <w:color w:val="222222"/>
          <w:sz w:val="24"/>
          <w:szCs w:val="24"/>
          <w:shd w:val="clear" w:color="auto" w:fill="FFFFFF"/>
        </w:rPr>
        <w:t>(</w:t>
      </w:r>
      <w:proofErr w:type="gramEnd"/>
      <w:r w:rsidR="00957816" w:rsidRPr="00E5169F">
        <w:rPr>
          <w:rFonts w:asciiTheme="majorBidi" w:hAnsiTheme="majorBidi" w:cstheme="majorBidi"/>
          <w:color w:val="222222"/>
          <w:sz w:val="24"/>
          <w:szCs w:val="24"/>
          <w:shd w:val="clear" w:color="auto" w:fill="FFFFFF"/>
        </w:rPr>
        <w:t>Yu, 2019)</w:t>
      </w:r>
      <w:r w:rsidR="001271C5" w:rsidRPr="00E5169F">
        <w:rPr>
          <w:rFonts w:asciiTheme="majorBidi" w:hAnsiTheme="majorBidi" w:cstheme="majorBidi"/>
          <w:sz w:val="24"/>
          <w:szCs w:val="24"/>
        </w:rPr>
        <w:t xml:space="preserve">. This includes </w:t>
      </w:r>
      <w:r w:rsidRPr="00E5169F">
        <w:rPr>
          <w:rFonts w:asciiTheme="majorBidi" w:hAnsiTheme="majorBidi" w:cstheme="majorBidi"/>
          <w:sz w:val="24"/>
          <w:szCs w:val="24"/>
        </w:rPr>
        <w:t xml:space="preserve">arbitration with the Bank of the United States of America, Washington, DC under the </w:t>
      </w:r>
      <w:r w:rsidR="001271C5" w:rsidRPr="00E5169F">
        <w:rPr>
          <w:rFonts w:asciiTheme="majorBidi" w:hAnsiTheme="majorBidi" w:cstheme="majorBidi"/>
          <w:sz w:val="24"/>
          <w:szCs w:val="24"/>
        </w:rPr>
        <w:t>“</w:t>
      </w:r>
      <w:r w:rsidRPr="00E5169F">
        <w:rPr>
          <w:rFonts w:asciiTheme="majorBidi" w:hAnsiTheme="majorBidi" w:cstheme="majorBidi"/>
          <w:sz w:val="24"/>
          <w:szCs w:val="24"/>
        </w:rPr>
        <w:t xml:space="preserve">International Central Resolution and </w:t>
      </w:r>
      <w:r w:rsidR="001271C5" w:rsidRPr="00E5169F">
        <w:rPr>
          <w:rFonts w:asciiTheme="majorBidi" w:hAnsiTheme="majorBidi" w:cstheme="majorBidi"/>
          <w:sz w:val="24"/>
          <w:szCs w:val="24"/>
        </w:rPr>
        <w:t>Investment Agreement” (ICSID);</w:t>
      </w:r>
      <w:r w:rsidRPr="00E5169F">
        <w:rPr>
          <w:rFonts w:asciiTheme="majorBidi" w:hAnsiTheme="majorBidi" w:cstheme="majorBidi"/>
          <w:sz w:val="24"/>
          <w:szCs w:val="24"/>
        </w:rPr>
        <w:t xml:space="preserve"> an arbitral tribunal to establish the </w:t>
      </w:r>
      <w:r w:rsidR="001271C5" w:rsidRPr="00E5169F">
        <w:rPr>
          <w:rFonts w:asciiTheme="majorBidi" w:hAnsiTheme="majorBidi" w:cstheme="majorBidi"/>
          <w:sz w:val="24"/>
          <w:szCs w:val="24"/>
        </w:rPr>
        <w:t>“</w:t>
      </w:r>
      <w:r w:rsidRPr="00E5169F">
        <w:rPr>
          <w:rFonts w:asciiTheme="majorBidi" w:hAnsiTheme="majorBidi" w:cstheme="majorBidi"/>
          <w:sz w:val="24"/>
          <w:szCs w:val="24"/>
        </w:rPr>
        <w:t>Paris International Chamber of Commerce</w:t>
      </w:r>
      <w:r w:rsidR="001271C5" w:rsidRPr="00E5169F">
        <w:rPr>
          <w:rFonts w:asciiTheme="majorBidi" w:hAnsiTheme="majorBidi" w:cstheme="majorBidi"/>
          <w:sz w:val="24"/>
          <w:szCs w:val="24"/>
        </w:rPr>
        <w:t>”</w:t>
      </w:r>
      <w:r w:rsidRPr="00E5169F">
        <w:rPr>
          <w:rFonts w:asciiTheme="majorBidi" w:hAnsiTheme="majorBidi" w:cstheme="majorBidi"/>
          <w:sz w:val="24"/>
          <w:szCs w:val="24"/>
        </w:rPr>
        <w:t xml:space="preserve"> and the </w:t>
      </w:r>
      <w:r w:rsidR="001271C5" w:rsidRPr="00E5169F">
        <w:rPr>
          <w:rFonts w:asciiTheme="majorBidi" w:hAnsiTheme="majorBidi" w:cstheme="majorBidi"/>
          <w:sz w:val="24"/>
          <w:szCs w:val="24"/>
        </w:rPr>
        <w:t>“</w:t>
      </w:r>
      <w:r w:rsidRPr="00E5169F">
        <w:rPr>
          <w:rFonts w:asciiTheme="majorBidi" w:hAnsiTheme="majorBidi" w:cstheme="majorBidi"/>
          <w:sz w:val="24"/>
          <w:szCs w:val="24"/>
        </w:rPr>
        <w:t>Paris Chamber of Commerce</w:t>
      </w:r>
      <w:r w:rsidR="001271C5" w:rsidRPr="00E5169F">
        <w:rPr>
          <w:rFonts w:asciiTheme="majorBidi" w:hAnsiTheme="majorBidi" w:cstheme="majorBidi"/>
          <w:sz w:val="24"/>
          <w:szCs w:val="24"/>
        </w:rPr>
        <w:t>”</w:t>
      </w:r>
      <w:r w:rsidRPr="00E5169F">
        <w:rPr>
          <w:rFonts w:asciiTheme="majorBidi" w:hAnsiTheme="majorBidi" w:cstheme="majorBidi"/>
          <w:sz w:val="24"/>
          <w:szCs w:val="24"/>
        </w:rPr>
        <w:t xml:space="preserve">; or (iii) an ad hoc arbitral tribunal acting by the rules of the </w:t>
      </w:r>
      <w:r w:rsidR="001271C5" w:rsidRPr="00E5169F">
        <w:rPr>
          <w:rFonts w:asciiTheme="majorBidi" w:hAnsiTheme="majorBidi" w:cstheme="majorBidi"/>
          <w:sz w:val="24"/>
          <w:szCs w:val="24"/>
        </w:rPr>
        <w:t>“</w:t>
      </w:r>
      <w:r w:rsidRPr="00E5169F">
        <w:rPr>
          <w:rFonts w:asciiTheme="majorBidi" w:hAnsiTheme="majorBidi" w:cstheme="majorBidi"/>
          <w:sz w:val="24"/>
          <w:szCs w:val="24"/>
        </w:rPr>
        <w:t>Arbitration Committee of the United Nations International Trade Union</w:t>
      </w:r>
      <w:r w:rsidR="001271C5" w:rsidRPr="00E5169F">
        <w:rPr>
          <w:rFonts w:asciiTheme="majorBidi" w:hAnsiTheme="majorBidi" w:cstheme="majorBidi"/>
          <w:sz w:val="24"/>
          <w:szCs w:val="24"/>
        </w:rPr>
        <w:t>”</w:t>
      </w:r>
      <w:r w:rsidRPr="00E5169F">
        <w:rPr>
          <w:rFonts w:asciiTheme="majorBidi" w:hAnsiTheme="majorBidi" w:cstheme="majorBidi"/>
          <w:sz w:val="24"/>
          <w:szCs w:val="24"/>
        </w:rPr>
        <w:t xml:space="preserve"> (“UNCITRAL”). Each forum </w:t>
      </w:r>
      <w:r w:rsidR="001271C5" w:rsidRPr="00E5169F">
        <w:rPr>
          <w:rFonts w:asciiTheme="majorBidi" w:hAnsiTheme="majorBidi" w:cstheme="majorBidi"/>
          <w:sz w:val="24"/>
          <w:szCs w:val="24"/>
        </w:rPr>
        <w:t xml:space="preserve">is different from the </w:t>
      </w:r>
      <w:proofErr w:type="spellStart"/>
      <w:r w:rsidR="001271C5" w:rsidRPr="00E5169F">
        <w:rPr>
          <w:rFonts w:asciiTheme="majorBidi" w:hAnsiTheme="majorBidi" w:cstheme="majorBidi"/>
          <w:sz w:val="24"/>
          <w:szCs w:val="24"/>
        </w:rPr>
        <w:t>costsacquired</w:t>
      </w:r>
      <w:proofErr w:type="spellEnd"/>
      <w:r w:rsidRPr="00E5169F">
        <w:rPr>
          <w:rFonts w:asciiTheme="majorBidi" w:hAnsiTheme="majorBidi" w:cstheme="majorBidi"/>
          <w:sz w:val="24"/>
          <w:szCs w:val="24"/>
        </w:rPr>
        <w:t xml:space="preserve"> and the process, including the decision-making ability of the appellants ’</w:t>
      </w:r>
      <w:proofErr w:type="gramStart"/>
      <w:r w:rsidRPr="00E5169F">
        <w:rPr>
          <w:rFonts w:asciiTheme="majorBidi" w:hAnsiTheme="majorBidi" w:cstheme="majorBidi"/>
          <w:sz w:val="24"/>
          <w:szCs w:val="24"/>
        </w:rPr>
        <w:t>arbitrators</w:t>
      </w:r>
      <w:r w:rsidR="00957816" w:rsidRPr="00E5169F">
        <w:rPr>
          <w:rFonts w:asciiTheme="majorBidi" w:hAnsiTheme="majorBidi" w:cstheme="majorBidi"/>
          <w:color w:val="222222"/>
          <w:sz w:val="24"/>
          <w:szCs w:val="24"/>
          <w:shd w:val="clear" w:color="auto" w:fill="FFFFFF"/>
        </w:rPr>
        <w:t>(</w:t>
      </w:r>
      <w:proofErr w:type="gramEnd"/>
      <w:r w:rsidR="00957816" w:rsidRPr="00E5169F">
        <w:rPr>
          <w:rFonts w:asciiTheme="majorBidi" w:hAnsiTheme="majorBidi" w:cstheme="majorBidi"/>
          <w:color w:val="222222"/>
          <w:sz w:val="24"/>
          <w:szCs w:val="24"/>
          <w:shd w:val="clear" w:color="auto" w:fill="FFFFFF"/>
        </w:rPr>
        <w:t>Cheng, 2019)</w:t>
      </w:r>
      <w:r w:rsidRPr="00E5169F">
        <w:rPr>
          <w:rFonts w:asciiTheme="majorBidi" w:hAnsiTheme="majorBidi" w:cstheme="majorBidi"/>
          <w:sz w:val="24"/>
          <w:szCs w:val="24"/>
        </w:rPr>
        <w:t>.</w:t>
      </w:r>
    </w:p>
    <w:p w14:paraId="40C0E321" w14:textId="77777777" w:rsidR="00D103A6" w:rsidRPr="00E5169F" w:rsidRDefault="00D103A6" w:rsidP="00706A12">
      <w:pPr>
        <w:spacing w:after="0" w:line="360" w:lineRule="auto"/>
        <w:ind w:firstLine="720"/>
        <w:contextualSpacing/>
        <w:rPr>
          <w:rFonts w:asciiTheme="majorBidi" w:hAnsiTheme="majorBidi" w:cstheme="majorBidi"/>
          <w:sz w:val="24"/>
          <w:szCs w:val="24"/>
        </w:rPr>
      </w:pPr>
    </w:p>
    <w:p w14:paraId="42D63544" w14:textId="77777777" w:rsidR="00407A31" w:rsidRPr="00E5169F" w:rsidRDefault="00665654" w:rsidP="00706A12">
      <w:pPr>
        <w:pStyle w:val="Heading1"/>
        <w:spacing w:before="0" w:line="360" w:lineRule="auto"/>
        <w:contextualSpacing/>
      </w:pPr>
      <w:bookmarkStart w:id="9" w:name="_Toc55146461"/>
      <w:r w:rsidRPr="00E5169F">
        <w:t>Economic Evaluation</w:t>
      </w:r>
      <w:bookmarkEnd w:id="9"/>
    </w:p>
    <w:p w14:paraId="2EC64819" w14:textId="77777777" w:rsidR="00A66C96"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It is an essential tool to make sure if the economic resources of </w:t>
      </w:r>
      <w:r w:rsidR="00AF3E3B" w:rsidRPr="00E5169F">
        <w:rPr>
          <w:rFonts w:asciiTheme="majorBidi" w:hAnsiTheme="majorBidi" w:cstheme="majorBidi"/>
          <w:sz w:val="24"/>
          <w:szCs w:val="24"/>
        </w:rPr>
        <w:t xml:space="preserve">an </w:t>
      </w:r>
      <w:proofErr w:type="spellStart"/>
      <w:r w:rsidR="00AF3E3B" w:rsidRPr="00E5169F">
        <w:rPr>
          <w:rFonts w:asciiTheme="majorBidi" w:hAnsiTheme="majorBidi" w:cstheme="majorBidi"/>
          <w:sz w:val="24"/>
          <w:szCs w:val="24"/>
        </w:rPr>
        <w:t>organisationare</w:t>
      </w:r>
      <w:proofErr w:type="spellEnd"/>
      <w:r w:rsidRPr="00E5169F">
        <w:rPr>
          <w:rFonts w:asciiTheme="majorBidi" w:hAnsiTheme="majorBidi" w:cstheme="majorBidi"/>
          <w:sz w:val="24"/>
          <w:szCs w:val="24"/>
        </w:rPr>
        <w:t xml:space="preserve"> used effectively or not.</w:t>
      </w:r>
      <w:r w:rsidR="00AF3E3B" w:rsidRPr="00E5169F">
        <w:rPr>
          <w:rFonts w:asciiTheme="majorBidi" w:hAnsiTheme="majorBidi" w:cstheme="majorBidi"/>
          <w:sz w:val="24"/>
          <w:szCs w:val="24"/>
        </w:rPr>
        <w:t xml:space="preserve"> Economic evaluations assist organisations and managers in effectively evaluating the financial condition.</w:t>
      </w:r>
      <w:r w:rsidR="00390D2C" w:rsidRPr="00E5169F">
        <w:rPr>
          <w:rFonts w:asciiTheme="majorBidi" w:hAnsiTheme="majorBidi" w:cstheme="majorBidi"/>
          <w:sz w:val="24"/>
          <w:szCs w:val="24"/>
        </w:rPr>
        <w:t xml:space="preserve"> There are different types of economic evaluation that are used by the managers and the leaders of an organisation.</w:t>
      </w:r>
      <w:r w:rsidR="0013420A" w:rsidRPr="00E5169F">
        <w:rPr>
          <w:rFonts w:asciiTheme="majorBidi" w:hAnsiTheme="majorBidi" w:cstheme="majorBidi"/>
          <w:sz w:val="24"/>
          <w:szCs w:val="24"/>
        </w:rPr>
        <w:t xml:space="preserve"> The most relevant </w:t>
      </w:r>
      <w:r w:rsidR="00566DDB" w:rsidRPr="00E5169F">
        <w:rPr>
          <w:rFonts w:asciiTheme="majorBidi" w:hAnsiTheme="majorBidi" w:cstheme="majorBidi"/>
          <w:sz w:val="24"/>
          <w:szCs w:val="24"/>
        </w:rPr>
        <w:t xml:space="preserve">economic evaluation techniques are; social return on investment, </w:t>
      </w:r>
      <w:r w:rsidR="004D3869" w:rsidRPr="00E5169F">
        <w:rPr>
          <w:rFonts w:asciiTheme="majorBidi" w:hAnsiTheme="majorBidi" w:cstheme="majorBidi"/>
          <w:sz w:val="24"/>
          <w:szCs w:val="24"/>
        </w:rPr>
        <w:t xml:space="preserve">cost-benefit analysis, break-even analysis, </w:t>
      </w:r>
      <w:r w:rsidR="00BD629A" w:rsidRPr="00E5169F">
        <w:rPr>
          <w:rFonts w:asciiTheme="majorBidi" w:hAnsiTheme="majorBidi" w:cstheme="majorBidi"/>
          <w:sz w:val="24"/>
          <w:szCs w:val="24"/>
        </w:rPr>
        <w:t xml:space="preserve">and </w:t>
      </w:r>
      <w:r w:rsidR="009D4B22" w:rsidRPr="00E5169F">
        <w:rPr>
          <w:rFonts w:asciiTheme="majorBidi" w:hAnsiTheme="majorBidi" w:cstheme="majorBidi"/>
          <w:sz w:val="24"/>
          <w:szCs w:val="24"/>
        </w:rPr>
        <w:t>cost-effectiveness analysis.</w:t>
      </w:r>
      <w:r w:rsidR="004C1CD5" w:rsidRPr="00E5169F">
        <w:rPr>
          <w:rFonts w:asciiTheme="majorBidi" w:hAnsiTheme="majorBidi" w:cstheme="majorBidi"/>
          <w:sz w:val="24"/>
          <w:szCs w:val="24"/>
        </w:rPr>
        <w:t xml:space="preserve"> Economic evaluation </w:t>
      </w:r>
      <w:r w:rsidR="0053693D" w:rsidRPr="00E5169F">
        <w:rPr>
          <w:rFonts w:asciiTheme="majorBidi" w:hAnsiTheme="majorBidi" w:cstheme="majorBidi"/>
          <w:sz w:val="24"/>
          <w:szCs w:val="24"/>
        </w:rPr>
        <w:t xml:space="preserve">helps the </w:t>
      </w:r>
      <w:r w:rsidR="00AB56F1" w:rsidRPr="00E5169F">
        <w:rPr>
          <w:rFonts w:asciiTheme="majorBidi" w:hAnsiTheme="majorBidi" w:cstheme="majorBidi"/>
          <w:sz w:val="24"/>
          <w:szCs w:val="24"/>
        </w:rPr>
        <w:t xml:space="preserve">managers and </w:t>
      </w:r>
      <w:r w:rsidR="00F923AC" w:rsidRPr="00E5169F">
        <w:rPr>
          <w:rFonts w:asciiTheme="majorBidi" w:hAnsiTheme="majorBidi" w:cstheme="majorBidi"/>
          <w:sz w:val="24"/>
          <w:szCs w:val="24"/>
        </w:rPr>
        <w:t>funders to</w:t>
      </w:r>
      <w:r w:rsidR="00AB56F1" w:rsidRPr="00E5169F">
        <w:rPr>
          <w:rFonts w:asciiTheme="majorBidi" w:hAnsiTheme="majorBidi" w:cstheme="majorBidi"/>
          <w:sz w:val="24"/>
          <w:szCs w:val="24"/>
        </w:rPr>
        <w:t xml:space="preserve"> allocate </w:t>
      </w:r>
      <w:r w:rsidR="00F923AC" w:rsidRPr="00E5169F">
        <w:rPr>
          <w:rFonts w:asciiTheme="majorBidi" w:hAnsiTheme="majorBidi" w:cstheme="majorBidi"/>
          <w:sz w:val="24"/>
          <w:szCs w:val="24"/>
        </w:rPr>
        <w:t>the resources</w:t>
      </w:r>
      <w:r w:rsidR="00AB56F1" w:rsidRPr="00E5169F">
        <w:rPr>
          <w:rFonts w:asciiTheme="majorBidi" w:hAnsiTheme="majorBidi" w:cstheme="majorBidi"/>
          <w:sz w:val="24"/>
          <w:szCs w:val="24"/>
        </w:rPr>
        <w:t xml:space="preserve"> in the best possible </w:t>
      </w:r>
      <w:r w:rsidR="00D06E2D" w:rsidRPr="00E5169F">
        <w:rPr>
          <w:rFonts w:asciiTheme="majorBidi" w:hAnsiTheme="majorBidi" w:cstheme="majorBidi"/>
          <w:sz w:val="24"/>
          <w:szCs w:val="24"/>
        </w:rPr>
        <w:t>way, for instance, people and funding.</w:t>
      </w:r>
    </w:p>
    <w:p w14:paraId="07C8AB1F" w14:textId="77777777" w:rsidR="00A66C96" w:rsidRPr="00E5169F" w:rsidRDefault="00665654" w:rsidP="00706A12">
      <w:pPr>
        <w:pStyle w:val="Heading2"/>
        <w:spacing w:before="0" w:line="360" w:lineRule="auto"/>
        <w:contextualSpacing/>
      </w:pPr>
      <w:bookmarkStart w:id="10" w:name="_Toc55146462"/>
      <w:r w:rsidRPr="00E5169F">
        <w:t>Economic Evaluation of Charities</w:t>
      </w:r>
      <w:bookmarkEnd w:id="10"/>
    </w:p>
    <w:p w14:paraId="3859750A" w14:textId="77777777" w:rsidR="00AB2ABE"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Charities have experienced several advantages in evaluating the economy.</w:t>
      </w:r>
      <w:r w:rsidR="00037C51" w:rsidRPr="00E5169F">
        <w:rPr>
          <w:rFonts w:asciiTheme="majorBidi" w:hAnsiTheme="majorBidi" w:cstheme="majorBidi"/>
          <w:sz w:val="24"/>
          <w:szCs w:val="24"/>
        </w:rPr>
        <w:t xml:space="preserve">  Evaluation of economy or economic assessment allows them to: </w:t>
      </w:r>
    </w:p>
    <w:p w14:paraId="5AEBE3FD" w14:textId="77777777" w:rsidR="00037C51" w:rsidRPr="00E5169F" w:rsidRDefault="00665654" w:rsidP="00706A12">
      <w:pPr>
        <w:pStyle w:val="ListParagraph"/>
        <w:numPr>
          <w:ilvl w:val="0"/>
          <w:numId w:val="2"/>
        </w:numPr>
        <w:spacing w:after="0" w:line="360" w:lineRule="auto"/>
        <w:rPr>
          <w:rFonts w:asciiTheme="majorBidi" w:hAnsiTheme="majorBidi" w:cstheme="majorBidi"/>
          <w:sz w:val="24"/>
          <w:szCs w:val="24"/>
        </w:rPr>
      </w:pPr>
      <w:r w:rsidRPr="00E5169F">
        <w:rPr>
          <w:rFonts w:asciiTheme="majorBidi" w:hAnsiTheme="majorBidi" w:cstheme="majorBidi"/>
          <w:sz w:val="24"/>
          <w:szCs w:val="24"/>
        </w:rPr>
        <w:t>Produce a result that is extensively understood;</w:t>
      </w:r>
    </w:p>
    <w:p w14:paraId="26963535" w14:textId="77777777" w:rsidR="00037C51" w:rsidRPr="00E5169F" w:rsidRDefault="00665654" w:rsidP="00706A12">
      <w:pPr>
        <w:pStyle w:val="ListParagraph"/>
        <w:numPr>
          <w:ilvl w:val="0"/>
          <w:numId w:val="2"/>
        </w:numPr>
        <w:spacing w:after="0" w:line="360" w:lineRule="auto"/>
        <w:rPr>
          <w:rFonts w:asciiTheme="majorBidi" w:hAnsiTheme="majorBidi" w:cstheme="majorBidi"/>
          <w:sz w:val="24"/>
          <w:szCs w:val="24"/>
        </w:rPr>
      </w:pPr>
      <w:r w:rsidRPr="00E5169F">
        <w:rPr>
          <w:rFonts w:asciiTheme="majorBidi" w:hAnsiTheme="majorBidi" w:cstheme="majorBidi"/>
          <w:sz w:val="24"/>
          <w:szCs w:val="24"/>
        </w:rPr>
        <w:t>Improve their understanding of creating values and norms in charities;</w:t>
      </w:r>
    </w:p>
    <w:p w14:paraId="6B83F2FD" w14:textId="77777777" w:rsidR="00037C51" w:rsidRPr="00E5169F" w:rsidRDefault="00665654" w:rsidP="00706A12">
      <w:pPr>
        <w:pStyle w:val="ListParagraph"/>
        <w:numPr>
          <w:ilvl w:val="0"/>
          <w:numId w:val="2"/>
        </w:numPr>
        <w:spacing w:after="0" w:line="360" w:lineRule="auto"/>
        <w:rPr>
          <w:rFonts w:asciiTheme="majorBidi" w:hAnsiTheme="majorBidi" w:cstheme="majorBidi"/>
          <w:sz w:val="24"/>
          <w:szCs w:val="24"/>
        </w:rPr>
      </w:pPr>
      <w:r w:rsidRPr="00E5169F">
        <w:rPr>
          <w:rFonts w:asciiTheme="majorBidi" w:hAnsiTheme="majorBidi" w:cstheme="majorBidi"/>
          <w:sz w:val="24"/>
          <w:szCs w:val="24"/>
        </w:rPr>
        <w:t xml:space="preserve">Support them a large amount of </w:t>
      </w:r>
      <w:r w:rsidR="003D4E5E" w:rsidRPr="00E5169F">
        <w:rPr>
          <w:rFonts w:asciiTheme="majorBidi" w:hAnsiTheme="majorBidi" w:cstheme="majorBidi"/>
          <w:sz w:val="24"/>
          <w:szCs w:val="24"/>
        </w:rPr>
        <w:t>funding;</w:t>
      </w:r>
    </w:p>
    <w:p w14:paraId="400DD1B7" w14:textId="77777777" w:rsidR="003D4E5E" w:rsidRPr="00E5169F" w:rsidRDefault="00665654" w:rsidP="00706A12">
      <w:pPr>
        <w:pStyle w:val="ListParagraph"/>
        <w:numPr>
          <w:ilvl w:val="0"/>
          <w:numId w:val="2"/>
        </w:numPr>
        <w:spacing w:after="0" w:line="360" w:lineRule="auto"/>
        <w:rPr>
          <w:rFonts w:asciiTheme="majorBidi" w:hAnsiTheme="majorBidi" w:cstheme="majorBidi"/>
          <w:sz w:val="24"/>
          <w:szCs w:val="24"/>
        </w:rPr>
      </w:pPr>
      <w:r w:rsidRPr="00E5169F">
        <w:rPr>
          <w:rFonts w:asciiTheme="majorBidi" w:hAnsiTheme="majorBidi" w:cstheme="majorBidi"/>
          <w:sz w:val="24"/>
          <w:szCs w:val="24"/>
        </w:rPr>
        <w:t>Aggregate the influence of several activities into one figure;</w:t>
      </w:r>
    </w:p>
    <w:p w14:paraId="6D33326B" w14:textId="77777777" w:rsidR="003F3D35" w:rsidRPr="00E5169F" w:rsidRDefault="00665654" w:rsidP="00706A12">
      <w:pPr>
        <w:pStyle w:val="ListParagraph"/>
        <w:numPr>
          <w:ilvl w:val="0"/>
          <w:numId w:val="2"/>
        </w:numPr>
        <w:spacing w:after="0" w:line="360" w:lineRule="auto"/>
        <w:rPr>
          <w:rFonts w:asciiTheme="majorBidi" w:hAnsiTheme="majorBidi" w:cstheme="majorBidi"/>
          <w:sz w:val="24"/>
          <w:szCs w:val="24"/>
        </w:rPr>
      </w:pPr>
      <w:r w:rsidRPr="00E5169F">
        <w:rPr>
          <w:rFonts w:asciiTheme="majorBidi" w:hAnsiTheme="majorBidi" w:cstheme="majorBidi"/>
          <w:sz w:val="24"/>
          <w:szCs w:val="24"/>
        </w:rPr>
        <w:t>Get feedback about their working style and economic activities.</w:t>
      </w:r>
    </w:p>
    <w:p w14:paraId="60222403" w14:textId="77777777" w:rsidR="003F3D35"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t xml:space="preserve">However, there are also </w:t>
      </w:r>
      <w:r w:rsidR="00E11A91" w:rsidRPr="00E5169F">
        <w:rPr>
          <w:rFonts w:asciiTheme="majorBidi" w:hAnsiTheme="majorBidi" w:cstheme="majorBidi"/>
          <w:sz w:val="24"/>
          <w:szCs w:val="24"/>
        </w:rPr>
        <w:t>some limitations</w:t>
      </w:r>
      <w:r w:rsidRPr="00E5169F">
        <w:rPr>
          <w:rFonts w:asciiTheme="majorBidi" w:hAnsiTheme="majorBidi" w:cstheme="majorBidi"/>
          <w:sz w:val="24"/>
          <w:szCs w:val="24"/>
        </w:rPr>
        <w:t xml:space="preserve"> and boundaries in the economic evaluation of </w:t>
      </w:r>
      <w:proofErr w:type="spellStart"/>
      <w:proofErr w:type="gramStart"/>
      <w:r w:rsidRPr="00E5169F">
        <w:rPr>
          <w:rFonts w:asciiTheme="majorBidi" w:hAnsiTheme="majorBidi" w:cstheme="majorBidi"/>
          <w:sz w:val="24"/>
          <w:szCs w:val="24"/>
        </w:rPr>
        <w:t>charities.</w:t>
      </w:r>
      <w:r w:rsidR="00A50131" w:rsidRPr="00E5169F">
        <w:rPr>
          <w:rFonts w:asciiTheme="majorBidi" w:hAnsiTheme="majorBidi" w:cstheme="majorBidi"/>
          <w:sz w:val="24"/>
          <w:szCs w:val="24"/>
        </w:rPr>
        <w:t>The</w:t>
      </w:r>
      <w:proofErr w:type="spellEnd"/>
      <w:proofErr w:type="gramEnd"/>
      <w:r w:rsidR="00A50131" w:rsidRPr="00E5169F">
        <w:rPr>
          <w:rFonts w:asciiTheme="majorBidi" w:hAnsiTheme="majorBidi" w:cstheme="majorBidi"/>
          <w:sz w:val="24"/>
          <w:szCs w:val="24"/>
        </w:rPr>
        <w:t xml:space="preserve"> image of the organisation can get distorted sometimes </w:t>
      </w:r>
      <w:r w:rsidR="00DF699E" w:rsidRPr="00E5169F">
        <w:rPr>
          <w:rFonts w:asciiTheme="majorBidi" w:hAnsiTheme="majorBidi" w:cstheme="majorBidi"/>
          <w:sz w:val="24"/>
          <w:szCs w:val="24"/>
        </w:rPr>
        <w:t xml:space="preserve">due to this phenomenon, and the economic evaluation may be </w:t>
      </w:r>
      <w:r w:rsidR="00761DE5" w:rsidRPr="00E5169F">
        <w:rPr>
          <w:rFonts w:asciiTheme="majorBidi" w:hAnsiTheme="majorBidi" w:cstheme="majorBidi"/>
          <w:sz w:val="24"/>
          <w:szCs w:val="24"/>
        </w:rPr>
        <w:t>costly</w:t>
      </w:r>
      <w:r w:rsidR="00DF699E" w:rsidRPr="00E5169F">
        <w:rPr>
          <w:rFonts w:asciiTheme="majorBidi" w:hAnsiTheme="majorBidi" w:cstheme="majorBidi"/>
          <w:sz w:val="24"/>
          <w:szCs w:val="24"/>
        </w:rPr>
        <w:t xml:space="preserve"> in certain </w:t>
      </w:r>
      <w:proofErr w:type="spellStart"/>
      <w:r w:rsidR="00DF699E" w:rsidRPr="00E5169F">
        <w:rPr>
          <w:rFonts w:asciiTheme="majorBidi" w:hAnsiTheme="majorBidi" w:cstheme="majorBidi"/>
          <w:sz w:val="24"/>
          <w:szCs w:val="24"/>
        </w:rPr>
        <w:t>conditions.</w:t>
      </w:r>
      <w:r w:rsidR="00D519D0" w:rsidRPr="00E5169F">
        <w:rPr>
          <w:rFonts w:asciiTheme="majorBidi" w:hAnsiTheme="majorBidi" w:cstheme="majorBidi"/>
          <w:sz w:val="24"/>
          <w:szCs w:val="24"/>
        </w:rPr>
        <w:t>However</w:t>
      </w:r>
      <w:proofErr w:type="spellEnd"/>
      <w:r w:rsidR="00D519D0" w:rsidRPr="00E5169F">
        <w:rPr>
          <w:rFonts w:asciiTheme="majorBidi" w:hAnsiTheme="majorBidi" w:cstheme="majorBidi"/>
          <w:sz w:val="24"/>
          <w:szCs w:val="24"/>
        </w:rPr>
        <w:t xml:space="preserve">, according to economic theory, </w:t>
      </w:r>
      <w:r w:rsidR="00777B73" w:rsidRPr="00E5169F">
        <w:rPr>
          <w:rFonts w:asciiTheme="majorBidi" w:hAnsiTheme="majorBidi" w:cstheme="majorBidi"/>
          <w:sz w:val="24"/>
          <w:szCs w:val="24"/>
        </w:rPr>
        <w:t xml:space="preserve">the result of the economic evaluations </w:t>
      </w:r>
      <w:r w:rsidR="000F50BC" w:rsidRPr="00E5169F">
        <w:rPr>
          <w:rFonts w:asciiTheme="majorBidi" w:hAnsiTheme="majorBidi" w:cstheme="majorBidi"/>
          <w:sz w:val="24"/>
          <w:szCs w:val="24"/>
        </w:rPr>
        <w:t>is</w:t>
      </w:r>
      <w:r w:rsidR="00777B73" w:rsidRPr="00E5169F">
        <w:rPr>
          <w:rFonts w:asciiTheme="majorBidi" w:hAnsiTheme="majorBidi" w:cstheme="majorBidi"/>
          <w:sz w:val="24"/>
          <w:szCs w:val="24"/>
        </w:rPr>
        <w:t xml:space="preserve"> seldom </w:t>
      </w:r>
      <w:proofErr w:type="spellStart"/>
      <w:r w:rsidR="00777B73" w:rsidRPr="00E5169F">
        <w:rPr>
          <w:rFonts w:asciiTheme="majorBidi" w:hAnsiTheme="majorBidi" w:cstheme="majorBidi"/>
          <w:sz w:val="24"/>
          <w:szCs w:val="24"/>
        </w:rPr>
        <w:t>comparable.</w:t>
      </w:r>
      <w:r w:rsidR="00097B80" w:rsidRPr="00E5169F">
        <w:rPr>
          <w:rFonts w:asciiTheme="majorBidi" w:hAnsiTheme="majorBidi" w:cstheme="majorBidi"/>
          <w:sz w:val="24"/>
          <w:szCs w:val="24"/>
        </w:rPr>
        <w:t>All</w:t>
      </w:r>
      <w:proofErr w:type="spellEnd"/>
      <w:r w:rsidR="00097B80" w:rsidRPr="00E5169F">
        <w:rPr>
          <w:rFonts w:asciiTheme="majorBidi" w:hAnsiTheme="majorBidi" w:cstheme="majorBidi"/>
          <w:sz w:val="24"/>
          <w:szCs w:val="24"/>
        </w:rPr>
        <w:t xml:space="preserve"> the </w:t>
      </w:r>
      <w:r w:rsidR="002E2F73" w:rsidRPr="00E5169F">
        <w:rPr>
          <w:rFonts w:asciiTheme="majorBidi" w:hAnsiTheme="majorBidi" w:cstheme="majorBidi"/>
          <w:sz w:val="24"/>
          <w:szCs w:val="24"/>
        </w:rPr>
        <w:t xml:space="preserve">essential concepts </w:t>
      </w:r>
      <w:r w:rsidR="0015126E" w:rsidRPr="00E5169F">
        <w:rPr>
          <w:rFonts w:asciiTheme="majorBidi" w:hAnsiTheme="majorBidi" w:cstheme="majorBidi"/>
          <w:sz w:val="24"/>
          <w:szCs w:val="24"/>
        </w:rPr>
        <w:t>of economic</w:t>
      </w:r>
      <w:r w:rsidR="002E2F73" w:rsidRPr="00E5169F">
        <w:rPr>
          <w:rFonts w:asciiTheme="majorBidi" w:hAnsiTheme="majorBidi" w:cstheme="majorBidi"/>
          <w:sz w:val="24"/>
          <w:szCs w:val="24"/>
        </w:rPr>
        <w:t xml:space="preserve"> evaluation </w:t>
      </w:r>
      <w:r w:rsidR="0015126E" w:rsidRPr="00E5169F">
        <w:rPr>
          <w:rFonts w:asciiTheme="majorBidi" w:hAnsiTheme="majorBidi" w:cstheme="majorBidi"/>
          <w:sz w:val="24"/>
          <w:szCs w:val="24"/>
        </w:rPr>
        <w:t>are used</w:t>
      </w:r>
      <w:r w:rsidR="009B4598" w:rsidRPr="00E5169F">
        <w:rPr>
          <w:rFonts w:asciiTheme="majorBidi" w:hAnsiTheme="majorBidi" w:cstheme="majorBidi"/>
          <w:sz w:val="24"/>
          <w:szCs w:val="24"/>
        </w:rPr>
        <w:t xml:space="preserve"> to get sophisticated and reliable results.</w:t>
      </w:r>
    </w:p>
    <w:p w14:paraId="18CC6BB9" w14:textId="77777777" w:rsidR="000041F4" w:rsidRDefault="000041F4" w:rsidP="00706A12">
      <w:pPr>
        <w:spacing w:after="0" w:line="360" w:lineRule="auto"/>
        <w:contextualSpacing/>
        <w:rPr>
          <w:rFonts w:asciiTheme="majorBidi" w:hAnsiTheme="majorBidi" w:cstheme="majorBidi"/>
          <w:sz w:val="24"/>
          <w:szCs w:val="24"/>
        </w:rPr>
      </w:pPr>
    </w:p>
    <w:p w14:paraId="754D4982" w14:textId="77777777" w:rsidR="00AA2648" w:rsidRDefault="00665654" w:rsidP="00706A12">
      <w:pPr>
        <w:spacing w:after="0" w:line="360" w:lineRule="auto"/>
        <w:contextualSpacing/>
        <w:rPr>
          <w:rFonts w:ascii="Times New Roman" w:eastAsiaTheme="majorEastAsia" w:hAnsi="Times New Roman" w:cstheme="majorBidi"/>
          <w:b/>
          <w:i/>
          <w:color w:val="000000" w:themeColor="text1"/>
          <w:sz w:val="24"/>
          <w:szCs w:val="32"/>
        </w:rPr>
      </w:pPr>
      <w:r w:rsidRPr="00D103A6">
        <w:rPr>
          <w:rFonts w:ascii="Times New Roman" w:eastAsiaTheme="majorEastAsia" w:hAnsi="Times New Roman" w:cstheme="majorBidi"/>
          <w:b/>
          <w:i/>
          <w:color w:val="000000" w:themeColor="text1"/>
          <w:sz w:val="24"/>
          <w:szCs w:val="32"/>
        </w:rPr>
        <w:t>Challenges that the country faces due to Indus</w:t>
      </w:r>
      <w:r>
        <w:rPr>
          <w:rFonts w:ascii="Times New Roman" w:eastAsiaTheme="majorEastAsia" w:hAnsi="Times New Roman" w:cstheme="majorBidi"/>
          <w:b/>
          <w:i/>
          <w:color w:val="000000" w:themeColor="text1"/>
          <w:sz w:val="24"/>
          <w:szCs w:val="32"/>
        </w:rPr>
        <w:t>trialisation and Trade Policies</w:t>
      </w:r>
    </w:p>
    <w:p w14:paraId="3109EDFF" w14:textId="77777777" w:rsidR="00962654" w:rsidRPr="00962654" w:rsidRDefault="00665654" w:rsidP="00706A12">
      <w:pPr>
        <w:spacing w:after="0" w:line="360" w:lineRule="auto"/>
        <w:contextualSpacing/>
        <w:rPr>
          <w:rFonts w:asciiTheme="majorBidi" w:hAnsiTheme="majorBidi" w:cstheme="majorBidi"/>
          <w:sz w:val="24"/>
          <w:szCs w:val="24"/>
        </w:rPr>
      </w:pPr>
      <w:r w:rsidRPr="00E21181">
        <w:rPr>
          <w:rFonts w:asciiTheme="majorBidi" w:hAnsiTheme="majorBidi" w:cstheme="majorBidi"/>
          <w:sz w:val="24"/>
          <w:szCs w:val="24"/>
        </w:rPr>
        <w:t xml:space="preserve">The majority of supporters believe that trade plays a critical role in trade growth. Growth assumes that the main advantages in this area are given by unilateral development. Liberalisation in the developing world themselves. This view is shared not only in academia by free trade proponents, but also in the secretariats of multilateral bodies such as the BWIs and the </w:t>
      </w:r>
      <w:proofErr w:type="spellStart"/>
      <w:r w:rsidRPr="00E21181">
        <w:rPr>
          <w:rFonts w:asciiTheme="majorBidi" w:hAnsiTheme="majorBidi" w:cstheme="majorBidi"/>
          <w:sz w:val="24"/>
          <w:szCs w:val="24"/>
        </w:rPr>
        <w:t>WTO.</w:t>
      </w:r>
      <w:r w:rsidRPr="00962654">
        <w:rPr>
          <w:rFonts w:asciiTheme="majorBidi" w:hAnsiTheme="majorBidi" w:cstheme="majorBidi"/>
          <w:sz w:val="24"/>
          <w:szCs w:val="24"/>
        </w:rPr>
        <w:t>It</w:t>
      </w:r>
      <w:proofErr w:type="spellEnd"/>
      <w:r w:rsidRPr="00962654">
        <w:rPr>
          <w:rFonts w:asciiTheme="majorBidi" w:hAnsiTheme="majorBidi" w:cstheme="majorBidi"/>
          <w:sz w:val="24"/>
          <w:szCs w:val="24"/>
        </w:rPr>
        <w:t xml:space="preserve"> has along these lines been contended that exchange progression all alone </w:t>
      </w:r>
      <w:r w:rsidR="006F01EB">
        <w:rPr>
          <w:rFonts w:asciiTheme="majorBidi" w:hAnsiTheme="majorBidi" w:cstheme="majorBidi"/>
          <w:sz w:val="24"/>
          <w:szCs w:val="24"/>
        </w:rPr>
        <w:t xml:space="preserve">would not bring </w:t>
      </w:r>
      <w:r w:rsidRPr="00962654">
        <w:rPr>
          <w:rFonts w:asciiTheme="majorBidi" w:hAnsiTheme="majorBidi" w:cstheme="majorBidi"/>
          <w:sz w:val="24"/>
          <w:szCs w:val="24"/>
        </w:rPr>
        <w:t xml:space="preserve">benefits if the state keeps on mediating in different territories, aside from remedying </w:t>
      </w:r>
    </w:p>
    <w:p w14:paraId="64FC2D85" w14:textId="77777777" w:rsidR="00AA2648" w:rsidRPr="00E5169F" w:rsidRDefault="00665654" w:rsidP="00706A12">
      <w:pPr>
        <w:spacing w:after="0" w:line="360" w:lineRule="auto"/>
        <w:contextualSpacing/>
        <w:rPr>
          <w:rFonts w:asciiTheme="majorBidi" w:hAnsiTheme="majorBidi" w:cstheme="majorBidi"/>
          <w:sz w:val="24"/>
          <w:szCs w:val="24"/>
        </w:rPr>
      </w:pPr>
      <w:r w:rsidRPr="00962654">
        <w:rPr>
          <w:rFonts w:asciiTheme="majorBidi" w:hAnsiTheme="majorBidi" w:cstheme="majorBidi"/>
          <w:sz w:val="24"/>
          <w:szCs w:val="24"/>
        </w:rPr>
        <w:lastRenderedPageBreak/>
        <w:t xml:space="preserve">market disappointments, and if there are defects in other </w:t>
      </w:r>
      <w:proofErr w:type="spellStart"/>
      <w:proofErr w:type="gramStart"/>
      <w:r w:rsidRPr="00962654">
        <w:rPr>
          <w:rFonts w:asciiTheme="majorBidi" w:hAnsiTheme="majorBidi" w:cstheme="majorBidi"/>
          <w:sz w:val="24"/>
          <w:szCs w:val="24"/>
        </w:rPr>
        <w:t>markets.In</w:t>
      </w:r>
      <w:proofErr w:type="spellEnd"/>
      <w:proofErr w:type="gramEnd"/>
      <w:r w:rsidRPr="00962654">
        <w:rPr>
          <w:rFonts w:asciiTheme="majorBidi" w:hAnsiTheme="majorBidi" w:cstheme="majorBidi"/>
          <w:sz w:val="24"/>
          <w:szCs w:val="24"/>
        </w:rPr>
        <w:t xml:space="preserve"> specific, consideration has focussed on the function of work market defects in obstructing quick redeployment of work and change in compensation in manners required by the new arrangement of motivations and serious powers achieved by profession advancement</w:t>
      </w:r>
      <w:r w:rsidR="00E85796" w:rsidRPr="00E5169F">
        <w:rPr>
          <w:rFonts w:asciiTheme="majorBidi" w:hAnsiTheme="majorBidi" w:cstheme="majorBidi"/>
          <w:color w:val="222222"/>
          <w:sz w:val="24"/>
          <w:szCs w:val="24"/>
          <w:shd w:val="clear" w:color="auto" w:fill="FFFFFF"/>
        </w:rPr>
        <w:t xml:space="preserve">(Mbengue and </w:t>
      </w:r>
      <w:proofErr w:type="spellStart"/>
      <w:r w:rsidR="00E85796" w:rsidRPr="00E5169F">
        <w:rPr>
          <w:rFonts w:asciiTheme="majorBidi" w:hAnsiTheme="majorBidi" w:cstheme="majorBidi"/>
          <w:color w:val="222222"/>
          <w:sz w:val="24"/>
          <w:szCs w:val="24"/>
          <w:shd w:val="clear" w:color="auto" w:fill="FFFFFF"/>
        </w:rPr>
        <w:t>Schacherer</w:t>
      </w:r>
      <w:proofErr w:type="spellEnd"/>
      <w:r w:rsidR="00E85796" w:rsidRPr="00E5169F">
        <w:rPr>
          <w:rFonts w:asciiTheme="majorBidi" w:hAnsiTheme="majorBidi" w:cstheme="majorBidi"/>
          <w:color w:val="222222"/>
          <w:sz w:val="24"/>
          <w:szCs w:val="24"/>
          <w:shd w:val="clear" w:color="auto" w:fill="FFFFFF"/>
        </w:rPr>
        <w:t>, 2017)</w:t>
      </w:r>
      <w:r w:rsidRPr="00962654">
        <w:rPr>
          <w:rFonts w:asciiTheme="majorBidi" w:hAnsiTheme="majorBidi" w:cstheme="majorBidi"/>
          <w:sz w:val="24"/>
          <w:szCs w:val="24"/>
        </w:rPr>
        <w:t>. Also, eliminating obstructions to private speculation, including unfamiliar venture, and improving the venture atmosphere is viewed as essential in acknowledging dynamic advantages of exchange advancement through improved profitability and development.</w:t>
      </w:r>
      <w:r w:rsidR="00D237C8">
        <w:rPr>
          <w:rFonts w:asciiTheme="majorBidi" w:hAnsiTheme="majorBidi" w:cstheme="majorBidi"/>
          <w:sz w:val="24"/>
          <w:szCs w:val="24"/>
        </w:rPr>
        <w:t xml:space="preserve"> Besides, </w:t>
      </w:r>
      <w:r w:rsidRPr="00E5169F">
        <w:rPr>
          <w:rFonts w:asciiTheme="majorBidi" w:hAnsiTheme="majorBidi" w:cstheme="majorBidi"/>
          <w:sz w:val="24"/>
          <w:szCs w:val="24"/>
        </w:rPr>
        <w:t xml:space="preserve">Financial </w:t>
      </w:r>
      <w:r w:rsidR="00D237C8">
        <w:rPr>
          <w:rFonts w:asciiTheme="majorBidi" w:hAnsiTheme="majorBidi" w:cstheme="majorBidi"/>
          <w:sz w:val="24"/>
          <w:szCs w:val="24"/>
        </w:rPr>
        <w:t>rules and regulations are also a challenge for the smooth running of international trade and finance</w:t>
      </w:r>
      <w:r w:rsidRPr="00E5169F">
        <w:rPr>
          <w:rFonts w:asciiTheme="majorBidi" w:hAnsiTheme="majorBidi" w:cstheme="majorBidi"/>
          <w:sz w:val="24"/>
          <w:szCs w:val="24"/>
        </w:rPr>
        <w:t xml:space="preserve">. </w:t>
      </w:r>
    </w:p>
    <w:p w14:paraId="396B3802" w14:textId="77777777" w:rsidR="00AA2648" w:rsidRPr="00EC3BF4" w:rsidRDefault="00665654" w:rsidP="00706A12">
      <w:pPr>
        <w:pStyle w:val="Heading2"/>
        <w:spacing w:before="0" w:line="360" w:lineRule="auto"/>
        <w:contextualSpacing/>
      </w:pPr>
      <w:bookmarkStart w:id="11" w:name="_Toc55146463"/>
      <w:r w:rsidRPr="00EC3BF4">
        <w:t>Finance theories and Concepts</w:t>
      </w:r>
      <w:bookmarkEnd w:id="11"/>
    </w:p>
    <w:p w14:paraId="615085C2" w14:textId="77777777" w:rsidR="00AA2648" w:rsidRPr="00E5169F"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t>Finance theory and concepts provide some important guidelines regarding the future of financial positions and statistics. Some of the critical economic views are discussed below:</w:t>
      </w:r>
    </w:p>
    <w:p w14:paraId="692845EE" w14:textId="77777777" w:rsidR="00AA2648" w:rsidRPr="00E5169F" w:rsidRDefault="00AA2648" w:rsidP="00706A12">
      <w:pPr>
        <w:spacing w:after="0" w:line="360" w:lineRule="auto"/>
        <w:contextualSpacing/>
        <w:rPr>
          <w:rFonts w:asciiTheme="majorBidi" w:hAnsiTheme="majorBidi" w:cstheme="majorBidi"/>
          <w:sz w:val="24"/>
          <w:szCs w:val="24"/>
        </w:rPr>
      </w:pPr>
    </w:p>
    <w:p w14:paraId="490FAF3A" w14:textId="77777777" w:rsidR="00AA2648" w:rsidRPr="00E5169F" w:rsidRDefault="00665654" w:rsidP="00706A12">
      <w:pPr>
        <w:pStyle w:val="Heading2"/>
        <w:spacing w:before="0" w:line="360" w:lineRule="auto"/>
        <w:contextualSpacing/>
      </w:pPr>
      <w:bookmarkStart w:id="12" w:name="_Toc55146464"/>
      <w:r w:rsidRPr="00E5169F">
        <w:t>Efficient Market Hypothesis</w:t>
      </w:r>
      <w:bookmarkEnd w:id="12"/>
    </w:p>
    <w:p w14:paraId="79C20FE5" w14:textId="77777777" w:rsidR="00AA2648" w:rsidRPr="00E5169F"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t xml:space="preserve">The Efficient Market Hypothesis (EMH), better known as the Efficient Market Theory, is a hypothesis that suggests that all knowledge is expressed by share prices and that consistent alpha is challenging to obtain. Securities are also selling at their fair value on the exchanges, according to the EMH, making it impossible for investors to purchase undervalued stocks or sell inflated-price stocks. It can also be impossible to outperform the overall market by purchasing speciality stocks or market timing, and the only way an investor can get higher returns is by buying riskier investments </w:t>
      </w:r>
      <w:r w:rsidRPr="00E5169F">
        <w:rPr>
          <w:rFonts w:asciiTheme="majorBidi" w:hAnsiTheme="majorBidi" w:cstheme="majorBidi"/>
          <w:color w:val="222222"/>
          <w:sz w:val="24"/>
          <w:szCs w:val="24"/>
          <w:shd w:val="clear" w:color="auto" w:fill="FFFFFF"/>
        </w:rPr>
        <w:t>(Huang et al., 2018)</w:t>
      </w:r>
      <w:r w:rsidRPr="00E5169F">
        <w:rPr>
          <w:rFonts w:asciiTheme="majorBidi" w:hAnsiTheme="majorBidi" w:cstheme="majorBidi"/>
          <w:sz w:val="24"/>
          <w:szCs w:val="24"/>
        </w:rPr>
        <w:t>.</w:t>
      </w:r>
    </w:p>
    <w:p w14:paraId="24E8BD81" w14:textId="77777777" w:rsidR="00AA2648" w:rsidRPr="00E5169F" w:rsidRDefault="00AA2648" w:rsidP="00706A12">
      <w:pPr>
        <w:spacing w:after="0" w:line="360" w:lineRule="auto"/>
        <w:contextualSpacing/>
        <w:rPr>
          <w:rFonts w:asciiTheme="majorBidi" w:hAnsiTheme="majorBidi" w:cstheme="majorBidi"/>
          <w:sz w:val="24"/>
          <w:szCs w:val="24"/>
        </w:rPr>
      </w:pPr>
    </w:p>
    <w:p w14:paraId="0FBAB457" w14:textId="77777777" w:rsidR="00AA2648" w:rsidRPr="00E5169F" w:rsidRDefault="00665654" w:rsidP="00706A12">
      <w:pPr>
        <w:pStyle w:val="Heading2"/>
        <w:spacing w:before="0" w:line="360" w:lineRule="auto"/>
        <w:contextualSpacing/>
      </w:pPr>
      <w:bookmarkStart w:id="13" w:name="_Toc55146465"/>
      <w:r w:rsidRPr="00E5169F">
        <w:t>Fifty Percent Principle</w:t>
      </w:r>
      <w:bookmarkEnd w:id="13"/>
    </w:p>
    <w:p w14:paraId="08A5231C" w14:textId="77777777" w:rsidR="00AA2648" w:rsidRPr="00E5169F"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t xml:space="preserve">The fifty per cent hypothesis suggests that the observed trend will (before continuing) experience a market turnaround of between one-half and two-thirds of the price change. This means that if a stock has been on an upward rise and increased 20 per cent, it will fall down 10 per cent before continuing its growth </w:t>
      </w:r>
      <w:r w:rsidRPr="00E5169F">
        <w:rPr>
          <w:rFonts w:asciiTheme="majorBidi" w:hAnsiTheme="majorBidi" w:cstheme="majorBidi"/>
          <w:color w:val="222222"/>
          <w:sz w:val="24"/>
          <w:szCs w:val="24"/>
          <w:shd w:val="clear" w:color="auto" w:fill="FFFFFF"/>
        </w:rPr>
        <w:t>(</w:t>
      </w:r>
      <w:proofErr w:type="spellStart"/>
      <w:r w:rsidRPr="00E5169F">
        <w:rPr>
          <w:rFonts w:asciiTheme="majorBidi" w:hAnsiTheme="majorBidi" w:cstheme="majorBidi"/>
          <w:color w:val="222222"/>
          <w:sz w:val="24"/>
          <w:szCs w:val="24"/>
          <w:shd w:val="clear" w:color="auto" w:fill="FFFFFF"/>
        </w:rPr>
        <w:t>Dimitropoulos</w:t>
      </w:r>
      <w:proofErr w:type="spellEnd"/>
      <w:r w:rsidRPr="00E5169F">
        <w:rPr>
          <w:rFonts w:asciiTheme="majorBidi" w:hAnsiTheme="majorBidi" w:cstheme="majorBidi"/>
          <w:color w:val="222222"/>
          <w:sz w:val="24"/>
          <w:szCs w:val="24"/>
          <w:shd w:val="clear" w:color="auto" w:fill="FFFFFF"/>
        </w:rPr>
        <w:t>, 2020)</w:t>
      </w:r>
      <w:r w:rsidRPr="00E5169F">
        <w:rPr>
          <w:rFonts w:asciiTheme="majorBidi" w:hAnsiTheme="majorBidi" w:cstheme="majorBidi"/>
          <w:sz w:val="24"/>
          <w:szCs w:val="24"/>
        </w:rPr>
        <w:t xml:space="preserve">. This is an extraordinary example, as this legislation most generally applies to the short-term trends that technical analysts and traders buy and sell on. It is necessary for investors to pursue this principle, since when monitoring the rise and fall of a stock price, it may lead to other charting techniques. The one-half retracement used in this hypothesis is what most technical analysts are looking for before the resumption of buying at the lower support stages. It has been witnessed that the fifty per cent principle is advantageous for </w:t>
      </w:r>
      <w:r w:rsidRPr="00E5169F">
        <w:rPr>
          <w:rFonts w:asciiTheme="majorBidi" w:hAnsiTheme="majorBidi" w:cstheme="majorBidi"/>
          <w:sz w:val="24"/>
          <w:szCs w:val="24"/>
        </w:rPr>
        <w:lastRenderedPageBreak/>
        <w:t xml:space="preserve">short-term buyers. The investors closely watch developments in the economy, so it will be simpler for them to expect unpredictable changes. When they have a greater understanding of the different charting techniques of today, they enjoy the advantages. It is also noteworthy that these investors also take market-based decisions. This is much more important to them than the information they get about the corporation and its shares </w:t>
      </w:r>
      <w:r w:rsidRPr="00E5169F">
        <w:rPr>
          <w:rFonts w:asciiTheme="majorBidi" w:hAnsiTheme="majorBidi" w:cstheme="majorBidi"/>
          <w:color w:val="222222"/>
          <w:sz w:val="24"/>
          <w:szCs w:val="24"/>
          <w:shd w:val="clear" w:color="auto" w:fill="FFFFFF"/>
        </w:rPr>
        <w:t>(KAGUNDA, 2017)</w:t>
      </w:r>
      <w:r w:rsidRPr="00E5169F">
        <w:rPr>
          <w:rFonts w:asciiTheme="majorBidi" w:hAnsiTheme="majorBidi" w:cstheme="majorBidi"/>
          <w:sz w:val="24"/>
          <w:szCs w:val="24"/>
        </w:rPr>
        <w:t xml:space="preserve">. </w:t>
      </w:r>
    </w:p>
    <w:p w14:paraId="424090CF" w14:textId="77777777" w:rsidR="00AA2648" w:rsidRPr="002A561E" w:rsidRDefault="00665654" w:rsidP="00706A12">
      <w:pPr>
        <w:pStyle w:val="Heading2"/>
        <w:spacing w:before="0" w:line="360" w:lineRule="auto"/>
        <w:contextualSpacing/>
      </w:pPr>
      <w:bookmarkStart w:id="14" w:name="_Toc55146466"/>
      <w:r w:rsidRPr="002A561E">
        <w:t>Risk Return Relationship</w:t>
      </w:r>
      <w:bookmarkEnd w:id="14"/>
    </w:p>
    <w:p w14:paraId="42003269" w14:textId="77777777" w:rsidR="00AA2648" w:rsidRPr="00E5169F" w:rsidRDefault="00AA2648" w:rsidP="00706A12">
      <w:pPr>
        <w:spacing w:after="0" w:line="360" w:lineRule="auto"/>
        <w:contextualSpacing/>
        <w:rPr>
          <w:rFonts w:asciiTheme="majorBidi" w:hAnsiTheme="majorBidi" w:cstheme="majorBidi"/>
          <w:sz w:val="24"/>
          <w:szCs w:val="24"/>
        </w:rPr>
      </w:pPr>
    </w:p>
    <w:p w14:paraId="1C9ABE7D" w14:textId="77777777" w:rsidR="00AA2648" w:rsidRPr="00E5169F" w:rsidRDefault="00665654" w:rsidP="00706A12">
      <w:pPr>
        <w:spacing w:after="0" w:line="360" w:lineRule="auto"/>
        <w:ind w:firstLine="720"/>
        <w:contextualSpacing/>
        <w:rPr>
          <w:rFonts w:asciiTheme="majorBidi" w:hAnsiTheme="majorBidi" w:cstheme="majorBidi"/>
          <w:sz w:val="24"/>
          <w:szCs w:val="24"/>
        </w:rPr>
      </w:pPr>
      <w:r w:rsidRPr="00E5169F">
        <w:rPr>
          <w:rFonts w:asciiTheme="majorBidi" w:hAnsiTheme="majorBidi" w:cstheme="majorBidi"/>
          <w:sz w:val="24"/>
          <w:szCs w:val="24"/>
        </w:rPr>
        <w:t xml:space="preserve">Some investments face more risks than the others, and they are more likely to lose a part or all the investment. For example, the risk of "Canadian Savings Bonds" (CSBs) is shallow as the Government of Canada issues them. GICs and bank deposits are also a low risk as large financial institutions support them. For GICs and deposits, deposit insurance is up to $ 100,000 further protected if the bankruptcy of the financial institution goes high. With such a lower risk, the organisation or company would likely lose half of the investment. At the same time, they have lower potential returns than riskier investments and may not control the rate and speed of inflation </w:t>
      </w:r>
      <w:r w:rsidRPr="00E5169F">
        <w:rPr>
          <w:rFonts w:asciiTheme="majorBidi" w:hAnsiTheme="majorBidi" w:cstheme="majorBidi"/>
          <w:color w:val="222222"/>
          <w:sz w:val="24"/>
          <w:szCs w:val="24"/>
          <w:shd w:val="clear" w:color="auto" w:fill="FFFFFF"/>
        </w:rPr>
        <w:t>(</w:t>
      </w:r>
      <w:proofErr w:type="spellStart"/>
      <w:r w:rsidRPr="00E5169F">
        <w:rPr>
          <w:rFonts w:asciiTheme="majorBidi" w:hAnsiTheme="majorBidi" w:cstheme="majorBidi"/>
          <w:color w:val="222222"/>
          <w:sz w:val="24"/>
          <w:szCs w:val="24"/>
          <w:shd w:val="clear" w:color="auto" w:fill="FFFFFF"/>
        </w:rPr>
        <w:t>Dimitropoulos</w:t>
      </w:r>
      <w:proofErr w:type="spellEnd"/>
      <w:r w:rsidRPr="00E5169F">
        <w:rPr>
          <w:rFonts w:asciiTheme="majorBidi" w:hAnsiTheme="majorBidi" w:cstheme="majorBidi"/>
          <w:color w:val="222222"/>
          <w:sz w:val="24"/>
          <w:szCs w:val="24"/>
          <w:shd w:val="clear" w:color="auto" w:fill="FFFFFF"/>
        </w:rPr>
        <w:t>, 2020)</w:t>
      </w:r>
      <w:r w:rsidRPr="00E5169F">
        <w:rPr>
          <w:rFonts w:asciiTheme="majorBidi" w:hAnsiTheme="majorBidi" w:cstheme="majorBidi"/>
          <w:sz w:val="24"/>
          <w:szCs w:val="24"/>
        </w:rPr>
        <w:t xml:space="preserve">. It has further been discussed that bonds have the potential to have higher yields than “CSBs and GICs”, but they also have a higher risk. Their prices may fall if the credit of the issuer declines or interest rates rise. Stock yields are potentially higher than long-term bonds, but they are also riskier. The bond creditors are the creditors of bonds as well </w:t>
      </w:r>
      <w:r w:rsidRPr="00E5169F">
        <w:rPr>
          <w:rFonts w:asciiTheme="majorBidi" w:hAnsiTheme="majorBidi" w:cstheme="majorBidi"/>
          <w:color w:val="222222"/>
          <w:sz w:val="24"/>
          <w:szCs w:val="24"/>
          <w:shd w:val="clear" w:color="auto" w:fill="FFFFFF"/>
        </w:rPr>
        <w:t xml:space="preserve">(Mbengue and </w:t>
      </w:r>
      <w:proofErr w:type="spellStart"/>
      <w:r w:rsidRPr="00E5169F">
        <w:rPr>
          <w:rFonts w:asciiTheme="majorBidi" w:hAnsiTheme="majorBidi" w:cstheme="majorBidi"/>
          <w:color w:val="222222"/>
          <w:sz w:val="24"/>
          <w:szCs w:val="24"/>
          <w:shd w:val="clear" w:color="auto" w:fill="FFFFFF"/>
        </w:rPr>
        <w:t>Schacherer</w:t>
      </w:r>
      <w:proofErr w:type="spellEnd"/>
      <w:r w:rsidRPr="00E5169F">
        <w:rPr>
          <w:rFonts w:asciiTheme="majorBidi" w:hAnsiTheme="majorBidi" w:cstheme="majorBidi"/>
          <w:color w:val="222222"/>
          <w:sz w:val="24"/>
          <w:szCs w:val="24"/>
          <w:shd w:val="clear" w:color="auto" w:fill="FFFFFF"/>
        </w:rPr>
        <w:t>, 2017)</w:t>
      </w:r>
      <w:r w:rsidRPr="00E5169F">
        <w:rPr>
          <w:rFonts w:asciiTheme="majorBidi" w:hAnsiTheme="majorBidi" w:cstheme="majorBidi"/>
          <w:sz w:val="24"/>
          <w:szCs w:val="24"/>
        </w:rPr>
        <w:t xml:space="preserve">. </w:t>
      </w:r>
    </w:p>
    <w:p w14:paraId="778A7ACD" w14:textId="77777777" w:rsidR="00037C51" w:rsidRPr="00E5169F" w:rsidRDefault="00037C51" w:rsidP="00706A12">
      <w:pPr>
        <w:spacing w:after="0" w:line="360" w:lineRule="auto"/>
        <w:contextualSpacing/>
        <w:rPr>
          <w:rFonts w:asciiTheme="majorBidi" w:hAnsiTheme="majorBidi" w:cstheme="majorBidi"/>
          <w:sz w:val="24"/>
          <w:szCs w:val="24"/>
        </w:rPr>
      </w:pPr>
    </w:p>
    <w:p w14:paraId="16960FEC" w14:textId="77777777" w:rsidR="00245A92" w:rsidRDefault="00665654" w:rsidP="00706A12">
      <w:pPr>
        <w:pStyle w:val="Heading1"/>
        <w:spacing w:before="0" w:line="360" w:lineRule="auto"/>
        <w:contextualSpacing/>
      </w:pPr>
      <w:bookmarkStart w:id="15" w:name="_Toc55146467"/>
      <w:r w:rsidRPr="00E5169F">
        <w:t>Conclusion</w:t>
      </w:r>
      <w:bookmarkEnd w:id="15"/>
    </w:p>
    <w:p w14:paraId="15ED978B" w14:textId="77777777" w:rsidR="000C0163" w:rsidRPr="009911FB" w:rsidRDefault="00665654" w:rsidP="00706A12">
      <w:pPr>
        <w:spacing w:after="0" w:line="360" w:lineRule="auto"/>
        <w:ind w:firstLine="720"/>
        <w:contextualSpacing/>
        <w:rPr>
          <w:rFonts w:asciiTheme="majorBidi" w:hAnsiTheme="majorBidi" w:cstheme="majorBidi"/>
          <w:sz w:val="24"/>
          <w:szCs w:val="24"/>
        </w:rPr>
      </w:pPr>
      <w:r w:rsidRPr="009911FB">
        <w:rPr>
          <w:rFonts w:asciiTheme="majorBidi" w:hAnsiTheme="majorBidi" w:cstheme="majorBidi"/>
          <w:sz w:val="24"/>
          <w:szCs w:val="24"/>
        </w:rPr>
        <w:t xml:space="preserve">It has been concluded </w:t>
      </w:r>
      <w:r w:rsidR="00B438A2" w:rsidRPr="009911FB">
        <w:rPr>
          <w:rFonts w:asciiTheme="majorBidi" w:hAnsiTheme="majorBidi" w:cstheme="majorBidi"/>
          <w:sz w:val="24"/>
          <w:szCs w:val="24"/>
        </w:rPr>
        <w:t>e</w:t>
      </w:r>
      <w:r w:rsidR="008D3F0C" w:rsidRPr="009911FB">
        <w:rPr>
          <w:rFonts w:asciiTheme="majorBidi" w:hAnsiTheme="majorBidi" w:cstheme="majorBidi"/>
          <w:sz w:val="24"/>
          <w:szCs w:val="24"/>
        </w:rPr>
        <w:t xml:space="preserve">conomic activity in </w:t>
      </w:r>
      <w:r w:rsidR="00B438A2" w:rsidRPr="009911FB">
        <w:rPr>
          <w:rFonts w:asciiTheme="majorBidi" w:hAnsiTheme="majorBidi" w:cstheme="majorBidi"/>
          <w:sz w:val="24"/>
          <w:szCs w:val="24"/>
        </w:rPr>
        <w:t>numerous</w:t>
      </w:r>
      <w:r w:rsidR="008D3F0C" w:rsidRPr="009911FB">
        <w:rPr>
          <w:rFonts w:asciiTheme="majorBidi" w:hAnsiTheme="majorBidi" w:cstheme="majorBidi"/>
          <w:sz w:val="24"/>
          <w:szCs w:val="24"/>
        </w:rPr>
        <w:t xml:space="preserve"> countries depends on </w:t>
      </w:r>
      <w:r w:rsidR="00B438A2" w:rsidRPr="009911FB">
        <w:rPr>
          <w:rFonts w:asciiTheme="majorBidi" w:hAnsiTheme="majorBidi" w:cstheme="majorBidi"/>
          <w:sz w:val="24"/>
          <w:szCs w:val="24"/>
        </w:rPr>
        <w:t>investment and trade</w:t>
      </w:r>
      <w:r w:rsidR="008D3F0C" w:rsidRPr="009911FB">
        <w:rPr>
          <w:rFonts w:asciiTheme="majorBidi" w:hAnsiTheme="majorBidi" w:cstheme="majorBidi"/>
          <w:sz w:val="24"/>
          <w:szCs w:val="24"/>
        </w:rPr>
        <w:t xml:space="preserve"> by different </w:t>
      </w:r>
      <w:r w:rsidR="00EB2FB7" w:rsidRPr="009911FB">
        <w:rPr>
          <w:rFonts w:asciiTheme="majorBidi" w:hAnsiTheme="majorBidi" w:cstheme="majorBidi"/>
          <w:sz w:val="24"/>
          <w:szCs w:val="24"/>
        </w:rPr>
        <w:t>financial organisations.</w:t>
      </w:r>
      <w:r w:rsidR="00FA7CB3" w:rsidRPr="009911FB">
        <w:rPr>
          <w:rFonts w:asciiTheme="majorBidi" w:hAnsiTheme="majorBidi" w:cstheme="majorBidi"/>
          <w:sz w:val="24"/>
          <w:szCs w:val="24"/>
        </w:rPr>
        <w:t xml:space="preserve"> These financial organisations include the World Trade Organisation and the World Bank.</w:t>
      </w:r>
      <w:r w:rsidR="008D3F0C" w:rsidRPr="009911FB">
        <w:rPr>
          <w:rFonts w:asciiTheme="majorBidi" w:hAnsiTheme="majorBidi" w:cstheme="majorBidi"/>
          <w:sz w:val="24"/>
          <w:szCs w:val="24"/>
        </w:rPr>
        <w:t xml:space="preserve"> The </w:t>
      </w:r>
      <w:r w:rsidR="004942A6" w:rsidRPr="009911FB">
        <w:rPr>
          <w:rFonts w:asciiTheme="majorBidi" w:hAnsiTheme="majorBidi" w:cstheme="majorBidi"/>
          <w:sz w:val="24"/>
          <w:szCs w:val="24"/>
        </w:rPr>
        <w:t>aspects</w:t>
      </w:r>
      <w:r w:rsidR="008D3F0C" w:rsidRPr="009911FB">
        <w:rPr>
          <w:rFonts w:asciiTheme="majorBidi" w:hAnsiTheme="majorBidi" w:cstheme="majorBidi"/>
          <w:sz w:val="24"/>
          <w:szCs w:val="24"/>
        </w:rPr>
        <w:t xml:space="preserve"> that foster, develop and encourage trade and investment in </w:t>
      </w:r>
      <w:r w:rsidR="003B6F9F" w:rsidRPr="009911FB">
        <w:rPr>
          <w:rFonts w:asciiTheme="majorBidi" w:hAnsiTheme="majorBidi" w:cstheme="majorBidi"/>
          <w:sz w:val="24"/>
          <w:szCs w:val="24"/>
        </w:rPr>
        <w:t>the world</w:t>
      </w:r>
      <w:r w:rsidR="008D3F0C" w:rsidRPr="009911FB">
        <w:rPr>
          <w:rFonts w:asciiTheme="majorBidi" w:hAnsiTheme="majorBidi" w:cstheme="majorBidi"/>
          <w:sz w:val="24"/>
          <w:szCs w:val="24"/>
        </w:rPr>
        <w:t xml:space="preserve"> are primarily macroeconomic factors. </w:t>
      </w:r>
      <w:proofErr w:type="spellStart"/>
      <w:r w:rsidR="008D5FCB" w:rsidRPr="009911FB">
        <w:rPr>
          <w:rFonts w:asciiTheme="majorBidi" w:hAnsiTheme="majorBidi" w:cstheme="majorBidi"/>
          <w:sz w:val="24"/>
          <w:szCs w:val="24"/>
        </w:rPr>
        <w:t>Economicorganisations</w:t>
      </w:r>
      <w:proofErr w:type="spellEnd"/>
      <w:r w:rsidR="008D5FCB" w:rsidRPr="009911FB">
        <w:rPr>
          <w:rFonts w:asciiTheme="majorBidi" w:hAnsiTheme="majorBidi" w:cstheme="majorBidi"/>
          <w:sz w:val="24"/>
          <w:szCs w:val="24"/>
        </w:rPr>
        <w:t xml:space="preserve"> and financial institutions are </w:t>
      </w:r>
      <w:r w:rsidR="008D3F0C" w:rsidRPr="009911FB">
        <w:rPr>
          <w:rFonts w:asciiTheme="majorBidi" w:hAnsiTheme="majorBidi" w:cstheme="majorBidi"/>
          <w:sz w:val="24"/>
          <w:szCs w:val="24"/>
        </w:rPr>
        <w:t xml:space="preserve">more concerned with the growth of </w:t>
      </w:r>
      <w:r w:rsidR="008D5FCB" w:rsidRPr="009911FB">
        <w:rPr>
          <w:rFonts w:asciiTheme="majorBidi" w:hAnsiTheme="majorBidi" w:cstheme="majorBidi"/>
          <w:sz w:val="24"/>
          <w:szCs w:val="24"/>
        </w:rPr>
        <w:t>enterprises and business a</w:t>
      </w:r>
      <w:r w:rsidR="008D3F0C" w:rsidRPr="009911FB">
        <w:rPr>
          <w:rFonts w:asciiTheme="majorBidi" w:hAnsiTheme="majorBidi" w:cstheme="majorBidi"/>
          <w:sz w:val="24"/>
          <w:szCs w:val="24"/>
        </w:rPr>
        <w:t xml:space="preserve">cross the </w:t>
      </w:r>
      <w:proofErr w:type="spellStart"/>
      <w:proofErr w:type="gramStart"/>
      <w:r w:rsidR="008D3F0C" w:rsidRPr="009911FB">
        <w:rPr>
          <w:rFonts w:asciiTheme="majorBidi" w:hAnsiTheme="majorBidi" w:cstheme="majorBidi"/>
          <w:sz w:val="24"/>
          <w:szCs w:val="24"/>
        </w:rPr>
        <w:t>globe.</w:t>
      </w:r>
      <w:r w:rsidR="007B7298" w:rsidRPr="009911FB">
        <w:rPr>
          <w:rFonts w:asciiTheme="majorBidi" w:hAnsiTheme="majorBidi" w:cstheme="majorBidi"/>
          <w:sz w:val="24"/>
          <w:szCs w:val="24"/>
        </w:rPr>
        <w:t>It</w:t>
      </w:r>
      <w:proofErr w:type="spellEnd"/>
      <w:proofErr w:type="gramEnd"/>
      <w:r w:rsidR="007B7298" w:rsidRPr="009911FB">
        <w:rPr>
          <w:rFonts w:asciiTheme="majorBidi" w:hAnsiTheme="majorBidi" w:cstheme="majorBidi"/>
          <w:sz w:val="24"/>
          <w:szCs w:val="24"/>
        </w:rPr>
        <w:t xml:space="preserve"> is easier to understand what </w:t>
      </w:r>
      <w:r w:rsidR="00B33FD6" w:rsidRPr="009911FB">
        <w:rPr>
          <w:rFonts w:asciiTheme="majorBidi" w:hAnsiTheme="majorBidi" w:cstheme="majorBidi"/>
          <w:sz w:val="24"/>
          <w:szCs w:val="24"/>
        </w:rPr>
        <w:t>financial institutions</w:t>
      </w:r>
      <w:r w:rsidR="007B7298" w:rsidRPr="009911FB">
        <w:rPr>
          <w:rFonts w:asciiTheme="majorBidi" w:hAnsiTheme="majorBidi" w:cstheme="majorBidi"/>
          <w:sz w:val="24"/>
          <w:szCs w:val="24"/>
        </w:rPr>
        <w:t xml:space="preserve"> and </w:t>
      </w:r>
      <w:r w:rsidR="00B33FD6" w:rsidRPr="009911FB">
        <w:rPr>
          <w:rFonts w:asciiTheme="majorBidi" w:hAnsiTheme="majorBidi" w:cstheme="majorBidi"/>
          <w:sz w:val="24"/>
          <w:szCs w:val="24"/>
        </w:rPr>
        <w:t>trade organisations</w:t>
      </w:r>
      <w:r w:rsidR="007B7298" w:rsidRPr="009911FB">
        <w:rPr>
          <w:rFonts w:asciiTheme="majorBidi" w:hAnsiTheme="majorBidi" w:cstheme="majorBidi"/>
          <w:sz w:val="24"/>
          <w:szCs w:val="24"/>
        </w:rPr>
        <w:t xml:space="preserve"> that promote </w:t>
      </w:r>
      <w:r w:rsidR="005D7107" w:rsidRPr="009911FB">
        <w:rPr>
          <w:rFonts w:asciiTheme="majorBidi" w:hAnsiTheme="majorBidi" w:cstheme="majorBidi"/>
          <w:sz w:val="24"/>
          <w:szCs w:val="24"/>
        </w:rPr>
        <w:t>investment and</w:t>
      </w:r>
      <w:r w:rsidR="00A03A0F" w:rsidRPr="009911FB">
        <w:rPr>
          <w:rFonts w:asciiTheme="majorBidi" w:hAnsiTheme="majorBidi" w:cstheme="majorBidi"/>
          <w:sz w:val="24"/>
          <w:szCs w:val="24"/>
        </w:rPr>
        <w:t xml:space="preserve"> cross-border trade</w:t>
      </w:r>
      <w:r w:rsidR="005D7107" w:rsidRPr="009911FB">
        <w:rPr>
          <w:rFonts w:asciiTheme="majorBidi" w:hAnsiTheme="majorBidi" w:cstheme="majorBidi"/>
          <w:sz w:val="24"/>
          <w:szCs w:val="24"/>
        </w:rPr>
        <w:t xml:space="preserve"> (globalis</w:t>
      </w:r>
      <w:r w:rsidR="007B7298" w:rsidRPr="009911FB">
        <w:rPr>
          <w:rFonts w:asciiTheme="majorBidi" w:hAnsiTheme="majorBidi" w:cstheme="majorBidi"/>
          <w:sz w:val="24"/>
          <w:szCs w:val="24"/>
        </w:rPr>
        <w:t xml:space="preserve">ation) are needed for comprehensive business and economic analysis. The factors associated with macroeconomics have to be </w:t>
      </w:r>
      <w:r w:rsidR="00172ACC" w:rsidRPr="009911FB">
        <w:rPr>
          <w:rFonts w:asciiTheme="majorBidi" w:hAnsiTheme="majorBidi" w:cstheme="majorBidi"/>
          <w:sz w:val="24"/>
          <w:szCs w:val="24"/>
        </w:rPr>
        <w:t xml:space="preserve">comprehended </w:t>
      </w:r>
      <w:r w:rsidR="007B7298" w:rsidRPr="009911FB">
        <w:rPr>
          <w:rFonts w:asciiTheme="majorBidi" w:hAnsiTheme="majorBidi" w:cstheme="majorBidi"/>
          <w:sz w:val="24"/>
          <w:szCs w:val="24"/>
        </w:rPr>
        <w:t>to conside</w:t>
      </w:r>
      <w:r w:rsidR="00172ACC" w:rsidRPr="009911FB">
        <w:rPr>
          <w:rFonts w:asciiTheme="majorBidi" w:hAnsiTheme="majorBidi" w:cstheme="majorBidi"/>
          <w:sz w:val="24"/>
          <w:szCs w:val="24"/>
        </w:rPr>
        <w:t>r the factors affecting globalis</w:t>
      </w:r>
      <w:r w:rsidR="007B7298" w:rsidRPr="009911FB">
        <w:rPr>
          <w:rFonts w:asciiTheme="majorBidi" w:hAnsiTheme="majorBidi" w:cstheme="majorBidi"/>
          <w:sz w:val="24"/>
          <w:szCs w:val="24"/>
        </w:rPr>
        <w:t>ation. Trade has altered a lot since the WTO was formed. For trade, the country's mutual advantage has become significant.</w:t>
      </w:r>
    </w:p>
    <w:p w14:paraId="56DB7BEC" w14:textId="77777777" w:rsidR="006D16C5" w:rsidRDefault="00665654" w:rsidP="00706A12">
      <w:pPr>
        <w:pStyle w:val="Heading1"/>
        <w:spacing w:before="0" w:line="360" w:lineRule="auto"/>
        <w:contextualSpacing/>
      </w:pPr>
      <w:bookmarkStart w:id="16" w:name="_Toc55146468"/>
      <w:r w:rsidRPr="00BC0F14">
        <w:lastRenderedPageBreak/>
        <w:t>Recommendations</w:t>
      </w:r>
      <w:bookmarkEnd w:id="16"/>
    </w:p>
    <w:p w14:paraId="3D2DF110" w14:textId="77777777" w:rsidR="00BC0F14" w:rsidRPr="0055469C" w:rsidRDefault="00665654" w:rsidP="00706A12">
      <w:pPr>
        <w:spacing w:after="0" w:line="360" w:lineRule="auto"/>
        <w:ind w:firstLine="720"/>
        <w:contextualSpacing/>
        <w:rPr>
          <w:rFonts w:ascii="Times New Roman" w:hAnsi="Times New Roman" w:cs="Times New Roman"/>
          <w:sz w:val="24"/>
          <w:szCs w:val="24"/>
        </w:rPr>
      </w:pPr>
      <w:r w:rsidRPr="0055469C">
        <w:rPr>
          <w:rFonts w:ascii="Times New Roman" w:hAnsi="Times New Roman" w:cs="Times New Roman"/>
          <w:sz w:val="24"/>
          <w:szCs w:val="24"/>
        </w:rPr>
        <w:t xml:space="preserve">It has been </w:t>
      </w:r>
      <w:r w:rsidR="0058671A" w:rsidRPr="0055469C">
        <w:rPr>
          <w:rFonts w:ascii="Times New Roman" w:hAnsi="Times New Roman" w:cs="Times New Roman"/>
          <w:sz w:val="24"/>
          <w:szCs w:val="24"/>
        </w:rPr>
        <w:t>recommended</w:t>
      </w:r>
      <w:r w:rsidRPr="0055469C">
        <w:rPr>
          <w:rFonts w:ascii="Times New Roman" w:hAnsi="Times New Roman" w:cs="Times New Roman"/>
          <w:sz w:val="24"/>
          <w:szCs w:val="24"/>
        </w:rPr>
        <w:t xml:space="preserve"> that </w:t>
      </w:r>
      <w:r w:rsidR="001245DC" w:rsidRPr="0055469C">
        <w:rPr>
          <w:rFonts w:ascii="Times New Roman" w:hAnsi="Times New Roman" w:cs="Times New Roman"/>
          <w:sz w:val="24"/>
          <w:szCs w:val="24"/>
        </w:rPr>
        <w:t>world trade organisations and financial organisations should work together</w:t>
      </w:r>
      <w:r w:rsidR="007553D7" w:rsidRPr="0055469C">
        <w:rPr>
          <w:rFonts w:ascii="Times New Roman" w:hAnsi="Times New Roman" w:cs="Times New Roman"/>
          <w:sz w:val="24"/>
          <w:szCs w:val="24"/>
        </w:rPr>
        <w:t xml:space="preserve"> to provide equal and safer economic growth and development in the 21</w:t>
      </w:r>
      <w:r w:rsidR="007553D7" w:rsidRPr="0055469C">
        <w:rPr>
          <w:rFonts w:ascii="Times New Roman" w:hAnsi="Times New Roman" w:cs="Times New Roman"/>
          <w:sz w:val="24"/>
          <w:szCs w:val="24"/>
          <w:vertAlign w:val="superscript"/>
        </w:rPr>
        <w:t>st</w:t>
      </w:r>
      <w:r w:rsidR="007553D7" w:rsidRPr="0055469C">
        <w:rPr>
          <w:rFonts w:ascii="Times New Roman" w:hAnsi="Times New Roman" w:cs="Times New Roman"/>
          <w:sz w:val="24"/>
          <w:szCs w:val="24"/>
        </w:rPr>
        <w:t xml:space="preserve"> </w:t>
      </w:r>
      <w:proofErr w:type="spellStart"/>
      <w:r w:rsidR="007553D7" w:rsidRPr="0055469C">
        <w:rPr>
          <w:rFonts w:ascii="Times New Roman" w:hAnsi="Times New Roman" w:cs="Times New Roman"/>
          <w:sz w:val="24"/>
          <w:szCs w:val="24"/>
        </w:rPr>
        <w:t>century.</w:t>
      </w:r>
      <w:r w:rsidR="008031D9" w:rsidRPr="0055469C">
        <w:rPr>
          <w:rFonts w:ascii="Times New Roman" w:hAnsi="Times New Roman" w:cs="Times New Roman"/>
          <w:sz w:val="24"/>
          <w:szCs w:val="24"/>
        </w:rPr>
        <w:t>The</w:t>
      </w:r>
      <w:proofErr w:type="spellEnd"/>
      <w:r w:rsidR="008031D9" w:rsidRPr="0055469C">
        <w:rPr>
          <w:rFonts w:ascii="Times New Roman" w:hAnsi="Times New Roman" w:cs="Times New Roman"/>
          <w:sz w:val="24"/>
          <w:szCs w:val="24"/>
        </w:rPr>
        <w:t xml:space="preserve"> international trade scene is undergoing </w:t>
      </w:r>
      <w:r w:rsidR="00424B3A" w:rsidRPr="0055469C">
        <w:rPr>
          <w:rFonts w:ascii="Times New Roman" w:hAnsi="Times New Roman" w:cs="Times New Roman"/>
          <w:sz w:val="24"/>
          <w:szCs w:val="24"/>
        </w:rPr>
        <w:t>many shifts, and trading organis</w:t>
      </w:r>
      <w:r w:rsidR="008031D9" w:rsidRPr="0055469C">
        <w:rPr>
          <w:rFonts w:ascii="Times New Roman" w:hAnsi="Times New Roman" w:cs="Times New Roman"/>
          <w:sz w:val="24"/>
          <w:szCs w:val="24"/>
        </w:rPr>
        <w:t xml:space="preserve">ations have to play an important role in keeping up with these </w:t>
      </w:r>
      <w:proofErr w:type="spellStart"/>
      <w:r w:rsidR="008031D9" w:rsidRPr="0055469C">
        <w:rPr>
          <w:rFonts w:ascii="Times New Roman" w:hAnsi="Times New Roman" w:cs="Times New Roman"/>
          <w:sz w:val="24"/>
          <w:szCs w:val="24"/>
        </w:rPr>
        <w:t>changes.</w:t>
      </w:r>
      <w:r w:rsidR="00B922F6" w:rsidRPr="0055469C">
        <w:rPr>
          <w:rFonts w:ascii="Times New Roman" w:hAnsi="Times New Roman" w:cs="Times New Roman"/>
          <w:sz w:val="24"/>
          <w:szCs w:val="24"/>
        </w:rPr>
        <w:t>The</w:t>
      </w:r>
      <w:proofErr w:type="spellEnd"/>
      <w:r w:rsidR="00B922F6" w:rsidRPr="0055469C">
        <w:rPr>
          <w:rFonts w:ascii="Times New Roman" w:hAnsi="Times New Roman" w:cs="Times New Roman"/>
          <w:sz w:val="24"/>
          <w:szCs w:val="24"/>
        </w:rPr>
        <w:t xml:space="preserve"> current scenario of trade, business, and investment should be changed, and space for free trade should be </w:t>
      </w:r>
      <w:proofErr w:type="spellStart"/>
      <w:r w:rsidR="00B922F6" w:rsidRPr="0055469C">
        <w:rPr>
          <w:rFonts w:ascii="Times New Roman" w:hAnsi="Times New Roman" w:cs="Times New Roman"/>
          <w:sz w:val="24"/>
          <w:szCs w:val="24"/>
        </w:rPr>
        <w:t>given.</w:t>
      </w:r>
      <w:r w:rsidR="00FC4A53" w:rsidRPr="0055469C">
        <w:rPr>
          <w:rFonts w:ascii="Times New Roman" w:hAnsi="Times New Roman" w:cs="Times New Roman"/>
          <w:sz w:val="24"/>
          <w:szCs w:val="24"/>
        </w:rPr>
        <w:t>Furthermore</w:t>
      </w:r>
      <w:proofErr w:type="spellEnd"/>
      <w:r w:rsidR="00FC4A53" w:rsidRPr="0055469C">
        <w:rPr>
          <w:rFonts w:ascii="Times New Roman" w:hAnsi="Times New Roman" w:cs="Times New Roman"/>
          <w:sz w:val="24"/>
          <w:szCs w:val="24"/>
        </w:rPr>
        <w:t xml:space="preserve">, </w:t>
      </w:r>
      <w:r w:rsidR="00893C69" w:rsidRPr="0055469C">
        <w:rPr>
          <w:rFonts w:ascii="Times New Roman" w:hAnsi="Times New Roman" w:cs="Times New Roman"/>
          <w:sz w:val="24"/>
          <w:szCs w:val="24"/>
        </w:rPr>
        <w:t xml:space="preserve">that trading bodies </w:t>
      </w:r>
      <w:r w:rsidR="004621EF" w:rsidRPr="0055469C">
        <w:rPr>
          <w:rFonts w:ascii="Times New Roman" w:hAnsi="Times New Roman" w:cs="Times New Roman"/>
          <w:sz w:val="24"/>
          <w:szCs w:val="24"/>
        </w:rPr>
        <w:t>should</w:t>
      </w:r>
      <w:r w:rsidR="00893C69" w:rsidRPr="0055469C">
        <w:rPr>
          <w:rFonts w:ascii="Times New Roman" w:hAnsi="Times New Roman" w:cs="Times New Roman"/>
          <w:sz w:val="24"/>
          <w:szCs w:val="24"/>
        </w:rPr>
        <w:t xml:space="preserve"> formulate strategies that will help eliminate trade barriers and help developed countries compete in a highly competitive international trade environment intending to </w:t>
      </w:r>
      <w:r w:rsidR="00D05F50" w:rsidRPr="0055469C">
        <w:rPr>
          <w:rFonts w:ascii="Times New Roman" w:hAnsi="Times New Roman" w:cs="Times New Roman"/>
          <w:sz w:val="24"/>
          <w:szCs w:val="24"/>
        </w:rPr>
        <w:t>gain</w:t>
      </w:r>
      <w:r w:rsidR="00893C69" w:rsidRPr="0055469C">
        <w:rPr>
          <w:rFonts w:ascii="Times New Roman" w:hAnsi="Times New Roman" w:cs="Times New Roman"/>
          <w:sz w:val="24"/>
          <w:szCs w:val="24"/>
        </w:rPr>
        <w:t xml:space="preserve"> a </w:t>
      </w:r>
      <w:r w:rsidR="00D05F50" w:rsidRPr="0055469C">
        <w:rPr>
          <w:rFonts w:ascii="Times New Roman" w:hAnsi="Times New Roman" w:cs="Times New Roman"/>
          <w:sz w:val="24"/>
          <w:szCs w:val="24"/>
        </w:rPr>
        <w:t xml:space="preserve">transparent and </w:t>
      </w:r>
      <w:proofErr w:type="spellStart"/>
      <w:r w:rsidR="00D05F50" w:rsidRPr="0055469C">
        <w:rPr>
          <w:rFonts w:ascii="Times New Roman" w:hAnsi="Times New Roman" w:cs="Times New Roman"/>
          <w:sz w:val="24"/>
          <w:szCs w:val="24"/>
        </w:rPr>
        <w:t>stable</w:t>
      </w:r>
      <w:r w:rsidR="00D0069E" w:rsidRPr="0055469C">
        <w:rPr>
          <w:rFonts w:ascii="Times New Roman" w:hAnsi="Times New Roman" w:cs="Times New Roman"/>
          <w:sz w:val="24"/>
          <w:szCs w:val="24"/>
        </w:rPr>
        <w:t>global</w:t>
      </w:r>
      <w:proofErr w:type="spellEnd"/>
      <w:r w:rsidR="00D0069E" w:rsidRPr="0055469C">
        <w:rPr>
          <w:rFonts w:ascii="Times New Roman" w:hAnsi="Times New Roman" w:cs="Times New Roman"/>
          <w:sz w:val="24"/>
          <w:szCs w:val="24"/>
        </w:rPr>
        <w:t xml:space="preserve"> system of trade and </w:t>
      </w:r>
      <w:proofErr w:type="spellStart"/>
      <w:r w:rsidR="00D0069E" w:rsidRPr="0055469C">
        <w:rPr>
          <w:rFonts w:ascii="Times New Roman" w:hAnsi="Times New Roman" w:cs="Times New Roman"/>
          <w:sz w:val="24"/>
          <w:szCs w:val="24"/>
        </w:rPr>
        <w:t>investment</w:t>
      </w:r>
      <w:r w:rsidR="00893C69" w:rsidRPr="0055469C">
        <w:rPr>
          <w:rFonts w:ascii="Times New Roman" w:hAnsi="Times New Roman" w:cs="Times New Roman"/>
          <w:sz w:val="24"/>
          <w:szCs w:val="24"/>
        </w:rPr>
        <w:t>.</w:t>
      </w:r>
      <w:r w:rsidR="00E44882" w:rsidRPr="0055469C">
        <w:rPr>
          <w:rFonts w:ascii="Times New Roman" w:hAnsi="Times New Roman" w:cs="Times New Roman"/>
          <w:sz w:val="24"/>
          <w:szCs w:val="24"/>
        </w:rPr>
        <w:t>The</w:t>
      </w:r>
      <w:proofErr w:type="spellEnd"/>
      <w:r w:rsidR="00E44882" w:rsidRPr="0055469C">
        <w:rPr>
          <w:rFonts w:ascii="Times New Roman" w:hAnsi="Times New Roman" w:cs="Times New Roman"/>
          <w:sz w:val="24"/>
          <w:szCs w:val="24"/>
        </w:rPr>
        <w:t xml:space="preserve"> financial organisations should also </w:t>
      </w:r>
      <w:r w:rsidR="00894DDC" w:rsidRPr="0055469C">
        <w:rPr>
          <w:rFonts w:ascii="Times New Roman" w:hAnsi="Times New Roman" w:cs="Times New Roman"/>
          <w:sz w:val="24"/>
          <w:szCs w:val="24"/>
        </w:rPr>
        <w:t xml:space="preserve">to enable </w:t>
      </w:r>
      <w:r w:rsidR="00E44882" w:rsidRPr="0055469C">
        <w:rPr>
          <w:rFonts w:ascii="Times New Roman" w:hAnsi="Times New Roman" w:cs="Times New Roman"/>
          <w:sz w:val="24"/>
          <w:szCs w:val="24"/>
        </w:rPr>
        <w:t xml:space="preserve">their member states as well as the other </w:t>
      </w:r>
      <w:r w:rsidR="009917DB" w:rsidRPr="0055469C">
        <w:rPr>
          <w:rFonts w:ascii="Times New Roman" w:hAnsi="Times New Roman" w:cs="Times New Roman"/>
          <w:sz w:val="24"/>
          <w:szCs w:val="24"/>
        </w:rPr>
        <w:t>countries to</w:t>
      </w:r>
      <w:r w:rsidR="00894DDC" w:rsidRPr="0055469C">
        <w:rPr>
          <w:rFonts w:ascii="Times New Roman" w:hAnsi="Times New Roman" w:cs="Times New Roman"/>
          <w:sz w:val="24"/>
          <w:szCs w:val="24"/>
        </w:rPr>
        <w:t xml:space="preserve"> take full advantage of high-speed </w:t>
      </w:r>
      <w:r w:rsidR="009917DB" w:rsidRPr="0055469C">
        <w:rPr>
          <w:rFonts w:ascii="Times New Roman" w:hAnsi="Times New Roman" w:cs="Times New Roman"/>
          <w:sz w:val="24"/>
          <w:szCs w:val="24"/>
        </w:rPr>
        <w:t>financial advancement</w:t>
      </w:r>
      <w:r w:rsidR="00894DDC" w:rsidRPr="0055469C">
        <w:rPr>
          <w:rFonts w:ascii="Times New Roman" w:hAnsi="Times New Roman" w:cs="Times New Roman"/>
          <w:sz w:val="24"/>
          <w:szCs w:val="24"/>
        </w:rPr>
        <w:t xml:space="preserve"> to make it easier to operate trading positions more conveniently and in advance between countries.</w:t>
      </w:r>
    </w:p>
    <w:p w14:paraId="2685D4F8" w14:textId="77777777" w:rsidR="00B82CA2" w:rsidRPr="00E5169F" w:rsidRDefault="00B82CA2" w:rsidP="00706A12">
      <w:pPr>
        <w:spacing w:after="0" w:line="360" w:lineRule="auto"/>
        <w:contextualSpacing/>
        <w:rPr>
          <w:rFonts w:asciiTheme="majorBidi" w:hAnsiTheme="majorBidi" w:cstheme="majorBidi"/>
          <w:sz w:val="24"/>
          <w:szCs w:val="24"/>
        </w:rPr>
      </w:pPr>
    </w:p>
    <w:p w14:paraId="774805FB" w14:textId="77777777" w:rsidR="00960A66" w:rsidRPr="00E5169F" w:rsidRDefault="00665654" w:rsidP="00706A12">
      <w:pPr>
        <w:spacing w:after="0" w:line="360" w:lineRule="auto"/>
        <w:contextualSpacing/>
        <w:rPr>
          <w:rFonts w:asciiTheme="majorBidi" w:hAnsiTheme="majorBidi" w:cstheme="majorBidi"/>
          <w:sz w:val="24"/>
          <w:szCs w:val="24"/>
        </w:rPr>
      </w:pPr>
      <w:r w:rsidRPr="00E5169F">
        <w:rPr>
          <w:rFonts w:asciiTheme="majorBidi" w:hAnsiTheme="majorBidi" w:cstheme="majorBidi"/>
          <w:sz w:val="24"/>
          <w:szCs w:val="24"/>
        </w:rPr>
        <w:br w:type="page"/>
      </w:r>
    </w:p>
    <w:p w14:paraId="211A70DC" w14:textId="77777777" w:rsidR="00960A66" w:rsidRPr="00E5169F" w:rsidRDefault="00960A66" w:rsidP="00706A12">
      <w:pPr>
        <w:spacing w:after="0" w:line="360" w:lineRule="auto"/>
        <w:contextualSpacing/>
        <w:rPr>
          <w:rFonts w:asciiTheme="majorBidi" w:hAnsiTheme="majorBidi" w:cstheme="majorBidi"/>
          <w:sz w:val="24"/>
          <w:szCs w:val="24"/>
        </w:rPr>
      </w:pPr>
    </w:p>
    <w:p w14:paraId="0E68795F" w14:textId="77777777" w:rsidR="001271C5" w:rsidRPr="00E5169F" w:rsidRDefault="00665654" w:rsidP="00706A12">
      <w:pPr>
        <w:pStyle w:val="Heading1"/>
        <w:spacing w:before="0" w:line="360" w:lineRule="auto"/>
        <w:contextualSpacing/>
      </w:pPr>
      <w:bookmarkStart w:id="17" w:name="_Toc55146469"/>
      <w:r w:rsidRPr="00E5169F">
        <w:t>References</w:t>
      </w:r>
      <w:bookmarkEnd w:id="17"/>
    </w:p>
    <w:p w14:paraId="5904F5FF"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Cheng, T., 2019. Special Economic Zones: A Catalyst for International Trade and Investment in Unsettling </w:t>
      </w:r>
      <w:proofErr w:type="gramStart"/>
      <w:r w:rsidRPr="00E5169F">
        <w:rPr>
          <w:rFonts w:asciiTheme="majorBidi" w:hAnsiTheme="majorBidi" w:cstheme="majorBidi"/>
          <w:color w:val="222222"/>
          <w:sz w:val="24"/>
          <w:szCs w:val="24"/>
          <w:shd w:val="clear" w:color="auto" w:fill="FFFFFF"/>
        </w:rPr>
        <w:t>Times?.</w:t>
      </w:r>
      <w:proofErr w:type="gramEnd"/>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20</w:t>
      </w:r>
      <w:r w:rsidRPr="00E5169F">
        <w:rPr>
          <w:rFonts w:asciiTheme="majorBidi" w:hAnsiTheme="majorBidi" w:cstheme="majorBidi"/>
          <w:color w:val="222222"/>
          <w:sz w:val="24"/>
          <w:szCs w:val="24"/>
          <w:shd w:val="clear" w:color="auto" w:fill="FFFFFF"/>
        </w:rPr>
        <w:t>(1), pp.32-67.</w:t>
      </w:r>
    </w:p>
    <w:p w14:paraId="2E5E123A"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KAGUNDA, J., 2017. </w:t>
      </w:r>
      <w:r w:rsidRPr="00E5169F">
        <w:rPr>
          <w:rFonts w:asciiTheme="majorBidi" w:hAnsiTheme="majorBidi" w:cstheme="majorBidi"/>
          <w:i/>
          <w:iCs/>
          <w:color w:val="222222"/>
          <w:sz w:val="24"/>
          <w:szCs w:val="24"/>
          <w:shd w:val="clear" w:color="auto" w:fill="FFFFFF"/>
        </w:rPr>
        <w:t>THE ROLE OF INTERNATIONAL TRADE IN ENHANCING CROSS-BORDER BANKING SERVICES AT BARCLAYS BANK LIMITED</w:t>
      </w:r>
      <w:r w:rsidRPr="00E5169F">
        <w:rPr>
          <w:rFonts w:asciiTheme="majorBidi" w:hAnsiTheme="majorBidi" w:cstheme="majorBidi"/>
          <w:color w:val="222222"/>
          <w:sz w:val="24"/>
          <w:szCs w:val="24"/>
          <w:shd w:val="clear" w:color="auto" w:fill="FFFFFF"/>
        </w:rPr>
        <w:t> (Doctoral dissertation, SCHOOL OF BUSINESS, UNIVERSITY OF NAIROBI).</w:t>
      </w:r>
    </w:p>
    <w:p w14:paraId="69EE05B2"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Betz, T. and Pond, A., 2019. Foreign financing and international sources of property rights. </w:t>
      </w:r>
      <w:r w:rsidRPr="00E5169F">
        <w:rPr>
          <w:rFonts w:asciiTheme="majorBidi" w:hAnsiTheme="majorBidi" w:cstheme="majorBidi"/>
          <w:i/>
          <w:iCs/>
          <w:color w:val="222222"/>
          <w:sz w:val="24"/>
          <w:szCs w:val="24"/>
          <w:shd w:val="clear" w:color="auto" w:fill="FFFFFF"/>
        </w:rPr>
        <w:t>World Politics</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71</w:t>
      </w:r>
      <w:r w:rsidRPr="00E5169F">
        <w:rPr>
          <w:rFonts w:asciiTheme="majorBidi" w:hAnsiTheme="majorBidi" w:cstheme="majorBidi"/>
          <w:color w:val="222222"/>
          <w:sz w:val="24"/>
          <w:szCs w:val="24"/>
          <w:shd w:val="clear" w:color="auto" w:fill="FFFFFF"/>
        </w:rPr>
        <w:t>(3), pp.503-541.</w:t>
      </w:r>
    </w:p>
    <w:p w14:paraId="6B5D7A91"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Yu, K., 2019. Energy Cooperation Under the Belt and Road Initiative: Implications for Global Energy Governance.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20</w:t>
      </w:r>
      <w:r w:rsidRPr="00E5169F">
        <w:rPr>
          <w:rFonts w:asciiTheme="majorBidi" w:hAnsiTheme="majorBidi" w:cstheme="majorBidi"/>
          <w:color w:val="222222"/>
          <w:sz w:val="24"/>
          <w:szCs w:val="24"/>
          <w:shd w:val="clear" w:color="auto" w:fill="FFFFFF"/>
        </w:rPr>
        <w:t>(2-3), pp.243-258.</w:t>
      </w:r>
    </w:p>
    <w:p w14:paraId="7C340502"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Mbengue, M.M. and </w:t>
      </w:r>
      <w:proofErr w:type="spellStart"/>
      <w:r w:rsidRPr="00E5169F">
        <w:rPr>
          <w:rFonts w:asciiTheme="majorBidi" w:hAnsiTheme="majorBidi" w:cstheme="majorBidi"/>
          <w:color w:val="222222"/>
          <w:sz w:val="24"/>
          <w:szCs w:val="24"/>
          <w:shd w:val="clear" w:color="auto" w:fill="FFFFFF"/>
        </w:rPr>
        <w:t>Schacherer</w:t>
      </w:r>
      <w:proofErr w:type="spellEnd"/>
      <w:r w:rsidRPr="00E5169F">
        <w:rPr>
          <w:rFonts w:asciiTheme="majorBidi" w:hAnsiTheme="majorBidi" w:cstheme="majorBidi"/>
          <w:color w:val="222222"/>
          <w:sz w:val="24"/>
          <w:szCs w:val="24"/>
          <w:shd w:val="clear" w:color="auto" w:fill="FFFFFF"/>
        </w:rPr>
        <w:t>, S., 2017. The ‘</w:t>
      </w:r>
      <w:proofErr w:type="spellStart"/>
      <w:r w:rsidRPr="00E5169F">
        <w:rPr>
          <w:rFonts w:asciiTheme="majorBidi" w:hAnsiTheme="majorBidi" w:cstheme="majorBidi"/>
          <w:color w:val="222222"/>
          <w:sz w:val="24"/>
          <w:szCs w:val="24"/>
          <w:shd w:val="clear" w:color="auto" w:fill="FFFFFF"/>
        </w:rPr>
        <w:t>Africanization’of</w:t>
      </w:r>
      <w:proofErr w:type="spellEnd"/>
      <w:r w:rsidRPr="00E5169F">
        <w:rPr>
          <w:rFonts w:asciiTheme="majorBidi" w:hAnsiTheme="majorBidi" w:cstheme="majorBidi"/>
          <w:color w:val="222222"/>
          <w:sz w:val="24"/>
          <w:szCs w:val="24"/>
          <w:shd w:val="clear" w:color="auto" w:fill="FFFFFF"/>
        </w:rPr>
        <w:t xml:space="preserve"> international investment law: </w:t>
      </w:r>
      <w:proofErr w:type="gramStart"/>
      <w:r w:rsidRPr="00E5169F">
        <w:rPr>
          <w:rFonts w:asciiTheme="majorBidi" w:hAnsiTheme="majorBidi" w:cstheme="majorBidi"/>
          <w:color w:val="222222"/>
          <w:sz w:val="24"/>
          <w:szCs w:val="24"/>
          <w:shd w:val="clear" w:color="auto" w:fill="FFFFFF"/>
        </w:rPr>
        <w:t>the</w:t>
      </w:r>
      <w:proofErr w:type="gramEnd"/>
      <w:r w:rsidRPr="00E5169F">
        <w:rPr>
          <w:rFonts w:asciiTheme="majorBidi" w:hAnsiTheme="majorBidi" w:cstheme="majorBidi"/>
          <w:color w:val="222222"/>
          <w:sz w:val="24"/>
          <w:szCs w:val="24"/>
          <w:shd w:val="clear" w:color="auto" w:fill="FFFFFF"/>
        </w:rPr>
        <w:t xml:space="preserve"> Pan-African Investment Code and the reform of the global investment regime.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18</w:t>
      </w:r>
      <w:r w:rsidRPr="00E5169F">
        <w:rPr>
          <w:rFonts w:asciiTheme="majorBidi" w:hAnsiTheme="majorBidi" w:cstheme="majorBidi"/>
          <w:color w:val="222222"/>
          <w:sz w:val="24"/>
          <w:szCs w:val="24"/>
          <w:shd w:val="clear" w:color="auto" w:fill="FFFFFF"/>
        </w:rPr>
        <w:t>(3), pp.414-448.</w:t>
      </w:r>
    </w:p>
    <w:p w14:paraId="72B11323"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Fitzgerald, O.E., </w:t>
      </w:r>
      <w:proofErr w:type="spellStart"/>
      <w:r w:rsidRPr="00E5169F">
        <w:rPr>
          <w:rFonts w:asciiTheme="majorBidi" w:hAnsiTheme="majorBidi" w:cstheme="majorBidi"/>
          <w:color w:val="222222"/>
          <w:sz w:val="24"/>
          <w:szCs w:val="24"/>
          <w:shd w:val="clear" w:color="auto" w:fill="FFFFFF"/>
        </w:rPr>
        <w:t>Burri</w:t>
      </w:r>
      <w:proofErr w:type="spellEnd"/>
      <w:r w:rsidRPr="00E5169F">
        <w:rPr>
          <w:rFonts w:asciiTheme="majorBidi" w:hAnsiTheme="majorBidi" w:cstheme="majorBidi"/>
          <w:color w:val="222222"/>
          <w:sz w:val="24"/>
          <w:szCs w:val="24"/>
          <w:shd w:val="clear" w:color="auto" w:fill="FFFFFF"/>
        </w:rPr>
        <w:t xml:space="preserve">, M., Carmody, C., </w:t>
      </w:r>
      <w:proofErr w:type="spellStart"/>
      <w:r w:rsidRPr="00E5169F">
        <w:rPr>
          <w:rFonts w:asciiTheme="majorBidi" w:hAnsiTheme="majorBidi" w:cstheme="majorBidi"/>
          <w:color w:val="222222"/>
          <w:sz w:val="24"/>
          <w:szCs w:val="24"/>
          <w:shd w:val="clear" w:color="auto" w:fill="FFFFFF"/>
        </w:rPr>
        <w:t>Ciuriak</w:t>
      </w:r>
      <w:proofErr w:type="spellEnd"/>
      <w:r w:rsidRPr="00E5169F">
        <w:rPr>
          <w:rFonts w:asciiTheme="majorBidi" w:hAnsiTheme="majorBidi" w:cstheme="majorBidi"/>
          <w:color w:val="222222"/>
          <w:sz w:val="24"/>
          <w:szCs w:val="24"/>
          <w:shd w:val="clear" w:color="auto" w:fill="FFFFFF"/>
        </w:rPr>
        <w:t xml:space="preserve">, D., </w:t>
      </w:r>
      <w:proofErr w:type="spellStart"/>
      <w:r w:rsidRPr="00E5169F">
        <w:rPr>
          <w:rFonts w:asciiTheme="majorBidi" w:hAnsiTheme="majorBidi" w:cstheme="majorBidi"/>
          <w:color w:val="222222"/>
          <w:sz w:val="24"/>
          <w:szCs w:val="24"/>
          <w:shd w:val="clear" w:color="auto" w:fill="FFFFFF"/>
        </w:rPr>
        <w:t>Cosbey</w:t>
      </w:r>
      <w:proofErr w:type="spellEnd"/>
      <w:r w:rsidRPr="00E5169F">
        <w:rPr>
          <w:rFonts w:asciiTheme="majorBidi" w:hAnsiTheme="majorBidi" w:cstheme="majorBidi"/>
          <w:color w:val="222222"/>
          <w:sz w:val="24"/>
          <w:szCs w:val="24"/>
          <w:shd w:val="clear" w:color="auto" w:fill="FFFFFF"/>
        </w:rPr>
        <w:t xml:space="preserve">, A., Cottier, T., Gao, H., </w:t>
      </w:r>
      <w:proofErr w:type="spellStart"/>
      <w:r w:rsidRPr="00E5169F">
        <w:rPr>
          <w:rFonts w:asciiTheme="majorBidi" w:hAnsiTheme="majorBidi" w:cstheme="majorBidi"/>
          <w:color w:val="222222"/>
          <w:sz w:val="24"/>
          <w:szCs w:val="24"/>
          <w:shd w:val="clear" w:color="auto" w:fill="FFFFFF"/>
        </w:rPr>
        <w:t>Hoekman</w:t>
      </w:r>
      <w:proofErr w:type="spellEnd"/>
      <w:r w:rsidRPr="00E5169F">
        <w:rPr>
          <w:rFonts w:asciiTheme="majorBidi" w:hAnsiTheme="majorBidi" w:cstheme="majorBidi"/>
          <w:color w:val="222222"/>
          <w:sz w:val="24"/>
          <w:szCs w:val="24"/>
          <w:shd w:val="clear" w:color="auto" w:fill="FFFFFF"/>
        </w:rPr>
        <w:t>, B.M., Hughes, V., Lane, L. and Lim, C.L., 2019. Innovation &amp; Trade. </w:t>
      </w:r>
      <w:r w:rsidRPr="00E5169F">
        <w:rPr>
          <w:rFonts w:asciiTheme="majorBidi" w:hAnsiTheme="majorBidi" w:cstheme="majorBidi"/>
          <w:i/>
          <w:iCs/>
          <w:color w:val="222222"/>
          <w:sz w:val="24"/>
          <w:szCs w:val="24"/>
          <w:shd w:val="clear" w:color="auto" w:fill="FFFFFF"/>
        </w:rPr>
        <w:t>Policy</w:t>
      </w:r>
      <w:r w:rsidRPr="00E5169F">
        <w:rPr>
          <w:rFonts w:asciiTheme="majorBidi" w:hAnsiTheme="majorBidi" w:cstheme="majorBidi"/>
          <w:color w:val="222222"/>
          <w:sz w:val="24"/>
          <w:szCs w:val="24"/>
          <w:shd w:val="clear" w:color="auto" w:fill="FFFFFF"/>
        </w:rPr>
        <w:t>.</w:t>
      </w:r>
    </w:p>
    <w:p w14:paraId="0E3817D6"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proofErr w:type="spellStart"/>
      <w:r w:rsidRPr="00E5169F">
        <w:rPr>
          <w:rFonts w:asciiTheme="majorBidi" w:hAnsiTheme="majorBidi" w:cstheme="majorBidi"/>
          <w:color w:val="222222"/>
          <w:sz w:val="24"/>
          <w:szCs w:val="24"/>
          <w:shd w:val="clear" w:color="auto" w:fill="FFFFFF"/>
        </w:rPr>
        <w:t>Dimitropoulos</w:t>
      </w:r>
      <w:proofErr w:type="spellEnd"/>
      <w:r w:rsidRPr="00E5169F">
        <w:rPr>
          <w:rFonts w:asciiTheme="majorBidi" w:hAnsiTheme="majorBidi" w:cstheme="majorBidi"/>
          <w:color w:val="222222"/>
          <w:sz w:val="24"/>
          <w:szCs w:val="24"/>
          <w:shd w:val="clear" w:color="auto" w:fill="FFFFFF"/>
        </w:rPr>
        <w:t>, G., 2020. National Sovereignty and International Investment Law: Sovereignty Reassertion and Prospects of Reform.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21</w:t>
      </w:r>
      <w:r w:rsidRPr="00E5169F">
        <w:rPr>
          <w:rFonts w:asciiTheme="majorBidi" w:hAnsiTheme="majorBidi" w:cstheme="majorBidi"/>
          <w:color w:val="222222"/>
          <w:sz w:val="24"/>
          <w:szCs w:val="24"/>
          <w:shd w:val="clear" w:color="auto" w:fill="FFFFFF"/>
        </w:rPr>
        <w:t>(1), pp.71-103.</w:t>
      </w:r>
    </w:p>
    <w:p w14:paraId="18F7126F"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Wu, C.H., 2018. Global Economic Governance in the Wake of the Asian Infrastructure Investment Bank: Is China Remaking Bretton </w:t>
      </w:r>
      <w:proofErr w:type="gramStart"/>
      <w:r w:rsidRPr="00E5169F">
        <w:rPr>
          <w:rFonts w:asciiTheme="majorBidi" w:hAnsiTheme="majorBidi" w:cstheme="majorBidi"/>
          <w:color w:val="222222"/>
          <w:sz w:val="24"/>
          <w:szCs w:val="24"/>
          <w:shd w:val="clear" w:color="auto" w:fill="FFFFFF"/>
        </w:rPr>
        <w:t>Woods?.</w:t>
      </w:r>
      <w:proofErr w:type="gramEnd"/>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19</w:t>
      </w:r>
      <w:r w:rsidRPr="00E5169F">
        <w:rPr>
          <w:rFonts w:asciiTheme="majorBidi" w:hAnsiTheme="majorBidi" w:cstheme="majorBidi"/>
          <w:color w:val="222222"/>
          <w:sz w:val="24"/>
          <w:szCs w:val="24"/>
          <w:shd w:val="clear" w:color="auto" w:fill="FFFFFF"/>
        </w:rPr>
        <w:t>(3), pp.542-569.</w:t>
      </w:r>
    </w:p>
    <w:p w14:paraId="598AEDCF"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Huang, K., </w:t>
      </w:r>
      <w:proofErr w:type="spellStart"/>
      <w:r w:rsidRPr="00E5169F">
        <w:rPr>
          <w:rFonts w:asciiTheme="majorBidi" w:hAnsiTheme="majorBidi" w:cstheme="majorBidi"/>
          <w:color w:val="222222"/>
          <w:sz w:val="24"/>
          <w:szCs w:val="24"/>
          <w:shd w:val="clear" w:color="auto" w:fill="FFFFFF"/>
        </w:rPr>
        <w:t>Madnick</w:t>
      </w:r>
      <w:proofErr w:type="spellEnd"/>
      <w:r w:rsidRPr="00E5169F">
        <w:rPr>
          <w:rFonts w:asciiTheme="majorBidi" w:hAnsiTheme="majorBidi" w:cstheme="majorBidi"/>
          <w:color w:val="222222"/>
          <w:sz w:val="24"/>
          <w:szCs w:val="24"/>
          <w:shd w:val="clear" w:color="auto" w:fill="FFFFFF"/>
        </w:rPr>
        <w:t>, S. and Johnson, S., 2018. Interactions Between Cybersecurity and International Trade: A Systematic Framework.</w:t>
      </w:r>
    </w:p>
    <w:p w14:paraId="41D214F6"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proofErr w:type="spellStart"/>
      <w:r w:rsidRPr="00E5169F">
        <w:rPr>
          <w:rFonts w:asciiTheme="majorBidi" w:hAnsiTheme="majorBidi" w:cstheme="majorBidi"/>
          <w:color w:val="222222"/>
          <w:sz w:val="24"/>
          <w:szCs w:val="24"/>
          <w:shd w:val="clear" w:color="auto" w:fill="FFFFFF"/>
        </w:rPr>
        <w:t>Dimitropoulos</w:t>
      </w:r>
      <w:proofErr w:type="spellEnd"/>
      <w:r w:rsidRPr="00E5169F">
        <w:rPr>
          <w:rFonts w:asciiTheme="majorBidi" w:hAnsiTheme="majorBidi" w:cstheme="majorBidi"/>
          <w:color w:val="222222"/>
          <w:sz w:val="24"/>
          <w:szCs w:val="24"/>
          <w:shd w:val="clear" w:color="auto" w:fill="FFFFFF"/>
        </w:rPr>
        <w:t xml:space="preserve">, G., 2020. The Conditions for Reform: </w:t>
      </w:r>
      <w:proofErr w:type="gramStart"/>
      <w:r w:rsidRPr="00E5169F">
        <w:rPr>
          <w:rFonts w:asciiTheme="majorBidi" w:hAnsiTheme="majorBidi" w:cstheme="majorBidi"/>
          <w:color w:val="222222"/>
          <w:sz w:val="24"/>
          <w:szCs w:val="24"/>
          <w:shd w:val="clear" w:color="auto" w:fill="FFFFFF"/>
        </w:rPr>
        <w:t>a</w:t>
      </w:r>
      <w:proofErr w:type="gramEnd"/>
      <w:r w:rsidRPr="00E5169F">
        <w:rPr>
          <w:rFonts w:asciiTheme="majorBidi" w:hAnsiTheme="majorBidi" w:cstheme="majorBidi"/>
          <w:color w:val="222222"/>
          <w:sz w:val="24"/>
          <w:szCs w:val="24"/>
          <w:shd w:val="clear" w:color="auto" w:fill="FFFFFF"/>
        </w:rPr>
        <w:t xml:space="preserve"> Typology of “Backlash” and Lessons for Reform in International Investment Law and Arbitration. </w:t>
      </w:r>
      <w:r w:rsidRPr="00E5169F">
        <w:rPr>
          <w:rFonts w:asciiTheme="majorBidi" w:hAnsiTheme="majorBidi" w:cstheme="majorBidi"/>
          <w:i/>
          <w:iCs/>
          <w:color w:val="222222"/>
          <w:sz w:val="24"/>
          <w:szCs w:val="24"/>
          <w:shd w:val="clear" w:color="auto" w:fill="FFFFFF"/>
        </w:rPr>
        <w:t>The Law &amp; Practice of International Courts and Tribunals</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18</w:t>
      </w:r>
      <w:r w:rsidRPr="00E5169F">
        <w:rPr>
          <w:rFonts w:asciiTheme="majorBidi" w:hAnsiTheme="majorBidi" w:cstheme="majorBidi"/>
          <w:color w:val="222222"/>
          <w:sz w:val="24"/>
          <w:szCs w:val="24"/>
          <w:shd w:val="clear" w:color="auto" w:fill="FFFFFF"/>
        </w:rPr>
        <w:t>(3), pp.416-435.</w:t>
      </w:r>
    </w:p>
    <w:p w14:paraId="337AF763"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proofErr w:type="spellStart"/>
      <w:r w:rsidRPr="00E5169F">
        <w:rPr>
          <w:rFonts w:asciiTheme="majorBidi" w:hAnsiTheme="majorBidi" w:cstheme="majorBidi"/>
          <w:color w:val="222222"/>
          <w:sz w:val="24"/>
          <w:szCs w:val="24"/>
          <w:shd w:val="clear" w:color="auto" w:fill="FFFFFF"/>
        </w:rPr>
        <w:t>Vidigal</w:t>
      </w:r>
      <w:proofErr w:type="spellEnd"/>
      <w:r w:rsidRPr="00E5169F">
        <w:rPr>
          <w:rFonts w:asciiTheme="majorBidi" w:hAnsiTheme="majorBidi" w:cstheme="majorBidi"/>
          <w:color w:val="222222"/>
          <w:sz w:val="24"/>
          <w:szCs w:val="24"/>
          <w:shd w:val="clear" w:color="auto" w:fill="FFFFFF"/>
        </w:rPr>
        <w:t xml:space="preserve">, G. and Stevens, B., 2018. Brazil’s New Model of Dispute Settlement for Investment: Return to the Past or Alternative for the </w:t>
      </w:r>
      <w:proofErr w:type="gramStart"/>
      <w:r w:rsidRPr="00E5169F">
        <w:rPr>
          <w:rFonts w:asciiTheme="majorBidi" w:hAnsiTheme="majorBidi" w:cstheme="majorBidi"/>
          <w:color w:val="222222"/>
          <w:sz w:val="24"/>
          <w:szCs w:val="24"/>
          <w:shd w:val="clear" w:color="auto" w:fill="FFFFFF"/>
        </w:rPr>
        <w:t>Future?.</w:t>
      </w:r>
      <w:proofErr w:type="gramEnd"/>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19</w:t>
      </w:r>
      <w:r w:rsidRPr="00E5169F">
        <w:rPr>
          <w:rFonts w:asciiTheme="majorBidi" w:hAnsiTheme="majorBidi" w:cstheme="majorBidi"/>
          <w:color w:val="222222"/>
          <w:sz w:val="24"/>
          <w:szCs w:val="24"/>
          <w:shd w:val="clear" w:color="auto" w:fill="FFFFFF"/>
        </w:rPr>
        <w:t>(3), pp.475-512.</w:t>
      </w:r>
    </w:p>
    <w:p w14:paraId="0F715886"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lastRenderedPageBreak/>
        <w:t>Mbengue, M.M., 2017. Africa and the Reform of the International Investment Regime: An Introduction.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18</w:t>
      </w:r>
      <w:r w:rsidRPr="00E5169F">
        <w:rPr>
          <w:rFonts w:asciiTheme="majorBidi" w:hAnsiTheme="majorBidi" w:cstheme="majorBidi"/>
          <w:color w:val="222222"/>
          <w:sz w:val="24"/>
          <w:szCs w:val="24"/>
          <w:shd w:val="clear" w:color="auto" w:fill="FFFFFF"/>
        </w:rPr>
        <w:t>(3), pp.371-378.</w:t>
      </w:r>
    </w:p>
    <w:p w14:paraId="0A5DD211" w14:textId="77777777" w:rsidR="00B701AE" w:rsidRPr="00E5169F" w:rsidRDefault="00665654" w:rsidP="00706A12">
      <w:pPr>
        <w:spacing w:after="0" w:line="360" w:lineRule="auto"/>
        <w:ind w:left="720" w:hanging="720"/>
        <w:contextualSpacing/>
        <w:rPr>
          <w:rFonts w:asciiTheme="majorBidi" w:hAnsiTheme="majorBidi" w:cstheme="majorBidi"/>
          <w:color w:val="222222"/>
          <w:sz w:val="24"/>
          <w:szCs w:val="24"/>
          <w:shd w:val="clear" w:color="auto" w:fill="FFFFFF"/>
        </w:rPr>
      </w:pPr>
      <w:r w:rsidRPr="00E5169F">
        <w:rPr>
          <w:rFonts w:asciiTheme="majorBidi" w:hAnsiTheme="majorBidi" w:cstheme="majorBidi"/>
          <w:color w:val="222222"/>
          <w:sz w:val="24"/>
          <w:szCs w:val="24"/>
          <w:shd w:val="clear" w:color="auto" w:fill="FFFFFF"/>
        </w:rPr>
        <w:t xml:space="preserve">Knight, L. and </w:t>
      </w:r>
      <w:proofErr w:type="spellStart"/>
      <w:r w:rsidRPr="00E5169F">
        <w:rPr>
          <w:rFonts w:asciiTheme="majorBidi" w:hAnsiTheme="majorBidi" w:cstheme="majorBidi"/>
          <w:color w:val="222222"/>
          <w:sz w:val="24"/>
          <w:szCs w:val="24"/>
          <w:shd w:val="clear" w:color="auto" w:fill="FFFFFF"/>
        </w:rPr>
        <w:t>Voon</w:t>
      </w:r>
      <w:proofErr w:type="spellEnd"/>
      <w:r w:rsidRPr="00E5169F">
        <w:rPr>
          <w:rFonts w:asciiTheme="majorBidi" w:hAnsiTheme="majorBidi" w:cstheme="majorBidi"/>
          <w:color w:val="222222"/>
          <w:sz w:val="24"/>
          <w:szCs w:val="24"/>
          <w:shd w:val="clear" w:color="auto" w:fill="FFFFFF"/>
        </w:rPr>
        <w:t>, T., 2020. The Evolution of National Security at the Interface Between Domestic and International Investment Law and Policy: The Role of China. </w:t>
      </w:r>
      <w:r w:rsidRPr="00E5169F">
        <w:rPr>
          <w:rFonts w:asciiTheme="majorBidi" w:hAnsiTheme="majorBidi" w:cstheme="majorBidi"/>
          <w:i/>
          <w:iCs/>
          <w:color w:val="222222"/>
          <w:sz w:val="24"/>
          <w:szCs w:val="24"/>
          <w:shd w:val="clear" w:color="auto" w:fill="FFFFFF"/>
        </w:rPr>
        <w:t>The Journal of World Investment &amp; Trade</w:t>
      </w:r>
      <w:r w:rsidRPr="00E5169F">
        <w:rPr>
          <w:rFonts w:asciiTheme="majorBidi" w:hAnsiTheme="majorBidi" w:cstheme="majorBidi"/>
          <w:color w:val="222222"/>
          <w:sz w:val="24"/>
          <w:szCs w:val="24"/>
          <w:shd w:val="clear" w:color="auto" w:fill="FFFFFF"/>
        </w:rPr>
        <w:t>, </w:t>
      </w:r>
      <w:r w:rsidRPr="00E5169F">
        <w:rPr>
          <w:rFonts w:asciiTheme="majorBidi" w:hAnsiTheme="majorBidi" w:cstheme="majorBidi"/>
          <w:i/>
          <w:iCs/>
          <w:color w:val="222222"/>
          <w:sz w:val="24"/>
          <w:szCs w:val="24"/>
          <w:shd w:val="clear" w:color="auto" w:fill="FFFFFF"/>
        </w:rPr>
        <w:t>21</w:t>
      </w:r>
      <w:r w:rsidRPr="00E5169F">
        <w:rPr>
          <w:rFonts w:asciiTheme="majorBidi" w:hAnsiTheme="majorBidi" w:cstheme="majorBidi"/>
          <w:color w:val="222222"/>
          <w:sz w:val="24"/>
          <w:szCs w:val="24"/>
          <w:shd w:val="clear" w:color="auto" w:fill="FFFFFF"/>
        </w:rPr>
        <w:t>(1), pp.104-139.</w:t>
      </w:r>
    </w:p>
    <w:p w14:paraId="4C50914B" w14:textId="77777777" w:rsidR="00B701AE" w:rsidRPr="00E5169F" w:rsidRDefault="00665654" w:rsidP="00706A12">
      <w:pPr>
        <w:spacing w:after="0" w:line="360" w:lineRule="auto"/>
        <w:ind w:left="720" w:hanging="720"/>
        <w:contextualSpacing/>
        <w:rPr>
          <w:rFonts w:asciiTheme="majorBidi" w:hAnsiTheme="majorBidi" w:cstheme="majorBidi"/>
          <w:sz w:val="24"/>
          <w:szCs w:val="24"/>
        </w:rPr>
      </w:pPr>
      <w:r w:rsidRPr="00E5169F">
        <w:rPr>
          <w:rFonts w:asciiTheme="majorBidi" w:hAnsiTheme="majorBidi" w:cstheme="majorBidi"/>
          <w:sz w:val="24"/>
          <w:szCs w:val="24"/>
        </w:rPr>
        <w:t>Frederic S. Mishkin, Stanley G. Eakins, (2012) Financial markets and institutions, 7th edition,</w:t>
      </w:r>
    </w:p>
    <w:p w14:paraId="49E2D026" w14:textId="77777777" w:rsidR="00B701AE" w:rsidRPr="00E5169F" w:rsidRDefault="00665654" w:rsidP="00706A12">
      <w:pPr>
        <w:spacing w:after="0" w:line="360" w:lineRule="auto"/>
        <w:ind w:left="720" w:hanging="720"/>
        <w:contextualSpacing/>
        <w:rPr>
          <w:rFonts w:asciiTheme="majorBidi" w:hAnsiTheme="majorBidi" w:cstheme="majorBidi"/>
          <w:sz w:val="24"/>
          <w:szCs w:val="24"/>
        </w:rPr>
      </w:pPr>
      <w:r w:rsidRPr="00E5169F">
        <w:rPr>
          <w:rFonts w:asciiTheme="majorBidi" w:hAnsiTheme="majorBidi" w:cstheme="majorBidi"/>
          <w:sz w:val="24"/>
          <w:szCs w:val="24"/>
        </w:rPr>
        <w:t>Pearson Education.</w:t>
      </w:r>
    </w:p>
    <w:p w14:paraId="1D581CD8" w14:textId="77777777" w:rsidR="00B701AE" w:rsidRPr="00E5169F" w:rsidRDefault="00665654" w:rsidP="00706A12">
      <w:pPr>
        <w:spacing w:after="0" w:line="360" w:lineRule="auto"/>
        <w:ind w:left="720" w:hanging="720"/>
        <w:contextualSpacing/>
        <w:rPr>
          <w:rFonts w:asciiTheme="majorBidi" w:hAnsiTheme="majorBidi" w:cstheme="majorBidi"/>
          <w:sz w:val="24"/>
          <w:szCs w:val="24"/>
        </w:rPr>
      </w:pPr>
      <w:r w:rsidRPr="00E5169F">
        <w:rPr>
          <w:rFonts w:asciiTheme="majorBidi" w:hAnsiTheme="majorBidi" w:cstheme="majorBidi"/>
          <w:sz w:val="24"/>
          <w:szCs w:val="24"/>
        </w:rPr>
        <w:t xml:space="preserve">Petros </w:t>
      </w:r>
      <w:proofErr w:type="spellStart"/>
      <w:r w:rsidRPr="00E5169F">
        <w:rPr>
          <w:rFonts w:asciiTheme="majorBidi" w:hAnsiTheme="majorBidi" w:cstheme="majorBidi"/>
          <w:sz w:val="24"/>
          <w:szCs w:val="24"/>
        </w:rPr>
        <w:t>Mavroidis</w:t>
      </w:r>
      <w:proofErr w:type="spellEnd"/>
      <w:r w:rsidRPr="00E5169F">
        <w:rPr>
          <w:rFonts w:asciiTheme="majorBidi" w:hAnsiTheme="majorBidi" w:cstheme="majorBidi"/>
          <w:sz w:val="24"/>
          <w:szCs w:val="24"/>
        </w:rPr>
        <w:t>, (2012) Trade in goods: the GATT and the other WTO agreements</w:t>
      </w:r>
    </w:p>
    <w:p w14:paraId="5857588B" w14:textId="77777777" w:rsidR="00B701AE" w:rsidRPr="00E5169F" w:rsidRDefault="00665654" w:rsidP="00706A12">
      <w:pPr>
        <w:spacing w:after="0" w:line="360" w:lineRule="auto"/>
        <w:ind w:left="720" w:hanging="720"/>
        <w:contextualSpacing/>
        <w:rPr>
          <w:rFonts w:asciiTheme="majorBidi" w:hAnsiTheme="majorBidi" w:cstheme="majorBidi"/>
          <w:sz w:val="24"/>
          <w:szCs w:val="24"/>
        </w:rPr>
      </w:pPr>
      <w:r w:rsidRPr="00E5169F">
        <w:rPr>
          <w:rFonts w:asciiTheme="majorBidi" w:hAnsiTheme="majorBidi" w:cstheme="majorBidi"/>
          <w:sz w:val="24"/>
          <w:szCs w:val="24"/>
        </w:rPr>
        <w:t>regulating trade in goods,</w:t>
      </w:r>
    </w:p>
    <w:sectPr w:rsidR="00B701AE" w:rsidRPr="00E5169F" w:rsidSect="00411E58">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DF9D" w14:textId="77777777" w:rsidR="009365A3" w:rsidRDefault="009365A3" w:rsidP="00585314">
      <w:pPr>
        <w:spacing w:after="0" w:line="240" w:lineRule="auto"/>
      </w:pPr>
      <w:r>
        <w:separator/>
      </w:r>
    </w:p>
  </w:endnote>
  <w:endnote w:type="continuationSeparator" w:id="0">
    <w:p w14:paraId="0A9B411B" w14:textId="77777777" w:rsidR="009365A3" w:rsidRDefault="009365A3" w:rsidP="0058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569CF" w14:textId="77777777" w:rsidR="009365A3" w:rsidRDefault="009365A3" w:rsidP="00585314">
      <w:pPr>
        <w:spacing w:after="0" w:line="240" w:lineRule="auto"/>
      </w:pPr>
      <w:r>
        <w:separator/>
      </w:r>
    </w:p>
  </w:footnote>
  <w:footnote w:type="continuationSeparator" w:id="0">
    <w:p w14:paraId="2FC91C70" w14:textId="77777777" w:rsidR="009365A3" w:rsidRDefault="009365A3" w:rsidP="00585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0B3ED" w14:textId="77777777" w:rsidR="00411E58" w:rsidRDefault="00665654">
    <w:pPr>
      <w:pStyle w:val="Header"/>
      <w:jc w:val="right"/>
    </w:pPr>
    <w:r>
      <w:t xml:space="preserve">Investment     </w:t>
    </w:r>
    <w:sdt>
      <w:sdtPr>
        <w:id w:val="1607380368"/>
        <w:docPartObj>
          <w:docPartGallery w:val="Page Numbers (Top of Page)"/>
          <w:docPartUnique/>
        </w:docPartObj>
      </w:sdtPr>
      <w:sdtEndPr>
        <w:rPr>
          <w:noProof/>
        </w:rPr>
      </w:sdtEndPr>
      <w:sdtContent>
        <w:r w:rsidR="00585314">
          <w:fldChar w:fldCharType="begin"/>
        </w:r>
        <w:r>
          <w:instrText xml:space="preserve"> PAGE   \* MERGEFORMAT </w:instrText>
        </w:r>
        <w:r w:rsidR="00585314">
          <w:fldChar w:fldCharType="separate"/>
        </w:r>
        <w:r w:rsidR="00377BB1">
          <w:rPr>
            <w:noProof/>
          </w:rPr>
          <w:t>2</w:t>
        </w:r>
        <w:r w:rsidR="00585314">
          <w:rPr>
            <w:noProof/>
          </w:rPr>
          <w:fldChar w:fldCharType="end"/>
        </w:r>
      </w:sdtContent>
    </w:sdt>
  </w:p>
  <w:p w14:paraId="1273452C" w14:textId="77777777" w:rsidR="00411E58" w:rsidRDefault="00411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F3522"/>
    <w:multiLevelType w:val="hybridMultilevel"/>
    <w:tmpl w:val="2FAEAEB8"/>
    <w:lvl w:ilvl="0" w:tplc="690689B0">
      <w:start w:val="1"/>
      <w:numFmt w:val="bullet"/>
      <w:lvlText w:val=""/>
      <w:lvlJc w:val="left"/>
      <w:pPr>
        <w:ind w:left="720" w:hanging="360"/>
      </w:pPr>
      <w:rPr>
        <w:rFonts w:ascii="Symbol" w:hAnsi="Symbol" w:hint="default"/>
      </w:rPr>
    </w:lvl>
    <w:lvl w:ilvl="1" w:tplc="8C18E32E" w:tentative="1">
      <w:start w:val="1"/>
      <w:numFmt w:val="bullet"/>
      <w:lvlText w:val="o"/>
      <w:lvlJc w:val="left"/>
      <w:pPr>
        <w:ind w:left="1440" w:hanging="360"/>
      </w:pPr>
      <w:rPr>
        <w:rFonts w:ascii="Courier New" w:hAnsi="Courier New" w:cs="Courier New" w:hint="default"/>
      </w:rPr>
    </w:lvl>
    <w:lvl w:ilvl="2" w:tplc="ED824E44" w:tentative="1">
      <w:start w:val="1"/>
      <w:numFmt w:val="bullet"/>
      <w:lvlText w:val=""/>
      <w:lvlJc w:val="left"/>
      <w:pPr>
        <w:ind w:left="2160" w:hanging="360"/>
      </w:pPr>
      <w:rPr>
        <w:rFonts w:ascii="Wingdings" w:hAnsi="Wingdings" w:hint="default"/>
      </w:rPr>
    </w:lvl>
    <w:lvl w:ilvl="3" w:tplc="F75C3BF0" w:tentative="1">
      <w:start w:val="1"/>
      <w:numFmt w:val="bullet"/>
      <w:lvlText w:val=""/>
      <w:lvlJc w:val="left"/>
      <w:pPr>
        <w:ind w:left="2880" w:hanging="360"/>
      </w:pPr>
      <w:rPr>
        <w:rFonts w:ascii="Symbol" w:hAnsi="Symbol" w:hint="default"/>
      </w:rPr>
    </w:lvl>
    <w:lvl w:ilvl="4" w:tplc="DEC6DEBE" w:tentative="1">
      <w:start w:val="1"/>
      <w:numFmt w:val="bullet"/>
      <w:lvlText w:val="o"/>
      <w:lvlJc w:val="left"/>
      <w:pPr>
        <w:ind w:left="3600" w:hanging="360"/>
      </w:pPr>
      <w:rPr>
        <w:rFonts w:ascii="Courier New" w:hAnsi="Courier New" w:cs="Courier New" w:hint="default"/>
      </w:rPr>
    </w:lvl>
    <w:lvl w:ilvl="5" w:tplc="C3C01A08" w:tentative="1">
      <w:start w:val="1"/>
      <w:numFmt w:val="bullet"/>
      <w:lvlText w:val=""/>
      <w:lvlJc w:val="left"/>
      <w:pPr>
        <w:ind w:left="4320" w:hanging="360"/>
      </w:pPr>
      <w:rPr>
        <w:rFonts w:ascii="Wingdings" w:hAnsi="Wingdings" w:hint="default"/>
      </w:rPr>
    </w:lvl>
    <w:lvl w:ilvl="6" w:tplc="FB16187E" w:tentative="1">
      <w:start w:val="1"/>
      <w:numFmt w:val="bullet"/>
      <w:lvlText w:val=""/>
      <w:lvlJc w:val="left"/>
      <w:pPr>
        <w:ind w:left="5040" w:hanging="360"/>
      </w:pPr>
      <w:rPr>
        <w:rFonts w:ascii="Symbol" w:hAnsi="Symbol" w:hint="default"/>
      </w:rPr>
    </w:lvl>
    <w:lvl w:ilvl="7" w:tplc="1AAEC576" w:tentative="1">
      <w:start w:val="1"/>
      <w:numFmt w:val="bullet"/>
      <w:lvlText w:val="o"/>
      <w:lvlJc w:val="left"/>
      <w:pPr>
        <w:ind w:left="5760" w:hanging="360"/>
      </w:pPr>
      <w:rPr>
        <w:rFonts w:ascii="Courier New" w:hAnsi="Courier New" w:cs="Courier New" w:hint="default"/>
      </w:rPr>
    </w:lvl>
    <w:lvl w:ilvl="8" w:tplc="D4461B24" w:tentative="1">
      <w:start w:val="1"/>
      <w:numFmt w:val="bullet"/>
      <w:lvlText w:val=""/>
      <w:lvlJc w:val="left"/>
      <w:pPr>
        <w:ind w:left="6480" w:hanging="360"/>
      </w:pPr>
      <w:rPr>
        <w:rFonts w:ascii="Wingdings" w:hAnsi="Wingdings" w:hint="default"/>
      </w:rPr>
    </w:lvl>
  </w:abstractNum>
  <w:abstractNum w:abstractNumId="1" w15:restartNumberingAfterBreak="0">
    <w:nsid w:val="71301A3F"/>
    <w:multiLevelType w:val="hybridMultilevel"/>
    <w:tmpl w:val="FAD8EB58"/>
    <w:lvl w:ilvl="0" w:tplc="37B22820">
      <w:start w:val="1"/>
      <w:numFmt w:val="bullet"/>
      <w:lvlText w:val=""/>
      <w:lvlJc w:val="left"/>
      <w:pPr>
        <w:ind w:left="720" w:hanging="360"/>
      </w:pPr>
      <w:rPr>
        <w:rFonts w:ascii="Symbol" w:hAnsi="Symbol" w:hint="default"/>
      </w:rPr>
    </w:lvl>
    <w:lvl w:ilvl="1" w:tplc="A3F0BA92" w:tentative="1">
      <w:start w:val="1"/>
      <w:numFmt w:val="bullet"/>
      <w:lvlText w:val="o"/>
      <w:lvlJc w:val="left"/>
      <w:pPr>
        <w:ind w:left="1440" w:hanging="360"/>
      </w:pPr>
      <w:rPr>
        <w:rFonts w:ascii="Courier New" w:hAnsi="Courier New" w:cs="Courier New" w:hint="default"/>
      </w:rPr>
    </w:lvl>
    <w:lvl w:ilvl="2" w:tplc="05C82700" w:tentative="1">
      <w:start w:val="1"/>
      <w:numFmt w:val="bullet"/>
      <w:lvlText w:val=""/>
      <w:lvlJc w:val="left"/>
      <w:pPr>
        <w:ind w:left="2160" w:hanging="360"/>
      </w:pPr>
      <w:rPr>
        <w:rFonts w:ascii="Wingdings" w:hAnsi="Wingdings" w:hint="default"/>
      </w:rPr>
    </w:lvl>
    <w:lvl w:ilvl="3" w:tplc="A46C49CE" w:tentative="1">
      <w:start w:val="1"/>
      <w:numFmt w:val="bullet"/>
      <w:lvlText w:val=""/>
      <w:lvlJc w:val="left"/>
      <w:pPr>
        <w:ind w:left="2880" w:hanging="360"/>
      </w:pPr>
      <w:rPr>
        <w:rFonts w:ascii="Symbol" w:hAnsi="Symbol" w:hint="default"/>
      </w:rPr>
    </w:lvl>
    <w:lvl w:ilvl="4" w:tplc="D2C458B8" w:tentative="1">
      <w:start w:val="1"/>
      <w:numFmt w:val="bullet"/>
      <w:lvlText w:val="o"/>
      <w:lvlJc w:val="left"/>
      <w:pPr>
        <w:ind w:left="3600" w:hanging="360"/>
      </w:pPr>
      <w:rPr>
        <w:rFonts w:ascii="Courier New" w:hAnsi="Courier New" w:cs="Courier New" w:hint="default"/>
      </w:rPr>
    </w:lvl>
    <w:lvl w:ilvl="5" w:tplc="F03E2BCC" w:tentative="1">
      <w:start w:val="1"/>
      <w:numFmt w:val="bullet"/>
      <w:lvlText w:val=""/>
      <w:lvlJc w:val="left"/>
      <w:pPr>
        <w:ind w:left="4320" w:hanging="360"/>
      </w:pPr>
      <w:rPr>
        <w:rFonts w:ascii="Wingdings" w:hAnsi="Wingdings" w:hint="default"/>
      </w:rPr>
    </w:lvl>
    <w:lvl w:ilvl="6" w:tplc="B718AB8C" w:tentative="1">
      <w:start w:val="1"/>
      <w:numFmt w:val="bullet"/>
      <w:lvlText w:val=""/>
      <w:lvlJc w:val="left"/>
      <w:pPr>
        <w:ind w:left="5040" w:hanging="360"/>
      </w:pPr>
      <w:rPr>
        <w:rFonts w:ascii="Symbol" w:hAnsi="Symbol" w:hint="default"/>
      </w:rPr>
    </w:lvl>
    <w:lvl w:ilvl="7" w:tplc="A54A7EA6" w:tentative="1">
      <w:start w:val="1"/>
      <w:numFmt w:val="bullet"/>
      <w:lvlText w:val="o"/>
      <w:lvlJc w:val="left"/>
      <w:pPr>
        <w:ind w:left="5760" w:hanging="360"/>
      </w:pPr>
      <w:rPr>
        <w:rFonts w:ascii="Courier New" w:hAnsi="Courier New" w:cs="Courier New" w:hint="default"/>
      </w:rPr>
    </w:lvl>
    <w:lvl w:ilvl="8" w:tplc="09766FD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23AE"/>
    <w:rsid w:val="00001360"/>
    <w:rsid w:val="000041F4"/>
    <w:rsid w:val="000065FE"/>
    <w:rsid w:val="000133B8"/>
    <w:rsid w:val="0002180E"/>
    <w:rsid w:val="00024FE1"/>
    <w:rsid w:val="00037C51"/>
    <w:rsid w:val="000414F8"/>
    <w:rsid w:val="00053208"/>
    <w:rsid w:val="00082A84"/>
    <w:rsid w:val="000838F1"/>
    <w:rsid w:val="00092181"/>
    <w:rsid w:val="00095DD7"/>
    <w:rsid w:val="00097B80"/>
    <w:rsid w:val="000A5EA5"/>
    <w:rsid w:val="000A730D"/>
    <w:rsid w:val="000B7532"/>
    <w:rsid w:val="000C0163"/>
    <w:rsid w:val="000C6448"/>
    <w:rsid w:val="000C6C6D"/>
    <w:rsid w:val="000D3BC7"/>
    <w:rsid w:val="000D79BE"/>
    <w:rsid w:val="000F50BC"/>
    <w:rsid w:val="000F551A"/>
    <w:rsid w:val="00104387"/>
    <w:rsid w:val="00112A73"/>
    <w:rsid w:val="00117C1A"/>
    <w:rsid w:val="001245DC"/>
    <w:rsid w:val="00124947"/>
    <w:rsid w:val="001260E0"/>
    <w:rsid w:val="001271C5"/>
    <w:rsid w:val="001336B8"/>
    <w:rsid w:val="0013420A"/>
    <w:rsid w:val="00135799"/>
    <w:rsid w:val="00137619"/>
    <w:rsid w:val="00143B62"/>
    <w:rsid w:val="0015126E"/>
    <w:rsid w:val="0016013C"/>
    <w:rsid w:val="001659DF"/>
    <w:rsid w:val="001661BC"/>
    <w:rsid w:val="00172ACC"/>
    <w:rsid w:val="001767E4"/>
    <w:rsid w:val="001A7231"/>
    <w:rsid w:val="001C7F5E"/>
    <w:rsid w:val="001D664A"/>
    <w:rsid w:val="001D7A2A"/>
    <w:rsid w:val="001E1D28"/>
    <w:rsid w:val="001F4A85"/>
    <w:rsid w:val="001F5A02"/>
    <w:rsid w:val="001F5EB6"/>
    <w:rsid w:val="001F630B"/>
    <w:rsid w:val="002118C3"/>
    <w:rsid w:val="00221360"/>
    <w:rsid w:val="00221DAA"/>
    <w:rsid w:val="0022456F"/>
    <w:rsid w:val="0023090A"/>
    <w:rsid w:val="00231471"/>
    <w:rsid w:val="00245A92"/>
    <w:rsid w:val="00260108"/>
    <w:rsid w:val="0026512F"/>
    <w:rsid w:val="0027066D"/>
    <w:rsid w:val="002833AC"/>
    <w:rsid w:val="00293DE5"/>
    <w:rsid w:val="002A0837"/>
    <w:rsid w:val="002A561E"/>
    <w:rsid w:val="002C11DA"/>
    <w:rsid w:val="002E2F73"/>
    <w:rsid w:val="002F02C5"/>
    <w:rsid w:val="002F2290"/>
    <w:rsid w:val="00302DE5"/>
    <w:rsid w:val="003107D2"/>
    <w:rsid w:val="00310FCE"/>
    <w:rsid w:val="00325EBB"/>
    <w:rsid w:val="0033368C"/>
    <w:rsid w:val="00335A72"/>
    <w:rsid w:val="00344D77"/>
    <w:rsid w:val="00367759"/>
    <w:rsid w:val="00371362"/>
    <w:rsid w:val="00371ED8"/>
    <w:rsid w:val="003736F0"/>
    <w:rsid w:val="00375231"/>
    <w:rsid w:val="003774D3"/>
    <w:rsid w:val="00377BB1"/>
    <w:rsid w:val="00381136"/>
    <w:rsid w:val="00383586"/>
    <w:rsid w:val="00384ED2"/>
    <w:rsid w:val="00387D1C"/>
    <w:rsid w:val="00390D2C"/>
    <w:rsid w:val="00391E31"/>
    <w:rsid w:val="00393497"/>
    <w:rsid w:val="00397114"/>
    <w:rsid w:val="003A0E20"/>
    <w:rsid w:val="003B371D"/>
    <w:rsid w:val="003B6F9F"/>
    <w:rsid w:val="003C2773"/>
    <w:rsid w:val="003C3727"/>
    <w:rsid w:val="003C6AE9"/>
    <w:rsid w:val="003D4E5E"/>
    <w:rsid w:val="003E1701"/>
    <w:rsid w:val="003E2C12"/>
    <w:rsid w:val="003E72A7"/>
    <w:rsid w:val="003F3D35"/>
    <w:rsid w:val="003F53AB"/>
    <w:rsid w:val="003F7218"/>
    <w:rsid w:val="00400B1C"/>
    <w:rsid w:val="00406040"/>
    <w:rsid w:val="00407A31"/>
    <w:rsid w:val="00411E58"/>
    <w:rsid w:val="00415571"/>
    <w:rsid w:val="00416685"/>
    <w:rsid w:val="00420CAA"/>
    <w:rsid w:val="00424346"/>
    <w:rsid w:val="00424B3A"/>
    <w:rsid w:val="0043626C"/>
    <w:rsid w:val="004547DC"/>
    <w:rsid w:val="0045619A"/>
    <w:rsid w:val="004621EF"/>
    <w:rsid w:val="00473E5F"/>
    <w:rsid w:val="00481328"/>
    <w:rsid w:val="004813DA"/>
    <w:rsid w:val="004836E7"/>
    <w:rsid w:val="00485EA7"/>
    <w:rsid w:val="004871C8"/>
    <w:rsid w:val="00487F55"/>
    <w:rsid w:val="004942A6"/>
    <w:rsid w:val="004A17B2"/>
    <w:rsid w:val="004B0EE8"/>
    <w:rsid w:val="004B1F7C"/>
    <w:rsid w:val="004B6CDC"/>
    <w:rsid w:val="004C07CD"/>
    <w:rsid w:val="004C1CD5"/>
    <w:rsid w:val="004C4FAC"/>
    <w:rsid w:val="004D0B76"/>
    <w:rsid w:val="004D3869"/>
    <w:rsid w:val="004D434B"/>
    <w:rsid w:val="004E37BB"/>
    <w:rsid w:val="004E430A"/>
    <w:rsid w:val="004F040B"/>
    <w:rsid w:val="004F2BF7"/>
    <w:rsid w:val="004F70A6"/>
    <w:rsid w:val="00532B61"/>
    <w:rsid w:val="0053693D"/>
    <w:rsid w:val="005433D5"/>
    <w:rsid w:val="0055469C"/>
    <w:rsid w:val="00566DDB"/>
    <w:rsid w:val="005719E9"/>
    <w:rsid w:val="00580388"/>
    <w:rsid w:val="00581BFA"/>
    <w:rsid w:val="005847E1"/>
    <w:rsid w:val="00585314"/>
    <w:rsid w:val="0058560D"/>
    <w:rsid w:val="0058671A"/>
    <w:rsid w:val="005A0004"/>
    <w:rsid w:val="005A7E98"/>
    <w:rsid w:val="005B0219"/>
    <w:rsid w:val="005C02F6"/>
    <w:rsid w:val="005C4C45"/>
    <w:rsid w:val="005D7107"/>
    <w:rsid w:val="00604E78"/>
    <w:rsid w:val="00610AC1"/>
    <w:rsid w:val="00614CEA"/>
    <w:rsid w:val="006256E2"/>
    <w:rsid w:val="00627579"/>
    <w:rsid w:val="00636469"/>
    <w:rsid w:val="00664408"/>
    <w:rsid w:val="00665654"/>
    <w:rsid w:val="00676E27"/>
    <w:rsid w:val="00695D04"/>
    <w:rsid w:val="00696209"/>
    <w:rsid w:val="00697DF8"/>
    <w:rsid w:val="006B12A6"/>
    <w:rsid w:val="006B38F2"/>
    <w:rsid w:val="006B3CFA"/>
    <w:rsid w:val="006B7F5D"/>
    <w:rsid w:val="006C57F9"/>
    <w:rsid w:val="006D16C5"/>
    <w:rsid w:val="006D16F6"/>
    <w:rsid w:val="006D6E2E"/>
    <w:rsid w:val="006E6164"/>
    <w:rsid w:val="006F01EB"/>
    <w:rsid w:val="006F451E"/>
    <w:rsid w:val="007044E6"/>
    <w:rsid w:val="00706A12"/>
    <w:rsid w:val="007160C8"/>
    <w:rsid w:val="007260E4"/>
    <w:rsid w:val="00740FFF"/>
    <w:rsid w:val="00753A28"/>
    <w:rsid w:val="007553D7"/>
    <w:rsid w:val="00755AA6"/>
    <w:rsid w:val="00761DE5"/>
    <w:rsid w:val="007670B1"/>
    <w:rsid w:val="00777B73"/>
    <w:rsid w:val="007843F7"/>
    <w:rsid w:val="007868C1"/>
    <w:rsid w:val="00797109"/>
    <w:rsid w:val="007A2DCA"/>
    <w:rsid w:val="007B3363"/>
    <w:rsid w:val="007B37D9"/>
    <w:rsid w:val="007B7298"/>
    <w:rsid w:val="007C54D7"/>
    <w:rsid w:val="007C5CE0"/>
    <w:rsid w:val="007D39D4"/>
    <w:rsid w:val="007D5519"/>
    <w:rsid w:val="007D592B"/>
    <w:rsid w:val="007F0B64"/>
    <w:rsid w:val="007F1DB5"/>
    <w:rsid w:val="007F24D8"/>
    <w:rsid w:val="00802905"/>
    <w:rsid w:val="008031D9"/>
    <w:rsid w:val="008223BB"/>
    <w:rsid w:val="008249D2"/>
    <w:rsid w:val="00831FF7"/>
    <w:rsid w:val="00836697"/>
    <w:rsid w:val="00850440"/>
    <w:rsid w:val="0085714F"/>
    <w:rsid w:val="00867422"/>
    <w:rsid w:val="00881A5A"/>
    <w:rsid w:val="00883DA2"/>
    <w:rsid w:val="0088474B"/>
    <w:rsid w:val="00884ECB"/>
    <w:rsid w:val="008934B0"/>
    <w:rsid w:val="00893C69"/>
    <w:rsid w:val="0089411B"/>
    <w:rsid w:val="00894DDC"/>
    <w:rsid w:val="008A10E1"/>
    <w:rsid w:val="008A31AB"/>
    <w:rsid w:val="008A3C96"/>
    <w:rsid w:val="008C428C"/>
    <w:rsid w:val="008D1DD9"/>
    <w:rsid w:val="008D393D"/>
    <w:rsid w:val="008D3F0C"/>
    <w:rsid w:val="008D5FCB"/>
    <w:rsid w:val="008E7F29"/>
    <w:rsid w:val="008F12DD"/>
    <w:rsid w:val="008F6AF9"/>
    <w:rsid w:val="00905082"/>
    <w:rsid w:val="009202FE"/>
    <w:rsid w:val="00932187"/>
    <w:rsid w:val="00936013"/>
    <w:rsid w:val="009365A3"/>
    <w:rsid w:val="00940C93"/>
    <w:rsid w:val="00950657"/>
    <w:rsid w:val="00957816"/>
    <w:rsid w:val="00960A66"/>
    <w:rsid w:val="00962654"/>
    <w:rsid w:val="00964A12"/>
    <w:rsid w:val="009818D5"/>
    <w:rsid w:val="00981D1E"/>
    <w:rsid w:val="00982223"/>
    <w:rsid w:val="009911FB"/>
    <w:rsid w:val="0099152A"/>
    <w:rsid w:val="009917DB"/>
    <w:rsid w:val="00992926"/>
    <w:rsid w:val="00992BB6"/>
    <w:rsid w:val="0099307B"/>
    <w:rsid w:val="009A5C76"/>
    <w:rsid w:val="009A7354"/>
    <w:rsid w:val="009B165F"/>
    <w:rsid w:val="009B4598"/>
    <w:rsid w:val="009B7F61"/>
    <w:rsid w:val="009C450F"/>
    <w:rsid w:val="009D0E97"/>
    <w:rsid w:val="009D4B22"/>
    <w:rsid w:val="009D55A6"/>
    <w:rsid w:val="009E63E5"/>
    <w:rsid w:val="009E6843"/>
    <w:rsid w:val="009F3152"/>
    <w:rsid w:val="009F4703"/>
    <w:rsid w:val="00A03A0F"/>
    <w:rsid w:val="00A0468B"/>
    <w:rsid w:val="00A11D1D"/>
    <w:rsid w:val="00A1557C"/>
    <w:rsid w:val="00A215AB"/>
    <w:rsid w:val="00A27029"/>
    <w:rsid w:val="00A320D5"/>
    <w:rsid w:val="00A37422"/>
    <w:rsid w:val="00A40420"/>
    <w:rsid w:val="00A4574C"/>
    <w:rsid w:val="00A50131"/>
    <w:rsid w:val="00A54D66"/>
    <w:rsid w:val="00A60C01"/>
    <w:rsid w:val="00A66C96"/>
    <w:rsid w:val="00A843F0"/>
    <w:rsid w:val="00A86CF1"/>
    <w:rsid w:val="00AA1CCD"/>
    <w:rsid w:val="00AA2648"/>
    <w:rsid w:val="00AA5236"/>
    <w:rsid w:val="00AA77AB"/>
    <w:rsid w:val="00AB2ABE"/>
    <w:rsid w:val="00AB56F1"/>
    <w:rsid w:val="00AB5E13"/>
    <w:rsid w:val="00AC0226"/>
    <w:rsid w:val="00AC0D00"/>
    <w:rsid w:val="00AD2199"/>
    <w:rsid w:val="00AE1D9F"/>
    <w:rsid w:val="00AE361F"/>
    <w:rsid w:val="00AE45A4"/>
    <w:rsid w:val="00AF3E3B"/>
    <w:rsid w:val="00AF411A"/>
    <w:rsid w:val="00B053E8"/>
    <w:rsid w:val="00B157BE"/>
    <w:rsid w:val="00B20650"/>
    <w:rsid w:val="00B25B6A"/>
    <w:rsid w:val="00B268E1"/>
    <w:rsid w:val="00B272A0"/>
    <w:rsid w:val="00B27DC7"/>
    <w:rsid w:val="00B33FD6"/>
    <w:rsid w:val="00B438A2"/>
    <w:rsid w:val="00B45679"/>
    <w:rsid w:val="00B701AE"/>
    <w:rsid w:val="00B70EA4"/>
    <w:rsid w:val="00B747BA"/>
    <w:rsid w:val="00B82CA2"/>
    <w:rsid w:val="00B922F6"/>
    <w:rsid w:val="00BA5B42"/>
    <w:rsid w:val="00BA7C20"/>
    <w:rsid w:val="00BB301B"/>
    <w:rsid w:val="00BC0C54"/>
    <w:rsid w:val="00BC0F14"/>
    <w:rsid w:val="00BC30DB"/>
    <w:rsid w:val="00BC373F"/>
    <w:rsid w:val="00BD1E66"/>
    <w:rsid w:val="00BD629A"/>
    <w:rsid w:val="00BD6BE7"/>
    <w:rsid w:val="00BD702F"/>
    <w:rsid w:val="00BF3E97"/>
    <w:rsid w:val="00BF4140"/>
    <w:rsid w:val="00C029B9"/>
    <w:rsid w:val="00C106B0"/>
    <w:rsid w:val="00C1288B"/>
    <w:rsid w:val="00C20C61"/>
    <w:rsid w:val="00C238AB"/>
    <w:rsid w:val="00C27160"/>
    <w:rsid w:val="00C440EF"/>
    <w:rsid w:val="00C46EF7"/>
    <w:rsid w:val="00C55BA5"/>
    <w:rsid w:val="00C56F58"/>
    <w:rsid w:val="00C57B10"/>
    <w:rsid w:val="00C60420"/>
    <w:rsid w:val="00C81BCC"/>
    <w:rsid w:val="00C823AE"/>
    <w:rsid w:val="00C86AFC"/>
    <w:rsid w:val="00C87B24"/>
    <w:rsid w:val="00C92174"/>
    <w:rsid w:val="00CA2F10"/>
    <w:rsid w:val="00CB084A"/>
    <w:rsid w:val="00CB134C"/>
    <w:rsid w:val="00CE0787"/>
    <w:rsid w:val="00CE1959"/>
    <w:rsid w:val="00CF10C7"/>
    <w:rsid w:val="00CF550F"/>
    <w:rsid w:val="00CF60D7"/>
    <w:rsid w:val="00D0069E"/>
    <w:rsid w:val="00D00A86"/>
    <w:rsid w:val="00D03ACB"/>
    <w:rsid w:val="00D05920"/>
    <w:rsid w:val="00D05F50"/>
    <w:rsid w:val="00D06E2D"/>
    <w:rsid w:val="00D103A6"/>
    <w:rsid w:val="00D237C8"/>
    <w:rsid w:val="00D237E5"/>
    <w:rsid w:val="00D33EFA"/>
    <w:rsid w:val="00D3595F"/>
    <w:rsid w:val="00D4237B"/>
    <w:rsid w:val="00D45AAB"/>
    <w:rsid w:val="00D47A07"/>
    <w:rsid w:val="00D519D0"/>
    <w:rsid w:val="00D5437E"/>
    <w:rsid w:val="00D607BD"/>
    <w:rsid w:val="00D733E6"/>
    <w:rsid w:val="00D82457"/>
    <w:rsid w:val="00D82DA6"/>
    <w:rsid w:val="00D84A46"/>
    <w:rsid w:val="00D84DEA"/>
    <w:rsid w:val="00D866DB"/>
    <w:rsid w:val="00D96983"/>
    <w:rsid w:val="00DA56A8"/>
    <w:rsid w:val="00DA6999"/>
    <w:rsid w:val="00DB5E7A"/>
    <w:rsid w:val="00DC33B7"/>
    <w:rsid w:val="00DE18A1"/>
    <w:rsid w:val="00DE3FEC"/>
    <w:rsid w:val="00DE6C90"/>
    <w:rsid w:val="00DF699E"/>
    <w:rsid w:val="00E11A91"/>
    <w:rsid w:val="00E128A4"/>
    <w:rsid w:val="00E21181"/>
    <w:rsid w:val="00E30B13"/>
    <w:rsid w:val="00E44882"/>
    <w:rsid w:val="00E5169F"/>
    <w:rsid w:val="00E54B1D"/>
    <w:rsid w:val="00E558A0"/>
    <w:rsid w:val="00E65B8F"/>
    <w:rsid w:val="00E85796"/>
    <w:rsid w:val="00E97725"/>
    <w:rsid w:val="00EA3D12"/>
    <w:rsid w:val="00EB2FB7"/>
    <w:rsid w:val="00EB4C61"/>
    <w:rsid w:val="00EB5C4F"/>
    <w:rsid w:val="00EC3BF4"/>
    <w:rsid w:val="00ED12B7"/>
    <w:rsid w:val="00ED54B8"/>
    <w:rsid w:val="00EF401D"/>
    <w:rsid w:val="00EF793B"/>
    <w:rsid w:val="00F101DD"/>
    <w:rsid w:val="00F13CBE"/>
    <w:rsid w:val="00F17105"/>
    <w:rsid w:val="00F17CBC"/>
    <w:rsid w:val="00F26011"/>
    <w:rsid w:val="00F26D63"/>
    <w:rsid w:val="00F357D7"/>
    <w:rsid w:val="00F4225E"/>
    <w:rsid w:val="00F45F2B"/>
    <w:rsid w:val="00F54F0B"/>
    <w:rsid w:val="00F742A0"/>
    <w:rsid w:val="00F75E4F"/>
    <w:rsid w:val="00F821C1"/>
    <w:rsid w:val="00F8517E"/>
    <w:rsid w:val="00F923AC"/>
    <w:rsid w:val="00FA03BB"/>
    <w:rsid w:val="00FA7430"/>
    <w:rsid w:val="00FA7CB3"/>
    <w:rsid w:val="00FB0788"/>
    <w:rsid w:val="00FB122D"/>
    <w:rsid w:val="00FC0C75"/>
    <w:rsid w:val="00FC4A53"/>
    <w:rsid w:val="00FD7862"/>
    <w:rsid w:val="00FE485C"/>
    <w:rsid w:val="00FF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720D"/>
  <w15:docId w15:val="{0501B969-6EE2-469C-99A0-AE2C8409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14"/>
    <w:rPr>
      <w:lang w:val="en-GB"/>
    </w:rPr>
  </w:style>
  <w:style w:type="paragraph" w:styleId="Heading1">
    <w:name w:val="heading 1"/>
    <w:basedOn w:val="Normal"/>
    <w:next w:val="Normal"/>
    <w:link w:val="Heading1Char"/>
    <w:autoRedefine/>
    <w:uiPriority w:val="9"/>
    <w:qFormat/>
    <w:rsid w:val="00BC0F14"/>
    <w:pPr>
      <w:keepNext/>
      <w:keepLines/>
      <w:spacing w:before="240" w:after="0"/>
      <w:outlineLvl w:val="0"/>
    </w:pPr>
    <w:rPr>
      <w:rFonts w:ascii="Times New Roman" w:eastAsiaTheme="majorEastAsia" w:hAnsi="Times New Roman" w:cstheme="majorBidi"/>
      <w:b/>
      <w:i/>
      <w:color w:val="000000" w:themeColor="text1"/>
      <w:sz w:val="24"/>
      <w:szCs w:val="32"/>
    </w:rPr>
  </w:style>
  <w:style w:type="paragraph" w:styleId="Heading2">
    <w:name w:val="heading 2"/>
    <w:basedOn w:val="Normal"/>
    <w:next w:val="Normal"/>
    <w:link w:val="Heading2Char"/>
    <w:autoRedefine/>
    <w:uiPriority w:val="9"/>
    <w:unhideWhenUsed/>
    <w:qFormat/>
    <w:rsid w:val="002A561E"/>
    <w:pPr>
      <w:keepNext/>
      <w:keepLines/>
      <w:spacing w:before="40" w:after="0"/>
      <w:outlineLvl w:val="1"/>
    </w:pPr>
    <w:rPr>
      <w:rFonts w:ascii="Times New Roman" w:eastAsiaTheme="majorEastAsia" w:hAnsi="Times New Roman" w:cstheme="majorBidi"/>
      <w: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14"/>
    <w:rPr>
      <w:rFonts w:ascii="Times New Roman" w:eastAsiaTheme="majorEastAsia" w:hAnsi="Times New Roman" w:cstheme="majorBidi"/>
      <w:b/>
      <w:i/>
      <w:color w:val="000000" w:themeColor="text1"/>
      <w:sz w:val="24"/>
      <w:szCs w:val="32"/>
      <w:lang w:val="en-GB"/>
    </w:rPr>
  </w:style>
  <w:style w:type="character" w:customStyle="1" w:styleId="Heading2Char">
    <w:name w:val="Heading 2 Char"/>
    <w:basedOn w:val="DefaultParagraphFont"/>
    <w:link w:val="Heading2"/>
    <w:uiPriority w:val="9"/>
    <w:rsid w:val="002A561E"/>
    <w:rPr>
      <w:rFonts w:ascii="Times New Roman" w:eastAsiaTheme="majorEastAsia" w:hAnsi="Times New Roman" w:cstheme="majorBidi"/>
      <w:i/>
      <w:color w:val="000000" w:themeColor="text1"/>
      <w:sz w:val="24"/>
      <w:szCs w:val="26"/>
      <w:lang w:val="en-GB"/>
    </w:rPr>
  </w:style>
  <w:style w:type="paragraph" w:styleId="ListParagraph">
    <w:name w:val="List Paragraph"/>
    <w:basedOn w:val="Normal"/>
    <w:uiPriority w:val="34"/>
    <w:qFormat/>
    <w:rsid w:val="00424346"/>
    <w:pPr>
      <w:ind w:left="720"/>
      <w:contextualSpacing/>
    </w:pPr>
  </w:style>
  <w:style w:type="character" w:styleId="Strong">
    <w:name w:val="Strong"/>
    <w:basedOn w:val="DefaultParagraphFont"/>
    <w:uiPriority w:val="22"/>
    <w:qFormat/>
    <w:rsid w:val="008C428C"/>
    <w:rPr>
      <w:b/>
      <w:bCs/>
    </w:rPr>
  </w:style>
  <w:style w:type="paragraph" w:styleId="TOCHeading">
    <w:name w:val="TOC Heading"/>
    <w:basedOn w:val="Heading1"/>
    <w:next w:val="Normal"/>
    <w:uiPriority w:val="39"/>
    <w:unhideWhenUsed/>
    <w:qFormat/>
    <w:rsid w:val="00293DE5"/>
    <w:pPr>
      <w:outlineLvl w:val="9"/>
    </w:pPr>
    <w:rPr>
      <w:rFonts w:asciiTheme="majorHAnsi" w:hAnsiTheme="majorHAnsi"/>
      <w:b w:val="0"/>
      <w:i w:val="0"/>
      <w:color w:val="2E74B5" w:themeColor="accent1" w:themeShade="BF"/>
      <w:sz w:val="32"/>
      <w:lang w:val="en-US"/>
    </w:rPr>
  </w:style>
  <w:style w:type="paragraph" w:styleId="TOC1">
    <w:name w:val="toc 1"/>
    <w:basedOn w:val="Normal"/>
    <w:next w:val="Normal"/>
    <w:autoRedefine/>
    <w:uiPriority w:val="39"/>
    <w:unhideWhenUsed/>
    <w:rsid w:val="00293DE5"/>
    <w:pPr>
      <w:tabs>
        <w:tab w:val="right" w:leader="dot" w:pos="9350"/>
      </w:tabs>
      <w:spacing w:after="0" w:line="360" w:lineRule="auto"/>
      <w:contextualSpacing/>
    </w:pPr>
  </w:style>
  <w:style w:type="paragraph" w:styleId="TOC2">
    <w:name w:val="toc 2"/>
    <w:basedOn w:val="Normal"/>
    <w:next w:val="Normal"/>
    <w:autoRedefine/>
    <w:uiPriority w:val="39"/>
    <w:unhideWhenUsed/>
    <w:rsid w:val="00293DE5"/>
    <w:pPr>
      <w:spacing w:after="100"/>
      <w:ind w:left="220"/>
    </w:pPr>
  </w:style>
  <w:style w:type="character" w:styleId="Hyperlink">
    <w:name w:val="Hyperlink"/>
    <w:basedOn w:val="DefaultParagraphFont"/>
    <w:uiPriority w:val="99"/>
    <w:unhideWhenUsed/>
    <w:rsid w:val="00293DE5"/>
    <w:rPr>
      <w:color w:val="0563C1" w:themeColor="hyperlink"/>
      <w:u w:val="single"/>
    </w:rPr>
  </w:style>
  <w:style w:type="paragraph" w:styleId="Header">
    <w:name w:val="header"/>
    <w:basedOn w:val="Normal"/>
    <w:link w:val="HeaderChar"/>
    <w:uiPriority w:val="99"/>
    <w:unhideWhenUsed/>
    <w:rsid w:val="00411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E58"/>
    <w:rPr>
      <w:lang w:val="en-GB"/>
    </w:rPr>
  </w:style>
  <w:style w:type="paragraph" w:styleId="Footer">
    <w:name w:val="footer"/>
    <w:basedOn w:val="Normal"/>
    <w:link w:val="FooterChar"/>
    <w:uiPriority w:val="99"/>
    <w:unhideWhenUsed/>
    <w:rsid w:val="00411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E58"/>
    <w:rPr>
      <w:lang w:val="en-GB"/>
    </w:rPr>
  </w:style>
  <w:style w:type="character" w:styleId="CommentReference">
    <w:name w:val="annotation reference"/>
    <w:basedOn w:val="DefaultParagraphFont"/>
    <w:uiPriority w:val="99"/>
    <w:semiHidden/>
    <w:unhideWhenUsed/>
    <w:rsid w:val="00EA3D12"/>
    <w:rPr>
      <w:sz w:val="16"/>
      <w:szCs w:val="16"/>
    </w:rPr>
  </w:style>
  <w:style w:type="paragraph" w:styleId="CommentText">
    <w:name w:val="annotation text"/>
    <w:basedOn w:val="Normal"/>
    <w:link w:val="CommentTextChar"/>
    <w:uiPriority w:val="99"/>
    <w:semiHidden/>
    <w:unhideWhenUsed/>
    <w:rsid w:val="00EA3D12"/>
    <w:pPr>
      <w:spacing w:line="240" w:lineRule="auto"/>
    </w:pPr>
    <w:rPr>
      <w:sz w:val="20"/>
      <w:szCs w:val="20"/>
    </w:rPr>
  </w:style>
  <w:style w:type="character" w:customStyle="1" w:styleId="CommentTextChar">
    <w:name w:val="Comment Text Char"/>
    <w:basedOn w:val="DefaultParagraphFont"/>
    <w:link w:val="CommentText"/>
    <w:uiPriority w:val="99"/>
    <w:semiHidden/>
    <w:rsid w:val="00EA3D12"/>
    <w:rPr>
      <w:sz w:val="20"/>
      <w:szCs w:val="20"/>
      <w:lang w:val="en-GB"/>
    </w:rPr>
  </w:style>
  <w:style w:type="paragraph" w:styleId="CommentSubject">
    <w:name w:val="annotation subject"/>
    <w:basedOn w:val="CommentText"/>
    <w:next w:val="CommentText"/>
    <w:link w:val="CommentSubjectChar"/>
    <w:uiPriority w:val="99"/>
    <w:semiHidden/>
    <w:unhideWhenUsed/>
    <w:rsid w:val="00EA3D12"/>
    <w:rPr>
      <w:b/>
      <w:bCs/>
    </w:rPr>
  </w:style>
  <w:style w:type="character" w:customStyle="1" w:styleId="CommentSubjectChar">
    <w:name w:val="Comment Subject Char"/>
    <w:basedOn w:val="CommentTextChar"/>
    <w:link w:val="CommentSubject"/>
    <w:uiPriority w:val="99"/>
    <w:semiHidden/>
    <w:rsid w:val="00EA3D12"/>
    <w:rPr>
      <w:b/>
      <w:bCs/>
      <w:sz w:val="20"/>
      <w:szCs w:val="20"/>
      <w:lang w:val="en-GB"/>
    </w:rPr>
  </w:style>
  <w:style w:type="paragraph" w:styleId="BalloonText">
    <w:name w:val="Balloon Text"/>
    <w:basedOn w:val="Normal"/>
    <w:link w:val="BalloonTextChar"/>
    <w:uiPriority w:val="99"/>
    <w:semiHidden/>
    <w:unhideWhenUsed/>
    <w:rsid w:val="00EA3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D1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6AD8-5C34-47D8-AF0A-1AA61F63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13</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ROYAL SMILES DENTAL CLINIC</cp:lastModifiedBy>
  <cp:revision>133</cp:revision>
  <dcterms:created xsi:type="dcterms:W3CDTF">2020-10-30T18:25:00Z</dcterms:created>
  <dcterms:modified xsi:type="dcterms:W3CDTF">2021-02-28T04:35:00Z</dcterms:modified>
</cp:coreProperties>
</file>