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ADC" w:rsidRPr="00311CB4" w:rsidRDefault="00DE2ADC" w:rsidP="00DE2ADC">
      <w:pPr>
        <w:spacing w:after="0" w:line="360" w:lineRule="auto"/>
        <w:ind w:left="360"/>
        <w:jc w:val="center"/>
        <w:rPr>
          <w:rFonts w:ascii="Times New Roman" w:eastAsia="Times New Roman" w:hAnsi="Times New Roman"/>
          <w:b/>
          <w:sz w:val="24"/>
          <w:szCs w:val="24"/>
          <w:lang w:eastAsia="en-GB"/>
        </w:rPr>
      </w:pPr>
      <w:r w:rsidRPr="00311CB4">
        <w:rPr>
          <w:rFonts w:ascii="Times New Roman" w:eastAsia="Times New Roman" w:hAnsi="Times New Roman"/>
          <w:b/>
          <w:sz w:val="24"/>
          <w:szCs w:val="24"/>
          <w:lang w:eastAsia="en-GB"/>
        </w:rPr>
        <w:t>Evaluating a Screening Programme and</w:t>
      </w:r>
      <w:r w:rsidRPr="00311CB4">
        <w:rPr>
          <w:rFonts w:ascii="Times New Roman" w:hAnsi="Times New Roman"/>
          <w:b/>
          <w:sz w:val="24"/>
          <w:szCs w:val="24"/>
        </w:rPr>
        <w:t xml:space="preserve"> </w:t>
      </w:r>
      <w:r w:rsidRPr="00311CB4">
        <w:rPr>
          <w:rFonts w:ascii="Times New Roman" w:eastAsia="Times New Roman" w:hAnsi="Times New Roman"/>
          <w:b/>
          <w:sz w:val="24"/>
          <w:szCs w:val="24"/>
          <w:lang w:eastAsia="en-GB"/>
        </w:rPr>
        <w:t>the Likely Implications of a</w:t>
      </w:r>
    </w:p>
    <w:p w:rsidR="00DE2ADC" w:rsidRPr="00311CB4" w:rsidRDefault="00DE2ADC" w:rsidP="00DE2ADC">
      <w:pPr>
        <w:spacing w:after="0" w:line="360" w:lineRule="auto"/>
        <w:ind w:left="360"/>
        <w:jc w:val="center"/>
        <w:rPr>
          <w:rFonts w:ascii="Times New Roman" w:hAnsi="Times New Roman"/>
          <w:b/>
          <w:sz w:val="24"/>
          <w:szCs w:val="24"/>
        </w:rPr>
      </w:pPr>
      <w:r w:rsidRPr="00311CB4">
        <w:rPr>
          <w:rFonts w:ascii="Times New Roman" w:eastAsia="Times New Roman" w:hAnsi="Times New Roman"/>
          <w:b/>
          <w:sz w:val="24"/>
          <w:szCs w:val="24"/>
          <w:lang w:eastAsia="en-GB"/>
        </w:rPr>
        <w:t>Specific Workplace</w:t>
      </w:r>
    </w:p>
    <w:p w:rsidR="00DE2ADC" w:rsidRPr="00311CB4" w:rsidRDefault="00DE2ADC" w:rsidP="00DE2ADC">
      <w:pPr>
        <w:pStyle w:val="Heading1"/>
        <w:spacing w:line="360" w:lineRule="auto"/>
        <w:jc w:val="both"/>
        <w:rPr>
          <w:sz w:val="24"/>
          <w:szCs w:val="24"/>
        </w:rPr>
      </w:pPr>
      <w:r w:rsidRPr="00311CB4">
        <w:rPr>
          <w:sz w:val="24"/>
          <w:szCs w:val="24"/>
        </w:rPr>
        <w:t>Introduction</w:t>
      </w:r>
    </w:p>
    <w:p w:rsidR="00DE2ADC" w:rsidRPr="00311CB4" w:rsidRDefault="00DE2ADC" w:rsidP="00DE2ADC">
      <w:pPr>
        <w:pStyle w:val="Heading1"/>
        <w:spacing w:line="360" w:lineRule="auto"/>
        <w:ind w:firstLine="720"/>
        <w:jc w:val="both"/>
        <w:rPr>
          <w:b w:val="0"/>
          <w:sz w:val="24"/>
          <w:szCs w:val="24"/>
        </w:rPr>
      </w:pPr>
      <w:r w:rsidRPr="00311CB4">
        <w:rPr>
          <w:b w:val="0"/>
          <w:sz w:val="24"/>
          <w:szCs w:val="24"/>
        </w:rPr>
        <w:t>Screening as it relates to drug and alcohol use entails the determination of the prevalence of alcohol and drug use by employee</w:t>
      </w:r>
      <w:bookmarkStart w:id="0" w:name="_GoBack"/>
      <w:bookmarkEnd w:id="0"/>
      <w:r w:rsidRPr="00311CB4">
        <w:rPr>
          <w:b w:val="0"/>
          <w:sz w:val="24"/>
          <w:szCs w:val="24"/>
        </w:rPr>
        <w:t xml:space="preserve">s in an organisation. The determination of the extent of drug or alcohol use is paramount in determining possible causes of risks. Safety of employees is fundamental to ensuring set objectives </w:t>
      </w:r>
      <w:proofErr w:type="gramStart"/>
      <w:r w:rsidRPr="00311CB4">
        <w:rPr>
          <w:b w:val="0"/>
          <w:sz w:val="24"/>
          <w:szCs w:val="24"/>
        </w:rPr>
        <w:t>are met</w:t>
      </w:r>
      <w:proofErr w:type="gramEnd"/>
      <w:r w:rsidRPr="00311CB4">
        <w:rPr>
          <w:b w:val="0"/>
          <w:sz w:val="24"/>
          <w:szCs w:val="24"/>
        </w:rPr>
        <w:t xml:space="preserve"> within stipulated schedules, especially in workplaces where workers use machines and equipment that need precision and accuracy. In such environment, any mistake can cost an organisation heftily; such instances include where machines are commanded and solely dependent on human labour for performance of tasks such as driving, computation, and commanding. </w:t>
      </w:r>
      <w:proofErr w:type="gramStart"/>
      <w:r w:rsidRPr="00311CB4">
        <w:rPr>
          <w:b w:val="0"/>
          <w:sz w:val="24"/>
          <w:szCs w:val="24"/>
        </w:rPr>
        <w:t>There are various tests that</w:t>
      </w:r>
      <w:proofErr w:type="gramEnd"/>
      <w:r w:rsidRPr="00311CB4">
        <w:rPr>
          <w:b w:val="0"/>
          <w:sz w:val="24"/>
          <w:szCs w:val="24"/>
        </w:rPr>
        <w:t xml:space="preserve"> can be administered to employees to determine employees’ alcohol or drug use. </w:t>
      </w:r>
    </w:p>
    <w:p w:rsidR="00DE2ADC" w:rsidRPr="00311CB4" w:rsidRDefault="00DE2ADC" w:rsidP="00DE2ADC">
      <w:pPr>
        <w:pStyle w:val="Heading1"/>
        <w:spacing w:line="360" w:lineRule="auto"/>
        <w:jc w:val="both"/>
        <w:rPr>
          <w:sz w:val="24"/>
          <w:szCs w:val="24"/>
        </w:rPr>
      </w:pPr>
      <w:r w:rsidRPr="00311CB4">
        <w:rPr>
          <w:sz w:val="24"/>
          <w:szCs w:val="24"/>
        </w:rPr>
        <w:t>Types of screening programmes</w:t>
      </w:r>
    </w:p>
    <w:p w:rsidR="00DE2ADC" w:rsidRPr="00311CB4" w:rsidRDefault="00DE2ADC" w:rsidP="00DE2ADC">
      <w:pPr>
        <w:pStyle w:val="Heading1"/>
        <w:spacing w:line="360" w:lineRule="auto"/>
        <w:ind w:firstLine="360"/>
        <w:jc w:val="both"/>
        <w:rPr>
          <w:b w:val="0"/>
          <w:sz w:val="24"/>
          <w:szCs w:val="24"/>
        </w:rPr>
      </w:pPr>
      <w:proofErr w:type="gramStart"/>
      <w:r w:rsidRPr="00311CB4">
        <w:rPr>
          <w:b w:val="0"/>
          <w:sz w:val="24"/>
          <w:szCs w:val="24"/>
        </w:rPr>
        <w:t>There are five main tests that</w:t>
      </w:r>
      <w:proofErr w:type="gramEnd"/>
      <w:r w:rsidRPr="00311CB4">
        <w:rPr>
          <w:b w:val="0"/>
          <w:sz w:val="24"/>
          <w:szCs w:val="24"/>
        </w:rPr>
        <w:t xml:space="preserve"> can be adopted:</w:t>
      </w:r>
    </w:p>
    <w:p w:rsidR="00DE2ADC" w:rsidRPr="00311CB4" w:rsidRDefault="00DE2ADC" w:rsidP="00DE2ADC">
      <w:pPr>
        <w:pStyle w:val="Heading1"/>
        <w:numPr>
          <w:ilvl w:val="0"/>
          <w:numId w:val="1"/>
        </w:numPr>
        <w:spacing w:line="360" w:lineRule="auto"/>
        <w:jc w:val="both"/>
        <w:rPr>
          <w:b w:val="0"/>
          <w:sz w:val="24"/>
          <w:szCs w:val="24"/>
        </w:rPr>
      </w:pPr>
      <w:r w:rsidRPr="00311CB4">
        <w:rPr>
          <w:b w:val="0"/>
          <w:sz w:val="24"/>
          <w:szCs w:val="24"/>
        </w:rPr>
        <w:t xml:space="preserve">Breath test </w:t>
      </w:r>
      <w:proofErr w:type="gramStart"/>
      <w:r w:rsidRPr="00311CB4">
        <w:rPr>
          <w:b w:val="0"/>
          <w:sz w:val="24"/>
          <w:szCs w:val="24"/>
        </w:rPr>
        <w:t>is mainly used</w:t>
      </w:r>
      <w:proofErr w:type="gramEnd"/>
      <w:r w:rsidRPr="00311CB4">
        <w:rPr>
          <w:b w:val="0"/>
          <w:sz w:val="24"/>
          <w:szCs w:val="24"/>
        </w:rPr>
        <w:t xml:space="preserve"> to show the alcohol levels in an individual’s blood. Alcohol concentration in the blood can be indicated by the alcohol concentration in the </w:t>
      </w:r>
      <w:proofErr w:type="gramStart"/>
      <w:r w:rsidRPr="00311CB4">
        <w:rPr>
          <w:b w:val="0"/>
          <w:sz w:val="24"/>
          <w:szCs w:val="24"/>
        </w:rPr>
        <w:t>air</w:t>
      </w:r>
      <w:proofErr w:type="gramEnd"/>
      <w:r w:rsidRPr="00311CB4">
        <w:rPr>
          <w:b w:val="0"/>
          <w:sz w:val="24"/>
          <w:szCs w:val="24"/>
        </w:rPr>
        <w:t xml:space="preserve"> as the two are correlated (</w:t>
      </w:r>
      <w:proofErr w:type="spellStart"/>
      <w:r w:rsidRPr="00311CB4">
        <w:rPr>
          <w:b w:val="0"/>
          <w:sz w:val="24"/>
          <w:szCs w:val="24"/>
        </w:rPr>
        <w:t>Pidd</w:t>
      </w:r>
      <w:proofErr w:type="spellEnd"/>
      <w:r w:rsidRPr="00311CB4">
        <w:rPr>
          <w:b w:val="0"/>
          <w:sz w:val="24"/>
          <w:szCs w:val="24"/>
        </w:rPr>
        <w:t xml:space="preserve"> &amp; Roche, 2011). The correlation exists as the alcohol absorbed into the bloodstream evaporates and moves across the membranes of the lungs’ alveoli into the air breathed out. When an individual breathes on an </w:t>
      </w:r>
      <w:proofErr w:type="spellStart"/>
      <w:r w:rsidRPr="00311CB4">
        <w:rPr>
          <w:b w:val="0"/>
          <w:sz w:val="24"/>
          <w:szCs w:val="24"/>
        </w:rPr>
        <w:t>intoximeter</w:t>
      </w:r>
      <w:proofErr w:type="spellEnd"/>
      <w:r w:rsidRPr="00311CB4">
        <w:rPr>
          <w:b w:val="0"/>
          <w:sz w:val="24"/>
          <w:szCs w:val="24"/>
        </w:rPr>
        <w:t xml:space="preserve"> breathalyser, results of testing positive or negative for alcohol use </w:t>
      </w:r>
      <w:proofErr w:type="gramStart"/>
      <w:r w:rsidRPr="00311CB4">
        <w:rPr>
          <w:b w:val="0"/>
          <w:sz w:val="24"/>
          <w:szCs w:val="24"/>
        </w:rPr>
        <w:t>can be obtained</w:t>
      </w:r>
      <w:proofErr w:type="gramEnd"/>
      <w:r w:rsidRPr="00311CB4">
        <w:rPr>
          <w:b w:val="0"/>
          <w:sz w:val="24"/>
          <w:szCs w:val="24"/>
        </w:rPr>
        <w:t>.</w:t>
      </w:r>
    </w:p>
    <w:p w:rsidR="00DE2ADC" w:rsidRPr="00311CB4" w:rsidRDefault="00DE2ADC" w:rsidP="00DE2ADC">
      <w:pPr>
        <w:pStyle w:val="Heading1"/>
        <w:numPr>
          <w:ilvl w:val="0"/>
          <w:numId w:val="1"/>
        </w:numPr>
        <w:spacing w:line="360" w:lineRule="auto"/>
        <w:jc w:val="both"/>
        <w:rPr>
          <w:b w:val="0"/>
          <w:sz w:val="24"/>
          <w:szCs w:val="24"/>
        </w:rPr>
      </w:pPr>
      <w:r w:rsidRPr="00311CB4">
        <w:rPr>
          <w:b w:val="0"/>
          <w:sz w:val="24"/>
          <w:szCs w:val="24"/>
        </w:rPr>
        <w:t xml:space="preserve">Urine tests </w:t>
      </w:r>
      <w:proofErr w:type="gramStart"/>
      <w:r w:rsidRPr="00311CB4">
        <w:rPr>
          <w:b w:val="0"/>
          <w:sz w:val="24"/>
          <w:szCs w:val="24"/>
        </w:rPr>
        <w:t>can be carried out</w:t>
      </w:r>
      <w:proofErr w:type="gramEnd"/>
      <w:r w:rsidRPr="00311CB4">
        <w:rPr>
          <w:b w:val="0"/>
          <w:sz w:val="24"/>
          <w:szCs w:val="24"/>
        </w:rPr>
        <w:t xml:space="preserve"> to indicate presence of drugs if an individual has used them for duration of up to 8 days and alcohol for time less than 8 hours (Marques, Vasco, </w:t>
      </w:r>
      <w:proofErr w:type="spellStart"/>
      <w:r w:rsidRPr="00311CB4">
        <w:rPr>
          <w:b w:val="0"/>
          <w:sz w:val="24"/>
          <w:szCs w:val="24"/>
        </w:rPr>
        <w:t>Serafín</w:t>
      </w:r>
      <w:proofErr w:type="spellEnd"/>
      <w:r w:rsidRPr="00311CB4">
        <w:rPr>
          <w:b w:val="0"/>
          <w:sz w:val="24"/>
          <w:szCs w:val="24"/>
        </w:rPr>
        <w:t xml:space="preserve">, </w:t>
      </w:r>
      <w:proofErr w:type="spellStart"/>
      <w:r w:rsidRPr="00311CB4">
        <w:rPr>
          <w:b w:val="0"/>
          <w:sz w:val="24"/>
          <w:szCs w:val="24"/>
        </w:rPr>
        <w:t>Olea</w:t>
      </w:r>
      <w:proofErr w:type="spellEnd"/>
      <w:r w:rsidRPr="00311CB4">
        <w:rPr>
          <w:b w:val="0"/>
          <w:sz w:val="24"/>
          <w:szCs w:val="24"/>
        </w:rPr>
        <w:t xml:space="preserve">, </w:t>
      </w:r>
      <w:proofErr w:type="spellStart"/>
      <w:r w:rsidRPr="00311CB4">
        <w:rPr>
          <w:b w:val="0"/>
          <w:sz w:val="24"/>
          <w:szCs w:val="24"/>
        </w:rPr>
        <w:t>Vairinhos</w:t>
      </w:r>
      <w:proofErr w:type="spellEnd"/>
      <w:r w:rsidRPr="00311CB4">
        <w:rPr>
          <w:b w:val="0"/>
          <w:sz w:val="24"/>
          <w:szCs w:val="24"/>
        </w:rPr>
        <w:t xml:space="preserve">, &amp; Jacinto, 2014). </w:t>
      </w:r>
    </w:p>
    <w:p w:rsidR="00DE2ADC" w:rsidRPr="00311CB4" w:rsidRDefault="00DE2ADC" w:rsidP="00DE2ADC">
      <w:pPr>
        <w:pStyle w:val="Heading1"/>
        <w:numPr>
          <w:ilvl w:val="0"/>
          <w:numId w:val="1"/>
        </w:numPr>
        <w:spacing w:line="360" w:lineRule="auto"/>
        <w:jc w:val="both"/>
        <w:rPr>
          <w:b w:val="0"/>
          <w:sz w:val="24"/>
          <w:szCs w:val="24"/>
        </w:rPr>
      </w:pPr>
      <w:r w:rsidRPr="00311CB4">
        <w:rPr>
          <w:b w:val="0"/>
          <w:sz w:val="24"/>
          <w:szCs w:val="24"/>
        </w:rPr>
        <w:t xml:space="preserve">Saliva (oral fluid) tests that </w:t>
      </w:r>
      <w:proofErr w:type="gramStart"/>
      <w:r w:rsidRPr="00311CB4">
        <w:rPr>
          <w:b w:val="0"/>
          <w:sz w:val="24"/>
          <w:szCs w:val="24"/>
        </w:rPr>
        <w:t>are administered</w:t>
      </w:r>
      <w:proofErr w:type="gramEnd"/>
      <w:r w:rsidRPr="00311CB4">
        <w:rPr>
          <w:b w:val="0"/>
          <w:sz w:val="24"/>
          <w:szCs w:val="24"/>
        </w:rPr>
        <w:t xml:space="preserve"> to indicate whether the level of drug used presently is high or low. Presence of drugs in saliva can best be noted when the drugs have been taken within 48 hours (</w:t>
      </w:r>
      <w:r w:rsidRPr="00311CB4">
        <w:rPr>
          <w:rStyle w:val="element-citation"/>
          <w:b w:val="0"/>
          <w:sz w:val="24"/>
          <w:szCs w:val="24"/>
        </w:rPr>
        <w:t>National Centre on Substance Abuse and Child Welfare / Substance Abuse and Mental Health Services Administration, 2015)</w:t>
      </w:r>
      <w:r w:rsidRPr="00311CB4">
        <w:rPr>
          <w:b w:val="0"/>
          <w:sz w:val="24"/>
          <w:szCs w:val="24"/>
        </w:rPr>
        <w:t xml:space="preserve">. This </w:t>
      </w:r>
      <w:proofErr w:type="gramStart"/>
      <w:r w:rsidRPr="00311CB4">
        <w:rPr>
          <w:b w:val="0"/>
          <w:sz w:val="24"/>
          <w:szCs w:val="24"/>
        </w:rPr>
        <w:t>can majorly be used</w:t>
      </w:r>
      <w:proofErr w:type="gramEnd"/>
      <w:r w:rsidRPr="00311CB4">
        <w:rPr>
          <w:b w:val="0"/>
          <w:sz w:val="24"/>
          <w:szCs w:val="24"/>
        </w:rPr>
        <w:t xml:space="preserve"> when there are occurrences that need to check whether an individual had been intoxicated prior to an accident of an incident. </w:t>
      </w:r>
    </w:p>
    <w:p w:rsidR="00DE2ADC" w:rsidRPr="00311CB4" w:rsidRDefault="00DE2ADC" w:rsidP="00DE2ADC">
      <w:pPr>
        <w:pStyle w:val="Heading1"/>
        <w:numPr>
          <w:ilvl w:val="0"/>
          <w:numId w:val="1"/>
        </w:numPr>
        <w:spacing w:line="360" w:lineRule="auto"/>
        <w:jc w:val="both"/>
        <w:rPr>
          <w:b w:val="0"/>
          <w:sz w:val="24"/>
          <w:szCs w:val="24"/>
        </w:rPr>
      </w:pPr>
      <w:r w:rsidRPr="00311CB4">
        <w:rPr>
          <w:b w:val="0"/>
          <w:sz w:val="24"/>
          <w:szCs w:val="24"/>
        </w:rPr>
        <w:lastRenderedPageBreak/>
        <w:t>Blood tests can also be administered as they can be very accurate compared to other methods.</w:t>
      </w:r>
    </w:p>
    <w:p w:rsidR="00DE2ADC" w:rsidRPr="00311CB4" w:rsidRDefault="00DE2ADC" w:rsidP="00DE2ADC">
      <w:pPr>
        <w:pStyle w:val="Heading1"/>
        <w:numPr>
          <w:ilvl w:val="0"/>
          <w:numId w:val="1"/>
        </w:numPr>
        <w:spacing w:line="360" w:lineRule="auto"/>
        <w:jc w:val="both"/>
        <w:rPr>
          <w:b w:val="0"/>
          <w:sz w:val="24"/>
          <w:szCs w:val="24"/>
        </w:rPr>
      </w:pPr>
      <w:r w:rsidRPr="00311CB4">
        <w:rPr>
          <w:b w:val="0"/>
          <w:sz w:val="24"/>
          <w:szCs w:val="24"/>
        </w:rPr>
        <w:t xml:space="preserve">A hair strand test </w:t>
      </w:r>
      <w:proofErr w:type="gramStart"/>
      <w:r w:rsidRPr="00311CB4">
        <w:rPr>
          <w:b w:val="0"/>
          <w:sz w:val="24"/>
          <w:szCs w:val="24"/>
        </w:rPr>
        <w:t>is conducted</w:t>
      </w:r>
      <w:proofErr w:type="gramEnd"/>
      <w:r w:rsidRPr="00311CB4">
        <w:rPr>
          <w:b w:val="0"/>
          <w:sz w:val="24"/>
          <w:szCs w:val="24"/>
        </w:rPr>
        <w:t xml:space="preserve"> by obtaining a strand of hair from an individual. It is a good method for testing substance abuse for long periods, especially exceeding three months; it </w:t>
      </w:r>
      <w:proofErr w:type="gramStart"/>
      <w:r w:rsidRPr="00311CB4">
        <w:rPr>
          <w:b w:val="0"/>
          <w:sz w:val="24"/>
          <w:szCs w:val="24"/>
        </w:rPr>
        <w:t>is based</w:t>
      </w:r>
      <w:proofErr w:type="gramEnd"/>
      <w:r w:rsidRPr="00311CB4">
        <w:rPr>
          <w:b w:val="0"/>
          <w:sz w:val="24"/>
          <w:szCs w:val="24"/>
        </w:rPr>
        <w:t xml:space="preserve"> on the premise that, as the hair grows, the drugs are transported to the hair follicle by the blood stream as blood circulates through the body (</w:t>
      </w:r>
      <w:proofErr w:type="spellStart"/>
      <w:r w:rsidR="00F24940" w:rsidRPr="00311CB4">
        <w:fldChar w:fldCharType="begin"/>
      </w:r>
      <w:r w:rsidR="00F24940" w:rsidRPr="00311CB4">
        <w:instrText xml:space="preserve"> HYPERLINK "javascript:;" </w:instrText>
      </w:r>
      <w:r w:rsidR="00F24940" w:rsidRPr="00311CB4">
        <w:fldChar w:fldCharType="separate"/>
      </w:r>
      <w:r w:rsidRPr="00311CB4">
        <w:rPr>
          <w:b w:val="0"/>
          <w:sz w:val="24"/>
          <w:szCs w:val="24"/>
        </w:rPr>
        <w:t>Derges</w:t>
      </w:r>
      <w:proofErr w:type="spellEnd"/>
      <w:r w:rsidR="00F24940" w:rsidRPr="00311CB4">
        <w:rPr>
          <w:b w:val="0"/>
          <w:sz w:val="24"/>
          <w:szCs w:val="24"/>
        </w:rPr>
        <w:fldChar w:fldCharType="end"/>
      </w:r>
      <w:r w:rsidRPr="00311CB4">
        <w:rPr>
          <w:b w:val="0"/>
          <w:sz w:val="24"/>
          <w:szCs w:val="24"/>
        </w:rPr>
        <w:t xml:space="preserve"> et al., 2018). When testing for alcohol, the presence of ethyl glucuronide and fatty ethyl esters in one’s hair strand indicates alcohol </w:t>
      </w:r>
      <w:proofErr w:type="gramStart"/>
      <w:r w:rsidRPr="00311CB4">
        <w:rPr>
          <w:b w:val="0"/>
          <w:sz w:val="24"/>
          <w:szCs w:val="24"/>
        </w:rPr>
        <w:t>use</w:t>
      </w:r>
      <w:proofErr w:type="gramEnd"/>
      <w:r w:rsidRPr="00311CB4">
        <w:rPr>
          <w:b w:val="0"/>
          <w:sz w:val="24"/>
          <w:szCs w:val="24"/>
        </w:rPr>
        <w:t xml:space="preserve"> as the two are the specific alcohol makers (World Health Organisation, 2017).  </w:t>
      </w:r>
    </w:p>
    <w:p w:rsidR="00DE2ADC" w:rsidRPr="00311CB4" w:rsidRDefault="00DE2ADC" w:rsidP="00DE2ADC">
      <w:pPr>
        <w:pStyle w:val="Heading1"/>
        <w:spacing w:line="360" w:lineRule="auto"/>
        <w:ind w:firstLine="360"/>
        <w:jc w:val="both"/>
        <w:rPr>
          <w:b w:val="0"/>
          <w:sz w:val="24"/>
          <w:szCs w:val="24"/>
        </w:rPr>
      </w:pPr>
      <w:r w:rsidRPr="00311CB4">
        <w:rPr>
          <w:b w:val="0"/>
          <w:sz w:val="24"/>
          <w:szCs w:val="24"/>
        </w:rPr>
        <w:t xml:space="preserve">Screening </w:t>
      </w:r>
      <w:proofErr w:type="gramStart"/>
      <w:r w:rsidRPr="00311CB4">
        <w:rPr>
          <w:b w:val="0"/>
          <w:sz w:val="24"/>
          <w:szCs w:val="24"/>
        </w:rPr>
        <w:t>can be done</w:t>
      </w:r>
      <w:proofErr w:type="gramEnd"/>
      <w:r w:rsidRPr="00311CB4">
        <w:rPr>
          <w:b w:val="0"/>
          <w:sz w:val="24"/>
          <w:szCs w:val="24"/>
        </w:rPr>
        <w:t xml:space="preserve"> in the workplace that is on-site or in a laboratory. Onsite analysis uses Point of Collection Test (POCT) devices whose reliability and accuracy </w:t>
      </w:r>
      <w:proofErr w:type="gramStart"/>
      <w:r w:rsidRPr="00311CB4">
        <w:rPr>
          <w:b w:val="0"/>
          <w:sz w:val="24"/>
          <w:szCs w:val="24"/>
        </w:rPr>
        <w:t>are less compared</w:t>
      </w:r>
      <w:proofErr w:type="gramEnd"/>
      <w:r w:rsidRPr="00311CB4">
        <w:rPr>
          <w:b w:val="0"/>
          <w:sz w:val="24"/>
          <w:szCs w:val="24"/>
        </w:rPr>
        <w:t xml:space="preserve"> to laboratory analysis (</w:t>
      </w:r>
      <w:proofErr w:type="spellStart"/>
      <w:r w:rsidRPr="00311CB4">
        <w:rPr>
          <w:b w:val="0"/>
          <w:sz w:val="24"/>
          <w:szCs w:val="24"/>
        </w:rPr>
        <w:t>Pidd</w:t>
      </w:r>
      <w:proofErr w:type="spellEnd"/>
      <w:r w:rsidRPr="00311CB4">
        <w:rPr>
          <w:b w:val="0"/>
          <w:sz w:val="24"/>
          <w:szCs w:val="24"/>
        </w:rPr>
        <w:t xml:space="preserve"> &amp; Roche, 2011). </w:t>
      </w:r>
    </w:p>
    <w:p w:rsidR="00DE2ADC" w:rsidRPr="00311CB4" w:rsidRDefault="00DE2ADC" w:rsidP="00DE2ADC">
      <w:pPr>
        <w:pStyle w:val="Heading1"/>
        <w:spacing w:line="360" w:lineRule="auto"/>
        <w:jc w:val="both"/>
        <w:rPr>
          <w:sz w:val="24"/>
          <w:szCs w:val="24"/>
        </w:rPr>
      </w:pPr>
      <w:r w:rsidRPr="00311CB4">
        <w:rPr>
          <w:sz w:val="24"/>
          <w:szCs w:val="24"/>
        </w:rPr>
        <w:t>Benefits of monthly screening programmes to an organisation</w:t>
      </w:r>
    </w:p>
    <w:p w:rsidR="00DE2ADC" w:rsidRPr="00311CB4" w:rsidRDefault="00DE2ADC" w:rsidP="00DE2ADC">
      <w:pPr>
        <w:pStyle w:val="Heading1"/>
        <w:spacing w:line="360" w:lineRule="auto"/>
        <w:jc w:val="both"/>
        <w:rPr>
          <w:b w:val="0"/>
          <w:sz w:val="24"/>
          <w:szCs w:val="24"/>
        </w:rPr>
      </w:pPr>
      <w:r w:rsidRPr="00311CB4">
        <w:rPr>
          <w:b w:val="0"/>
          <w:sz w:val="24"/>
          <w:szCs w:val="24"/>
        </w:rPr>
        <w:tab/>
        <w:t xml:space="preserve">Screening benefits to an organisation are great as the process can save an organisation from liability caused by employees’ negligence whilst discharging their duties due to drug and alcohol use. According to </w:t>
      </w:r>
      <w:proofErr w:type="spellStart"/>
      <w:r w:rsidRPr="00311CB4">
        <w:rPr>
          <w:b w:val="0"/>
          <w:sz w:val="24"/>
          <w:szCs w:val="24"/>
        </w:rPr>
        <w:t>Pidd</w:t>
      </w:r>
      <w:proofErr w:type="spellEnd"/>
      <w:r w:rsidRPr="00311CB4">
        <w:rPr>
          <w:b w:val="0"/>
          <w:sz w:val="24"/>
          <w:szCs w:val="24"/>
        </w:rPr>
        <w:t xml:space="preserve"> &amp; Roche (2011), the correlation between drug and alcohol use and accidents in Australia </w:t>
      </w:r>
      <w:proofErr w:type="gramStart"/>
      <w:r w:rsidRPr="00311CB4">
        <w:rPr>
          <w:b w:val="0"/>
          <w:sz w:val="24"/>
          <w:szCs w:val="24"/>
        </w:rPr>
        <w:t>has not been examined</w:t>
      </w:r>
      <w:proofErr w:type="gramEnd"/>
      <w:r w:rsidRPr="00311CB4">
        <w:rPr>
          <w:b w:val="0"/>
          <w:sz w:val="24"/>
          <w:szCs w:val="24"/>
        </w:rPr>
        <w:t xml:space="preserve"> despite the Emergency Department having 24.2% of their incidents at industrial sites, testing positive for drug or alcohol use. Where screening </w:t>
      </w:r>
      <w:proofErr w:type="gramStart"/>
      <w:r w:rsidRPr="00311CB4">
        <w:rPr>
          <w:b w:val="0"/>
          <w:sz w:val="24"/>
          <w:szCs w:val="24"/>
        </w:rPr>
        <w:t>has been conducted</w:t>
      </w:r>
      <w:proofErr w:type="gramEnd"/>
      <w:r w:rsidRPr="00311CB4">
        <w:rPr>
          <w:b w:val="0"/>
          <w:sz w:val="24"/>
          <w:szCs w:val="24"/>
        </w:rPr>
        <w:t xml:space="preserve">, employees working with machines and equipment such as forklifts, if under alcohol or drug influence, are more disposed to having accidents in the course of their duty. According to Marques et al. (2014), employees need more screening when they are working in conditions that make them easily disposed to accidents. By evaluating, the cost of compensating employees due to accidents may be higher than conducting screening sessions.   </w:t>
      </w:r>
    </w:p>
    <w:p w:rsidR="00DE2ADC" w:rsidRPr="00311CB4" w:rsidRDefault="00DE2ADC" w:rsidP="00DE2ADC">
      <w:pPr>
        <w:pStyle w:val="Heading1"/>
        <w:spacing w:line="360" w:lineRule="auto"/>
        <w:ind w:firstLine="720"/>
        <w:jc w:val="both"/>
        <w:rPr>
          <w:b w:val="0"/>
          <w:sz w:val="24"/>
          <w:szCs w:val="24"/>
        </w:rPr>
      </w:pPr>
      <w:r w:rsidRPr="00311CB4">
        <w:rPr>
          <w:b w:val="0"/>
          <w:sz w:val="24"/>
          <w:szCs w:val="24"/>
        </w:rPr>
        <w:t xml:space="preserve">According to </w:t>
      </w:r>
      <w:proofErr w:type="spellStart"/>
      <w:r w:rsidRPr="00311CB4">
        <w:rPr>
          <w:b w:val="0"/>
          <w:sz w:val="24"/>
          <w:szCs w:val="24"/>
        </w:rPr>
        <w:t>Degenhardt</w:t>
      </w:r>
      <w:proofErr w:type="spellEnd"/>
      <w:r w:rsidRPr="00311CB4">
        <w:rPr>
          <w:b w:val="0"/>
          <w:sz w:val="24"/>
          <w:szCs w:val="24"/>
        </w:rPr>
        <w:t xml:space="preserve"> and Hall (2012), the use of drugs and alcohol is a threat to work safety. Accidents and negligence can easily increase as those using the substance may have change of action rapidly. This, according to </w:t>
      </w:r>
      <w:proofErr w:type="spellStart"/>
      <w:r w:rsidRPr="00311CB4">
        <w:rPr>
          <w:b w:val="0"/>
          <w:sz w:val="24"/>
          <w:szCs w:val="24"/>
        </w:rPr>
        <w:t>Strang</w:t>
      </w:r>
      <w:proofErr w:type="spellEnd"/>
      <w:r w:rsidRPr="00311CB4">
        <w:rPr>
          <w:b w:val="0"/>
          <w:sz w:val="24"/>
          <w:szCs w:val="24"/>
        </w:rPr>
        <w:t xml:space="preserve">, </w:t>
      </w:r>
      <w:proofErr w:type="spellStart"/>
      <w:r w:rsidRPr="00311CB4">
        <w:rPr>
          <w:b w:val="0"/>
          <w:sz w:val="24"/>
          <w:szCs w:val="24"/>
        </w:rPr>
        <w:t>Babor</w:t>
      </w:r>
      <w:proofErr w:type="spellEnd"/>
      <w:r w:rsidRPr="00311CB4">
        <w:rPr>
          <w:b w:val="0"/>
          <w:sz w:val="24"/>
          <w:szCs w:val="24"/>
        </w:rPr>
        <w:t xml:space="preserve">, </w:t>
      </w:r>
      <w:proofErr w:type="spellStart"/>
      <w:r w:rsidRPr="00311CB4">
        <w:rPr>
          <w:b w:val="0"/>
          <w:sz w:val="24"/>
          <w:szCs w:val="24"/>
        </w:rPr>
        <w:t>Caulkins</w:t>
      </w:r>
      <w:proofErr w:type="spellEnd"/>
      <w:r w:rsidRPr="00311CB4">
        <w:rPr>
          <w:b w:val="0"/>
          <w:sz w:val="24"/>
          <w:szCs w:val="24"/>
        </w:rPr>
        <w:t xml:space="preserve">, Fischer, </w:t>
      </w:r>
      <w:proofErr w:type="spellStart"/>
      <w:r w:rsidRPr="00311CB4">
        <w:rPr>
          <w:b w:val="0"/>
          <w:sz w:val="24"/>
          <w:szCs w:val="24"/>
        </w:rPr>
        <w:t>Fozcroft</w:t>
      </w:r>
      <w:proofErr w:type="spellEnd"/>
      <w:r w:rsidRPr="00311CB4">
        <w:rPr>
          <w:b w:val="0"/>
          <w:sz w:val="24"/>
          <w:szCs w:val="24"/>
        </w:rPr>
        <w:t xml:space="preserve"> &amp; Humphreys (2012), has made countries and organisations have alternative means of coping with such situations by having their employees screened regularly. Accidents caused </w:t>
      </w:r>
      <w:proofErr w:type="gramStart"/>
      <w:r w:rsidRPr="00311CB4">
        <w:rPr>
          <w:b w:val="0"/>
          <w:sz w:val="24"/>
          <w:szCs w:val="24"/>
        </w:rPr>
        <w:t xml:space="preserve">can be </w:t>
      </w:r>
      <w:r w:rsidRPr="00311CB4">
        <w:rPr>
          <w:b w:val="0"/>
          <w:sz w:val="24"/>
          <w:szCs w:val="24"/>
        </w:rPr>
        <w:lastRenderedPageBreak/>
        <w:t>reduced</w:t>
      </w:r>
      <w:proofErr w:type="gramEnd"/>
      <w:r w:rsidRPr="00311CB4">
        <w:rPr>
          <w:b w:val="0"/>
          <w:sz w:val="24"/>
          <w:szCs w:val="24"/>
        </w:rPr>
        <w:t xml:space="preserve"> as screening ensures that those identified to be under drug or alcohol influence can be suspended. </w:t>
      </w:r>
    </w:p>
    <w:p w:rsidR="00DE2ADC" w:rsidRPr="00311CB4" w:rsidRDefault="00DE2ADC" w:rsidP="00DE2ADC">
      <w:pPr>
        <w:pStyle w:val="Heading1"/>
        <w:spacing w:line="360" w:lineRule="auto"/>
        <w:ind w:firstLine="720"/>
        <w:jc w:val="both"/>
        <w:rPr>
          <w:b w:val="0"/>
          <w:sz w:val="24"/>
          <w:szCs w:val="24"/>
        </w:rPr>
      </w:pPr>
      <w:r w:rsidRPr="00311CB4">
        <w:rPr>
          <w:b w:val="0"/>
          <w:sz w:val="24"/>
          <w:szCs w:val="24"/>
        </w:rPr>
        <w:t xml:space="preserve">An organisation that carries out regular screening can easily identify the causes of loss of productivity of its employees. Where employees are into alcohol and drugs, productivity may decline gradually as </w:t>
      </w:r>
      <w:proofErr w:type="gramStart"/>
      <w:r w:rsidRPr="00311CB4">
        <w:rPr>
          <w:b w:val="0"/>
          <w:sz w:val="24"/>
          <w:szCs w:val="24"/>
        </w:rPr>
        <w:t>one gets affected by the substance he or she is consuming</w:t>
      </w:r>
      <w:proofErr w:type="gramEnd"/>
      <w:r w:rsidRPr="00311CB4">
        <w:rPr>
          <w:b w:val="0"/>
          <w:sz w:val="24"/>
          <w:szCs w:val="24"/>
        </w:rPr>
        <w:t xml:space="preserve">. This may be evident in instances where the workers may start being absent from a job where, previously, they did </w:t>
      </w:r>
      <w:proofErr w:type="gramStart"/>
      <w:r w:rsidRPr="00311CB4">
        <w:rPr>
          <w:b w:val="0"/>
          <w:sz w:val="24"/>
          <w:szCs w:val="24"/>
        </w:rPr>
        <w:t>not under unreasonable</w:t>
      </w:r>
      <w:proofErr w:type="gramEnd"/>
      <w:r w:rsidRPr="00311CB4">
        <w:rPr>
          <w:b w:val="0"/>
          <w:sz w:val="24"/>
          <w:szCs w:val="24"/>
        </w:rPr>
        <w:t xml:space="preserve"> reasons. According to </w:t>
      </w:r>
      <w:proofErr w:type="spellStart"/>
      <w:r w:rsidRPr="00311CB4">
        <w:rPr>
          <w:b w:val="0"/>
          <w:sz w:val="24"/>
          <w:szCs w:val="24"/>
        </w:rPr>
        <w:t>Pidd</w:t>
      </w:r>
      <w:proofErr w:type="spellEnd"/>
      <w:r w:rsidRPr="00311CB4">
        <w:rPr>
          <w:b w:val="0"/>
          <w:sz w:val="24"/>
          <w:szCs w:val="24"/>
        </w:rPr>
        <w:t xml:space="preserve"> &amp; Roche (2011), there is a relationship between the quantity of alcohol consumed and the number of times one may be absent from a job. Absenteeism greatly reduces an employee’s productivity as unattended duties accumulate causing stress to those using alcohol or drug, eventually pushing one to more consumption of it (Bacharach, Bamberger &amp; Biron, 2010). </w:t>
      </w:r>
      <w:proofErr w:type="spellStart"/>
      <w:r w:rsidRPr="00311CB4">
        <w:rPr>
          <w:b w:val="0"/>
          <w:sz w:val="24"/>
          <w:szCs w:val="24"/>
        </w:rPr>
        <w:t>Pidd</w:t>
      </w:r>
      <w:proofErr w:type="spellEnd"/>
      <w:r w:rsidRPr="00311CB4">
        <w:rPr>
          <w:b w:val="0"/>
          <w:sz w:val="24"/>
          <w:szCs w:val="24"/>
        </w:rPr>
        <w:t xml:space="preserve"> &amp; Roche (2011) further assert that most alcohol-related issues are absenteeism, health problems, poor safety, and poor quality work. Screening enables an organisation to note causes of some problems that employees may exhibit, enabling it to take corrective measures prior to catastrophic losses</w:t>
      </w:r>
      <w:r w:rsidRPr="00311CB4">
        <w:rPr>
          <w:sz w:val="24"/>
          <w:szCs w:val="24"/>
        </w:rPr>
        <w:t xml:space="preserve"> </w:t>
      </w:r>
      <w:r w:rsidRPr="00311CB4">
        <w:rPr>
          <w:b w:val="0"/>
          <w:sz w:val="24"/>
          <w:szCs w:val="24"/>
        </w:rPr>
        <w:t>(Dale &amp; Livingston, 2010). The knowledge of employees that screening is to be done may deter drug or alcohol consumption.</w:t>
      </w:r>
      <w:r w:rsidRPr="00311CB4">
        <w:rPr>
          <w:b w:val="0"/>
          <w:sz w:val="24"/>
          <w:szCs w:val="24"/>
        </w:rPr>
        <w:tab/>
        <w:t xml:space="preserve">   </w:t>
      </w:r>
    </w:p>
    <w:p w:rsidR="00DE2ADC" w:rsidRPr="00311CB4" w:rsidRDefault="00DE2ADC" w:rsidP="00DE2ADC">
      <w:pPr>
        <w:pStyle w:val="Heading1"/>
        <w:spacing w:line="360" w:lineRule="auto"/>
        <w:jc w:val="both"/>
        <w:rPr>
          <w:sz w:val="24"/>
          <w:szCs w:val="24"/>
        </w:rPr>
      </w:pPr>
      <w:r w:rsidRPr="00311CB4">
        <w:rPr>
          <w:sz w:val="24"/>
          <w:szCs w:val="24"/>
        </w:rPr>
        <w:t>Downsides of monthly screening all employees in this organisation</w:t>
      </w:r>
    </w:p>
    <w:p w:rsidR="00DE2ADC" w:rsidRPr="00311CB4" w:rsidRDefault="00DE2ADC" w:rsidP="00DE2ADC">
      <w:pPr>
        <w:spacing w:line="360" w:lineRule="auto"/>
        <w:jc w:val="both"/>
        <w:rPr>
          <w:rFonts w:ascii="Times New Roman" w:hAnsi="Times New Roman"/>
          <w:sz w:val="24"/>
          <w:szCs w:val="24"/>
        </w:rPr>
      </w:pPr>
      <w:r w:rsidRPr="00311CB4">
        <w:rPr>
          <w:rFonts w:ascii="Times New Roman" w:hAnsi="Times New Roman"/>
          <w:b/>
          <w:sz w:val="24"/>
          <w:szCs w:val="24"/>
        </w:rPr>
        <w:tab/>
      </w:r>
      <w:r w:rsidRPr="00311CB4">
        <w:rPr>
          <w:rFonts w:ascii="Times New Roman" w:hAnsi="Times New Roman"/>
          <w:sz w:val="24"/>
          <w:szCs w:val="24"/>
        </w:rPr>
        <w:t xml:space="preserve">Screening entails use of different kinds of equipment that may require specimens from employees. The collection of these specimens on a regular basis </w:t>
      </w:r>
      <w:proofErr w:type="gramStart"/>
      <w:r w:rsidRPr="00311CB4">
        <w:rPr>
          <w:rFonts w:ascii="Times New Roman" w:hAnsi="Times New Roman"/>
          <w:sz w:val="24"/>
          <w:szCs w:val="24"/>
        </w:rPr>
        <w:t>may, at times, be</w:t>
      </w:r>
      <w:proofErr w:type="gramEnd"/>
      <w:r w:rsidRPr="00311CB4">
        <w:rPr>
          <w:rFonts w:ascii="Times New Roman" w:hAnsi="Times New Roman"/>
          <w:sz w:val="24"/>
          <w:szCs w:val="24"/>
        </w:rPr>
        <w:t xml:space="preserve"> a bother and irritating to some employees; finding a balance in the manner in which they can be less irritating becomes important. Specimen such as blood may make an individual hesitant compared with saliva, hair, or urine. According to </w:t>
      </w:r>
      <w:proofErr w:type="spellStart"/>
      <w:r w:rsidRPr="00311CB4">
        <w:rPr>
          <w:rFonts w:ascii="Times New Roman" w:hAnsi="Times New Roman"/>
          <w:sz w:val="24"/>
          <w:szCs w:val="24"/>
        </w:rPr>
        <w:t>Pidd</w:t>
      </w:r>
      <w:proofErr w:type="spellEnd"/>
      <w:r w:rsidRPr="00311CB4">
        <w:rPr>
          <w:rFonts w:ascii="Times New Roman" w:hAnsi="Times New Roman"/>
          <w:sz w:val="24"/>
          <w:szCs w:val="24"/>
        </w:rPr>
        <w:t xml:space="preserve"> &amp; Roche (2011), acceptability of a screening programme is pivotal to the success of the organisation, whether the attitudes are negative or positive. Attitudes are important as they form the levels of employee commitment, job satisfaction, and performance and turnover intentions (Bacharach, et al., 2010).  If employees view the entire screening process with negativity, the effect would be loss of working morale, affecting productivity in the </w:t>
      </w:r>
      <w:proofErr w:type="gramStart"/>
      <w:r w:rsidRPr="00311CB4">
        <w:rPr>
          <w:rFonts w:ascii="Times New Roman" w:hAnsi="Times New Roman"/>
          <w:sz w:val="24"/>
          <w:szCs w:val="24"/>
        </w:rPr>
        <w:t>long run</w:t>
      </w:r>
      <w:proofErr w:type="gramEnd"/>
      <w:r w:rsidRPr="00311CB4">
        <w:rPr>
          <w:rFonts w:ascii="Times New Roman" w:hAnsi="Times New Roman"/>
          <w:sz w:val="24"/>
          <w:szCs w:val="24"/>
        </w:rPr>
        <w:t xml:space="preserve">. </w:t>
      </w:r>
    </w:p>
    <w:p w:rsidR="00DE2ADC" w:rsidRPr="00311CB4" w:rsidRDefault="00DE2ADC" w:rsidP="00DE2ADC">
      <w:pPr>
        <w:spacing w:line="360" w:lineRule="auto"/>
        <w:jc w:val="both"/>
        <w:rPr>
          <w:rFonts w:ascii="Times New Roman" w:hAnsi="Times New Roman"/>
          <w:sz w:val="24"/>
          <w:szCs w:val="24"/>
        </w:rPr>
      </w:pPr>
      <w:r w:rsidRPr="00311CB4">
        <w:rPr>
          <w:rFonts w:ascii="Times New Roman" w:hAnsi="Times New Roman"/>
          <w:sz w:val="24"/>
          <w:szCs w:val="24"/>
        </w:rPr>
        <w:tab/>
        <w:t>When screening employees for drug or alcohol use, the results can be false positive or false negative; such can create attitude on employees if wrongly interpreted (</w:t>
      </w:r>
      <w:proofErr w:type="spellStart"/>
      <w:r w:rsidRPr="00311CB4">
        <w:rPr>
          <w:rFonts w:ascii="Times New Roman" w:hAnsi="Times New Roman"/>
          <w:sz w:val="24"/>
          <w:szCs w:val="24"/>
        </w:rPr>
        <w:t>Strang</w:t>
      </w:r>
      <w:proofErr w:type="spellEnd"/>
      <w:r w:rsidRPr="00311CB4">
        <w:rPr>
          <w:rFonts w:ascii="Times New Roman" w:hAnsi="Times New Roman"/>
          <w:sz w:val="24"/>
          <w:szCs w:val="24"/>
        </w:rPr>
        <w:t xml:space="preserve">, </w:t>
      </w:r>
      <w:proofErr w:type="spellStart"/>
      <w:r w:rsidRPr="00311CB4">
        <w:rPr>
          <w:rFonts w:ascii="Times New Roman" w:hAnsi="Times New Roman"/>
          <w:sz w:val="24"/>
          <w:szCs w:val="24"/>
        </w:rPr>
        <w:t>Babor</w:t>
      </w:r>
      <w:proofErr w:type="spellEnd"/>
      <w:r w:rsidRPr="00311CB4">
        <w:rPr>
          <w:rFonts w:ascii="Times New Roman" w:hAnsi="Times New Roman"/>
          <w:sz w:val="24"/>
          <w:szCs w:val="24"/>
        </w:rPr>
        <w:t xml:space="preserve">, </w:t>
      </w:r>
      <w:proofErr w:type="spellStart"/>
      <w:r w:rsidRPr="00311CB4">
        <w:rPr>
          <w:rFonts w:ascii="Times New Roman" w:hAnsi="Times New Roman"/>
          <w:sz w:val="24"/>
          <w:szCs w:val="24"/>
        </w:rPr>
        <w:t>Caulkins</w:t>
      </w:r>
      <w:proofErr w:type="spellEnd"/>
      <w:r w:rsidRPr="00311CB4">
        <w:rPr>
          <w:rFonts w:ascii="Times New Roman" w:hAnsi="Times New Roman"/>
          <w:sz w:val="24"/>
          <w:szCs w:val="24"/>
        </w:rPr>
        <w:t xml:space="preserve">, Fischer, </w:t>
      </w:r>
      <w:proofErr w:type="spellStart"/>
      <w:r w:rsidRPr="00311CB4">
        <w:rPr>
          <w:rFonts w:ascii="Times New Roman" w:hAnsi="Times New Roman"/>
          <w:sz w:val="24"/>
          <w:szCs w:val="24"/>
        </w:rPr>
        <w:t>Fozcroft</w:t>
      </w:r>
      <w:proofErr w:type="spellEnd"/>
      <w:r w:rsidRPr="00311CB4">
        <w:rPr>
          <w:rFonts w:ascii="Times New Roman" w:hAnsi="Times New Roman"/>
          <w:sz w:val="24"/>
          <w:szCs w:val="24"/>
        </w:rPr>
        <w:t xml:space="preserve"> &amp; Humphreys, 2012; </w:t>
      </w:r>
      <w:proofErr w:type="spellStart"/>
      <w:r w:rsidRPr="00311CB4">
        <w:rPr>
          <w:rFonts w:ascii="Times New Roman" w:eastAsia="Times New Roman" w:hAnsi="Times New Roman"/>
          <w:sz w:val="24"/>
          <w:szCs w:val="24"/>
          <w:lang w:eastAsia="en-GB"/>
        </w:rPr>
        <w:t>Klimas</w:t>
      </w:r>
      <w:proofErr w:type="spellEnd"/>
      <w:r w:rsidRPr="00311CB4">
        <w:rPr>
          <w:rFonts w:ascii="Times New Roman" w:eastAsia="Times New Roman" w:hAnsi="Times New Roman"/>
          <w:sz w:val="24"/>
          <w:szCs w:val="24"/>
          <w:lang w:eastAsia="en-GB"/>
        </w:rPr>
        <w:t xml:space="preserve"> et al., 2012</w:t>
      </w:r>
      <w:r w:rsidRPr="00311CB4">
        <w:rPr>
          <w:rFonts w:ascii="Times New Roman" w:hAnsi="Times New Roman"/>
          <w:sz w:val="24"/>
          <w:szCs w:val="24"/>
        </w:rPr>
        <w:t xml:space="preserve">). The attitude created, if </w:t>
      </w:r>
      <w:r w:rsidRPr="00311CB4">
        <w:rPr>
          <w:rFonts w:ascii="Times New Roman" w:hAnsi="Times New Roman"/>
          <w:sz w:val="24"/>
          <w:szCs w:val="24"/>
        </w:rPr>
        <w:lastRenderedPageBreak/>
        <w:t xml:space="preserve">negative, can easily lower staff morale, reducing productivity. The POCT and lab results analysis at times differ with POCT, at times being inaccurate, though fast and less costly; this may cause employees to </w:t>
      </w:r>
      <w:proofErr w:type="gramStart"/>
      <w:r w:rsidRPr="00311CB4">
        <w:rPr>
          <w:rFonts w:ascii="Times New Roman" w:hAnsi="Times New Roman"/>
          <w:sz w:val="24"/>
          <w:szCs w:val="24"/>
        </w:rPr>
        <w:t>be implicated</w:t>
      </w:r>
      <w:proofErr w:type="gramEnd"/>
      <w:r w:rsidRPr="00311CB4">
        <w:rPr>
          <w:rFonts w:ascii="Times New Roman" w:hAnsi="Times New Roman"/>
          <w:sz w:val="24"/>
          <w:szCs w:val="24"/>
        </w:rPr>
        <w:t xml:space="preserve"> to be on drugs or alcohol where they may not (Moyer, 2013). These cases may exist where one, initially, may have used drugs and ceased to use them. Where such a case occurs, an employee may feel offended and eventually develop a negative attitude towards the organisation. </w:t>
      </w:r>
    </w:p>
    <w:p w:rsidR="00DE2ADC" w:rsidRPr="00311CB4" w:rsidRDefault="00DE2ADC" w:rsidP="00DE2ADC">
      <w:pPr>
        <w:spacing w:line="360" w:lineRule="auto"/>
        <w:jc w:val="both"/>
        <w:rPr>
          <w:rFonts w:ascii="Times New Roman" w:hAnsi="Times New Roman"/>
          <w:sz w:val="24"/>
          <w:szCs w:val="24"/>
        </w:rPr>
      </w:pPr>
      <w:r w:rsidRPr="00311CB4">
        <w:rPr>
          <w:rFonts w:ascii="Times New Roman" w:hAnsi="Times New Roman"/>
          <w:sz w:val="24"/>
          <w:szCs w:val="24"/>
        </w:rPr>
        <w:tab/>
        <w:t xml:space="preserve">The screening process may downplay the efforts of staff towards an organisation where the screening process </w:t>
      </w:r>
      <w:proofErr w:type="gramStart"/>
      <w:r w:rsidRPr="00311CB4">
        <w:rPr>
          <w:rFonts w:ascii="Times New Roman" w:hAnsi="Times New Roman"/>
          <w:sz w:val="24"/>
          <w:szCs w:val="24"/>
        </w:rPr>
        <w:t>may be viewed</w:t>
      </w:r>
      <w:proofErr w:type="gramEnd"/>
      <w:r w:rsidRPr="00311CB4">
        <w:rPr>
          <w:rFonts w:ascii="Times New Roman" w:hAnsi="Times New Roman"/>
          <w:sz w:val="24"/>
          <w:szCs w:val="24"/>
        </w:rPr>
        <w:t xml:space="preserve"> as a tool of dismissal (Dale &amp; Livingston, 2010). In such a case, the entire introduction process of the screening procedure may be </w:t>
      </w:r>
      <w:proofErr w:type="gramStart"/>
      <w:r w:rsidRPr="00311CB4">
        <w:rPr>
          <w:rFonts w:ascii="Times New Roman" w:hAnsi="Times New Roman"/>
          <w:sz w:val="24"/>
          <w:szCs w:val="24"/>
        </w:rPr>
        <w:t>resisted</w:t>
      </w:r>
      <w:proofErr w:type="gramEnd"/>
      <w:r w:rsidRPr="00311CB4">
        <w:rPr>
          <w:rFonts w:ascii="Times New Roman" w:hAnsi="Times New Roman"/>
          <w:sz w:val="24"/>
          <w:szCs w:val="24"/>
        </w:rPr>
        <w:t xml:space="preserve"> as employees will take it as a coercive process for job termination. Where the process </w:t>
      </w:r>
      <w:proofErr w:type="gramStart"/>
      <w:r w:rsidRPr="00311CB4">
        <w:rPr>
          <w:rFonts w:ascii="Times New Roman" w:hAnsi="Times New Roman"/>
          <w:sz w:val="24"/>
          <w:szCs w:val="24"/>
        </w:rPr>
        <w:t>is mainly aimed</w:t>
      </w:r>
      <w:proofErr w:type="gramEnd"/>
      <w:r w:rsidRPr="00311CB4">
        <w:rPr>
          <w:rFonts w:ascii="Times New Roman" w:hAnsi="Times New Roman"/>
          <w:sz w:val="24"/>
          <w:szCs w:val="24"/>
        </w:rPr>
        <w:t xml:space="preserve"> at rehabilitation, the employees are likely to welcome it, since they would perceive it as a positive gesture of the organisation towards employee welfare. It is notable that, despite the screening to reduce injuries and accidents and to improve general safety in the workplace, research indicates that screening does not entirely increase work safety but is, rather, a deterrent to alcohol or drug use (</w:t>
      </w:r>
      <w:r w:rsidRPr="00311CB4">
        <w:rPr>
          <w:rFonts w:ascii="Times New Roman" w:eastAsia="Times New Roman" w:hAnsi="Times New Roman"/>
          <w:sz w:val="24"/>
          <w:szCs w:val="24"/>
          <w:lang w:eastAsia="en-GB"/>
        </w:rPr>
        <w:t xml:space="preserve">Macdonald, Hall, Roman, Stockwell, </w:t>
      </w:r>
      <w:proofErr w:type="spellStart"/>
      <w:r w:rsidRPr="00311CB4">
        <w:rPr>
          <w:rFonts w:ascii="Times New Roman" w:eastAsia="Times New Roman" w:hAnsi="Times New Roman"/>
          <w:sz w:val="24"/>
          <w:szCs w:val="24"/>
          <w:lang w:eastAsia="en-GB"/>
        </w:rPr>
        <w:t>Coghlan</w:t>
      </w:r>
      <w:proofErr w:type="spellEnd"/>
      <w:r w:rsidRPr="00311CB4">
        <w:rPr>
          <w:rFonts w:ascii="Times New Roman" w:eastAsia="Times New Roman" w:hAnsi="Times New Roman"/>
          <w:sz w:val="24"/>
          <w:szCs w:val="24"/>
          <w:lang w:eastAsia="en-GB"/>
        </w:rPr>
        <w:t xml:space="preserve"> &amp; </w:t>
      </w:r>
      <w:proofErr w:type="spellStart"/>
      <w:r w:rsidRPr="00311CB4">
        <w:rPr>
          <w:rFonts w:ascii="Times New Roman" w:eastAsia="Times New Roman" w:hAnsi="Times New Roman"/>
          <w:sz w:val="24"/>
          <w:szCs w:val="24"/>
          <w:lang w:eastAsia="en-GB"/>
        </w:rPr>
        <w:t>Nesvaag</w:t>
      </w:r>
      <w:proofErr w:type="spellEnd"/>
      <w:r w:rsidRPr="00311CB4">
        <w:rPr>
          <w:rFonts w:ascii="Times New Roman" w:eastAsia="Times New Roman" w:hAnsi="Times New Roman"/>
          <w:sz w:val="24"/>
          <w:szCs w:val="24"/>
          <w:lang w:eastAsia="en-GB"/>
        </w:rPr>
        <w:t>,</w:t>
      </w:r>
      <w:r w:rsidRPr="00311CB4">
        <w:rPr>
          <w:rFonts w:ascii="Times New Roman" w:hAnsi="Times New Roman"/>
          <w:sz w:val="24"/>
          <w:szCs w:val="24"/>
        </w:rPr>
        <w:t xml:space="preserve"> 2010). </w:t>
      </w:r>
    </w:p>
    <w:p w:rsidR="00DE2ADC" w:rsidRPr="00311CB4" w:rsidRDefault="00DE2ADC" w:rsidP="00DE2ADC">
      <w:pPr>
        <w:pStyle w:val="Heading1"/>
        <w:spacing w:line="360" w:lineRule="auto"/>
        <w:jc w:val="both"/>
        <w:rPr>
          <w:sz w:val="24"/>
          <w:szCs w:val="24"/>
        </w:rPr>
      </w:pPr>
      <w:r w:rsidRPr="00311CB4">
        <w:rPr>
          <w:sz w:val="24"/>
          <w:szCs w:val="24"/>
        </w:rPr>
        <w:t xml:space="preserve">The company’s test claim of 95% accuracy </w:t>
      </w:r>
    </w:p>
    <w:p w:rsidR="00DE2ADC" w:rsidRPr="00311CB4" w:rsidRDefault="00DE2ADC" w:rsidP="00DE2ADC">
      <w:pPr>
        <w:spacing w:line="360" w:lineRule="auto"/>
        <w:jc w:val="both"/>
        <w:rPr>
          <w:rFonts w:ascii="Times New Roman" w:hAnsi="Times New Roman"/>
          <w:sz w:val="24"/>
          <w:szCs w:val="24"/>
        </w:rPr>
      </w:pPr>
      <w:r w:rsidRPr="00311CB4">
        <w:rPr>
          <w:rFonts w:ascii="Times New Roman" w:hAnsi="Times New Roman"/>
          <w:sz w:val="24"/>
          <w:szCs w:val="24"/>
        </w:rPr>
        <w:tab/>
        <w:t xml:space="preserve">The determination of drug or alcohol use is important as employees require to be addressed with </w:t>
      </w:r>
      <w:proofErr w:type="gramStart"/>
      <w:r w:rsidRPr="00311CB4">
        <w:rPr>
          <w:rFonts w:ascii="Times New Roman" w:hAnsi="Times New Roman"/>
          <w:sz w:val="24"/>
          <w:szCs w:val="24"/>
        </w:rPr>
        <w:t>factual information</w:t>
      </w:r>
      <w:proofErr w:type="gramEnd"/>
      <w:r w:rsidRPr="00311CB4">
        <w:rPr>
          <w:rFonts w:ascii="Times New Roman" w:hAnsi="Times New Roman"/>
          <w:sz w:val="24"/>
          <w:szCs w:val="24"/>
        </w:rPr>
        <w:t>. Having accuracy of 95% depends on the parameters correctly classified as positive or negative of all test results being expressed as a percentage (</w:t>
      </w:r>
      <w:proofErr w:type="spellStart"/>
      <w:r w:rsidRPr="00311CB4">
        <w:rPr>
          <w:rFonts w:ascii="Times New Roman" w:hAnsi="Times New Roman"/>
          <w:sz w:val="24"/>
          <w:szCs w:val="24"/>
        </w:rPr>
        <w:t>Pidd</w:t>
      </w:r>
      <w:proofErr w:type="spellEnd"/>
      <w:r w:rsidRPr="00311CB4">
        <w:rPr>
          <w:rFonts w:ascii="Times New Roman" w:hAnsi="Times New Roman"/>
          <w:sz w:val="24"/>
          <w:szCs w:val="24"/>
        </w:rPr>
        <w:t xml:space="preserve"> &amp; Roche, 2011). Accuracy thus indicates how good a test is wholly by considering sensitivity and specificity. It is determined as indicated in this formula:</w:t>
      </w:r>
    </w:p>
    <w:p w:rsidR="00DE2ADC" w:rsidRPr="00311CB4" w:rsidRDefault="00DE2ADC" w:rsidP="00DE2ADC">
      <w:pPr>
        <w:spacing w:line="360" w:lineRule="auto"/>
        <w:ind w:left="1440" w:hanging="1170"/>
        <w:jc w:val="both"/>
        <w:rPr>
          <w:rFonts w:ascii="Times New Roman" w:hAnsi="Times New Roman"/>
          <w:sz w:val="24"/>
          <w:szCs w:val="24"/>
        </w:rPr>
      </w:pPr>
      <w:r w:rsidRPr="00311CB4">
        <w:rPr>
          <w:rFonts w:ascii="Times New Roman" w:hAnsi="Times New Roman"/>
          <w:sz w:val="24"/>
          <w:szCs w:val="24"/>
        </w:rPr>
        <w:t xml:space="preserve">Accuracy (%) = {true positives (a) + true negatives (d)} </w:t>
      </w:r>
      <w:r w:rsidRPr="00311CB4">
        <w:rPr>
          <w:rFonts w:ascii="Times New Roman" w:hAnsi="Times New Roman"/>
          <w:b/>
          <w:sz w:val="24"/>
          <w:szCs w:val="24"/>
        </w:rPr>
        <w:t xml:space="preserve">/ </w:t>
      </w:r>
      <w:r w:rsidRPr="00311CB4">
        <w:rPr>
          <w:rFonts w:ascii="Times New Roman" w:hAnsi="Times New Roman"/>
          <w:sz w:val="24"/>
          <w:szCs w:val="24"/>
        </w:rPr>
        <w:t>{true positives (a) + false   positives (b) + false negatives (c) + true negatives (d)}</w:t>
      </w:r>
    </w:p>
    <w:p w:rsidR="00DE2ADC" w:rsidRPr="00311CB4" w:rsidRDefault="00DE2ADC" w:rsidP="00DE2ADC">
      <w:pPr>
        <w:spacing w:line="360" w:lineRule="auto"/>
        <w:ind w:left="1440" w:hanging="1170"/>
        <w:jc w:val="both"/>
        <w:rPr>
          <w:rFonts w:ascii="Times New Roman" w:hAnsi="Times New Roman"/>
          <w:sz w:val="24"/>
          <w:szCs w:val="24"/>
        </w:rPr>
      </w:pPr>
      <w:proofErr w:type="gramStart"/>
      <w:r w:rsidRPr="00311CB4">
        <w:rPr>
          <w:rFonts w:ascii="Times New Roman" w:hAnsi="Times New Roman"/>
          <w:sz w:val="24"/>
          <w:szCs w:val="24"/>
        </w:rPr>
        <w:t>Where, for instance, if there are 200 samples, a test that classifies 10 samples as positive for drugs (true positives), correctly classifies 160 samples as negative for drugs (true negatives), and incorrectly classifies 20 samples as being positive or negative (false positives or false negatives) would have accuracy of 90%; i.e. , {20 (a) + 160 (b)} / {20 (a) + 10 (b) + 10 (c) + 160 (d)} = 180/200 = 90%</w:t>
      </w:r>
      <w:proofErr w:type="gramEnd"/>
    </w:p>
    <w:p w:rsidR="00DE2ADC" w:rsidRPr="00311CB4" w:rsidRDefault="00DE2ADC" w:rsidP="00DE2ADC">
      <w:pPr>
        <w:pStyle w:val="Heading1"/>
        <w:spacing w:line="360" w:lineRule="auto"/>
        <w:jc w:val="both"/>
        <w:rPr>
          <w:sz w:val="24"/>
          <w:szCs w:val="24"/>
        </w:rPr>
      </w:pPr>
      <w:r w:rsidRPr="00311CB4">
        <w:rPr>
          <w:sz w:val="24"/>
          <w:szCs w:val="24"/>
        </w:rPr>
        <w:lastRenderedPageBreak/>
        <w:t xml:space="preserve">Further investigation into drug and alcohol screening tests of a company whose test has shown to be quite reliable, with 95% sensitivity and 86% specificity  </w:t>
      </w:r>
    </w:p>
    <w:p w:rsidR="00DE2ADC" w:rsidRPr="00311CB4" w:rsidRDefault="00DE2ADC" w:rsidP="00DE2ADC">
      <w:pPr>
        <w:spacing w:line="360" w:lineRule="auto"/>
        <w:jc w:val="both"/>
        <w:rPr>
          <w:rFonts w:ascii="Times New Roman" w:hAnsi="Times New Roman"/>
          <w:sz w:val="24"/>
          <w:szCs w:val="24"/>
        </w:rPr>
      </w:pPr>
      <w:r w:rsidRPr="00311CB4">
        <w:rPr>
          <w:rFonts w:ascii="Times New Roman" w:hAnsi="Times New Roman"/>
          <w:b/>
          <w:sz w:val="24"/>
          <w:szCs w:val="24"/>
        </w:rPr>
        <w:tab/>
      </w:r>
      <w:r w:rsidRPr="00311CB4">
        <w:rPr>
          <w:rFonts w:ascii="Times New Roman" w:hAnsi="Times New Roman"/>
          <w:sz w:val="24"/>
          <w:szCs w:val="24"/>
        </w:rPr>
        <w:t>Results that have a sensitivity of 95% indicate that the test is good at identifying the drug use (</w:t>
      </w:r>
      <w:proofErr w:type="spellStart"/>
      <w:r w:rsidRPr="00311CB4">
        <w:rPr>
          <w:rFonts w:ascii="Times New Roman" w:hAnsi="Times New Roman"/>
          <w:sz w:val="24"/>
          <w:szCs w:val="24"/>
        </w:rPr>
        <w:t>Pidd</w:t>
      </w:r>
      <w:proofErr w:type="spellEnd"/>
      <w:r w:rsidRPr="00311CB4">
        <w:rPr>
          <w:rFonts w:ascii="Times New Roman" w:hAnsi="Times New Roman"/>
          <w:sz w:val="24"/>
          <w:szCs w:val="24"/>
        </w:rPr>
        <w:t xml:space="preserve"> &amp; Roche, 2011). It </w:t>
      </w:r>
      <w:proofErr w:type="gramStart"/>
      <w:r w:rsidRPr="00311CB4">
        <w:rPr>
          <w:rFonts w:ascii="Times New Roman" w:hAnsi="Times New Roman"/>
          <w:sz w:val="24"/>
          <w:szCs w:val="24"/>
        </w:rPr>
        <w:t>is expressed</w:t>
      </w:r>
      <w:proofErr w:type="gramEnd"/>
      <w:r w:rsidRPr="00311CB4">
        <w:rPr>
          <w:rFonts w:ascii="Times New Roman" w:hAnsi="Times New Roman"/>
          <w:sz w:val="24"/>
          <w:szCs w:val="24"/>
        </w:rPr>
        <w:t xml:space="preserve"> as a percentage of true positive values to all actual positive cases. When higher than 90%, it indicates that the test is more accurate. </w:t>
      </w:r>
    </w:p>
    <w:p w:rsidR="00DE2ADC" w:rsidRPr="00311CB4" w:rsidRDefault="00DE2ADC" w:rsidP="00DE2ADC">
      <w:pPr>
        <w:spacing w:line="360" w:lineRule="auto"/>
        <w:jc w:val="both"/>
        <w:rPr>
          <w:rFonts w:ascii="Times New Roman" w:hAnsi="Times New Roman"/>
          <w:sz w:val="24"/>
          <w:szCs w:val="24"/>
        </w:rPr>
      </w:pPr>
      <w:r w:rsidRPr="00311CB4">
        <w:rPr>
          <w:rFonts w:ascii="Times New Roman" w:hAnsi="Times New Roman"/>
          <w:sz w:val="24"/>
          <w:szCs w:val="24"/>
        </w:rPr>
        <w:tab/>
        <w:t>Specificity indicates how good a test is at identifying individuals who do not use drugs (</w:t>
      </w:r>
      <w:proofErr w:type="spellStart"/>
      <w:r w:rsidRPr="00311CB4">
        <w:rPr>
          <w:rFonts w:ascii="Times New Roman" w:hAnsi="Times New Roman"/>
          <w:sz w:val="24"/>
          <w:szCs w:val="24"/>
        </w:rPr>
        <w:t>Pidd</w:t>
      </w:r>
      <w:proofErr w:type="spellEnd"/>
      <w:r w:rsidRPr="00311CB4">
        <w:rPr>
          <w:rFonts w:ascii="Times New Roman" w:hAnsi="Times New Roman"/>
          <w:sz w:val="24"/>
          <w:szCs w:val="24"/>
        </w:rPr>
        <w:t xml:space="preserve"> &amp; Roche, 2011). It </w:t>
      </w:r>
      <w:proofErr w:type="gramStart"/>
      <w:r w:rsidRPr="00311CB4">
        <w:rPr>
          <w:rFonts w:ascii="Times New Roman" w:hAnsi="Times New Roman"/>
          <w:sz w:val="24"/>
          <w:szCs w:val="24"/>
        </w:rPr>
        <w:t>is expressed</w:t>
      </w:r>
      <w:proofErr w:type="gramEnd"/>
      <w:r w:rsidRPr="00311CB4">
        <w:rPr>
          <w:rFonts w:ascii="Times New Roman" w:hAnsi="Times New Roman"/>
          <w:sz w:val="24"/>
          <w:szCs w:val="24"/>
        </w:rPr>
        <w:t xml:space="preserve"> as a percentage of true negatives to all actual negative cases. Specificity above 90% is acceptable as the required minimum accuracy; in this case, it was lower. If a POCT </w:t>
      </w:r>
      <w:proofErr w:type="gramStart"/>
      <w:r w:rsidRPr="00311CB4">
        <w:rPr>
          <w:rFonts w:ascii="Times New Roman" w:hAnsi="Times New Roman"/>
          <w:sz w:val="24"/>
          <w:szCs w:val="24"/>
        </w:rPr>
        <w:t>had been conducted</w:t>
      </w:r>
      <w:proofErr w:type="gramEnd"/>
      <w:r w:rsidRPr="00311CB4">
        <w:rPr>
          <w:rFonts w:ascii="Times New Roman" w:hAnsi="Times New Roman"/>
          <w:sz w:val="24"/>
          <w:szCs w:val="24"/>
        </w:rPr>
        <w:t xml:space="preserve">, further tests could be done, using laboratory analysis. </w:t>
      </w:r>
    </w:p>
    <w:p w:rsidR="00DE2ADC" w:rsidRPr="00311CB4" w:rsidRDefault="00DE2ADC" w:rsidP="00DE2ADC">
      <w:pPr>
        <w:pStyle w:val="Heading2"/>
        <w:spacing w:line="360" w:lineRule="auto"/>
        <w:rPr>
          <w:i w:val="0"/>
          <w:sz w:val="24"/>
          <w:szCs w:val="24"/>
        </w:rPr>
      </w:pPr>
      <w:r w:rsidRPr="00311CB4">
        <w:rPr>
          <w:i w:val="0"/>
          <w:sz w:val="24"/>
          <w:szCs w:val="24"/>
        </w:rPr>
        <w:t xml:space="preserve">Based on other workplace screening programmes, a 0.001% prevalence of drug and/or alcohol use </w:t>
      </w:r>
      <w:proofErr w:type="gramStart"/>
      <w:r w:rsidRPr="00311CB4">
        <w:rPr>
          <w:i w:val="0"/>
          <w:sz w:val="24"/>
          <w:szCs w:val="24"/>
        </w:rPr>
        <w:t>is anticipated</w:t>
      </w:r>
      <w:proofErr w:type="gramEnd"/>
      <w:r w:rsidRPr="00311CB4">
        <w:rPr>
          <w:i w:val="0"/>
          <w:sz w:val="24"/>
          <w:szCs w:val="24"/>
        </w:rPr>
        <w:t xml:space="preserve"> in the workplace. Using these values, the positive and negative predictive values, if this test </w:t>
      </w:r>
      <w:proofErr w:type="gramStart"/>
      <w:r w:rsidRPr="00311CB4">
        <w:rPr>
          <w:i w:val="0"/>
          <w:sz w:val="24"/>
          <w:szCs w:val="24"/>
        </w:rPr>
        <w:t>is used</w:t>
      </w:r>
      <w:proofErr w:type="gramEnd"/>
      <w:r w:rsidRPr="00311CB4">
        <w:rPr>
          <w:i w:val="0"/>
          <w:sz w:val="24"/>
          <w:szCs w:val="24"/>
        </w:rPr>
        <w:t xml:space="preserve"> in this workplace, will be:</w:t>
      </w:r>
    </w:p>
    <w:p w:rsidR="00DE2ADC" w:rsidRPr="00311CB4" w:rsidRDefault="00DE2ADC" w:rsidP="00DE2ADC">
      <w:pPr>
        <w:spacing w:line="360" w:lineRule="auto"/>
        <w:rPr>
          <w:rFonts w:ascii="Times New Roman" w:hAnsi="Times New Roman"/>
          <w:b/>
          <w:sz w:val="24"/>
          <w:szCs w:val="24"/>
        </w:rPr>
      </w:pPr>
      <w:r w:rsidRPr="00311CB4">
        <w:rPr>
          <w:rFonts w:ascii="Times New Roman" w:hAnsi="Times New Roman"/>
          <w:b/>
          <w:sz w:val="24"/>
          <w:szCs w:val="24"/>
        </w:rPr>
        <w:t xml:space="preserve">Table 1: Gold standard </w:t>
      </w:r>
    </w:p>
    <w:tbl>
      <w:tblPr>
        <w:tblW w:w="9378" w:type="dxa"/>
        <w:tblBorders>
          <w:top w:val="single" w:sz="8" w:space="0" w:color="9BBB59"/>
          <w:bottom w:val="single" w:sz="8" w:space="0" w:color="9BBB59"/>
        </w:tblBorders>
        <w:tblLook w:val="04A0" w:firstRow="1" w:lastRow="0" w:firstColumn="1" w:lastColumn="0" w:noHBand="0" w:noVBand="1"/>
      </w:tblPr>
      <w:tblGrid>
        <w:gridCol w:w="1728"/>
        <w:gridCol w:w="2340"/>
        <w:gridCol w:w="2430"/>
        <w:gridCol w:w="2880"/>
      </w:tblGrid>
      <w:tr w:rsidR="00311CB4" w:rsidRPr="00311CB4" w:rsidTr="00383404">
        <w:tc>
          <w:tcPr>
            <w:tcW w:w="1728"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p>
        </w:tc>
        <w:tc>
          <w:tcPr>
            <w:tcW w:w="2340"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 xml:space="preserve">Gold standard disease present </w:t>
            </w:r>
          </w:p>
        </w:tc>
        <w:tc>
          <w:tcPr>
            <w:tcW w:w="2430"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Gold standard disease absent</w:t>
            </w:r>
          </w:p>
        </w:tc>
        <w:tc>
          <w:tcPr>
            <w:tcW w:w="2880"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p>
        </w:tc>
      </w:tr>
      <w:tr w:rsidR="00311CB4" w:rsidRPr="00311CB4" w:rsidTr="00383404">
        <w:tc>
          <w:tcPr>
            <w:tcW w:w="1728" w:type="dxa"/>
            <w:tcBorders>
              <w:left w:val="nil"/>
              <w:right w:val="nil"/>
            </w:tcBorders>
            <w:shd w:val="clear" w:color="auto" w:fill="E6EED5"/>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Test positive</w:t>
            </w:r>
          </w:p>
        </w:tc>
        <w:tc>
          <w:tcPr>
            <w:tcW w:w="2340" w:type="dxa"/>
            <w:tcBorders>
              <w:left w:val="nil"/>
              <w:right w:val="nil"/>
            </w:tcBorders>
            <w:shd w:val="clear" w:color="auto" w:fill="E6EED5"/>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True positive (TP) a</w:t>
            </w:r>
          </w:p>
        </w:tc>
        <w:tc>
          <w:tcPr>
            <w:tcW w:w="2430" w:type="dxa"/>
            <w:tcBorders>
              <w:left w:val="nil"/>
              <w:right w:val="nil"/>
            </w:tcBorders>
            <w:shd w:val="clear" w:color="auto" w:fill="E6EED5"/>
          </w:tcPr>
          <w:p w:rsidR="00DE2ADC" w:rsidRPr="00311CB4" w:rsidRDefault="00DE2ADC" w:rsidP="00383404">
            <w:pPr>
              <w:spacing w:line="360" w:lineRule="auto"/>
              <w:rPr>
                <w:rFonts w:ascii="Times New Roman" w:hAnsi="Times New Roman"/>
                <w:b/>
                <w:sz w:val="24"/>
                <w:szCs w:val="24"/>
              </w:rPr>
            </w:pPr>
            <w:r w:rsidRPr="00311CB4">
              <w:rPr>
                <w:rFonts w:ascii="Times New Roman" w:hAnsi="Times New Roman"/>
                <w:sz w:val="24"/>
                <w:szCs w:val="24"/>
              </w:rPr>
              <w:t>False positive (FP) b</w:t>
            </w:r>
          </w:p>
        </w:tc>
        <w:tc>
          <w:tcPr>
            <w:tcW w:w="2880" w:type="dxa"/>
            <w:tcBorders>
              <w:left w:val="nil"/>
              <w:right w:val="nil"/>
            </w:tcBorders>
            <w:shd w:val="clear" w:color="auto" w:fill="E6EED5"/>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 xml:space="preserve">Total  test positive: </w:t>
            </w:r>
            <w:proofErr w:type="spellStart"/>
            <w:r w:rsidRPr="00311CB4">
              <w:rPr>
                <w:rFonts w:ascii="Times New Roman" w:hAnsi="Times New Roman"/>
                <w:sz w:val="24"/>
                <w:szCs w:val="24"/>
              </w:rPr>
              <w:t>a+b</w:t>
            </w:r>
            <w:proofErr w:type="spellEnd"/>
          </w:p>
        </w:tc>
      </w:tr>
      <w:tr w:rsidR="00311CB4" w:rsidRPr="00311CB4" w:rsidTr="00383404">
        <w:tc>
          <w:tcPr>
            <w:tcW w:w="1728" w:type="dxa"/>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Test negative</w:t>
            </w:r>
          </w:p>
        </w:tc>
        <w:tc>
          <w:tcPr>
            <w:tcW w:w="2340" w:type="dxa"/>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False negative (FN) c</w:t>
            </w:r>
          </w:p>
        </w:tc>
        <w:tc>
          <w:tcPr>
            <w:tcW w:w="2430" w:type="dxa"/>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True negatives (TN) d</w:t>
            </w:r>
          </w:p>
        </w:tc>
        <w:tc>
          <w:tcPr>
            <w:tcW w:w="2880" w:type="dxa"/>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 xml:space="preserve">Total  test negative: </w:t>
            </w:r>
            <w:proofErr w:type="spellStart"/>
            <w:r w:rsidRPr="00311CB4">
              <w:rPr>
                <w:rFonts w:ascii="Times New Roman" w:hAnsi="Times New Roman"/>
                <w:sz w:val="24"/>
                <w:szCs w:val="24"/>
              </w:rPr>
              <w:t>c+d</w:t>
            </w:r>
            <w:proofErr w:type="spellEnd"/>
          </w:p>
        </w:tc>
      </w:tr>
      <w:tr w:rsidR="00311CB4" w:rsidRPr="00311CB4" w:rsidTr="00383404">
        <w:tc>
          <w:tcPr>
            <w:tcW w:w="1728" w:type="dxa"/>
            <w:tcBorders>
              <w:left w:val="nil"/>
              <w:right w:val="nil"/>
            </w:tcBorders>
            <w:shd w:val="clear" w:color="auto" w:fill="E6EED5"/>
          </w:tcPr>
          <w:p w:rsidR="00DE2ADC" w:rsidRPr="00311CB4" w:rsidRDefault="00DE2ADC" w:rsidP="00383404">
            <w:pPr>
              <w:spacing w:line="360" w:lineRule="auto"/>
              <w:rPr>
                <w:rFonts w:ascii="Times New Roman" w:hAnsi="Times New Roman"/>
                <w:b/>
                <w:bCs/>
                <w:sz w:val="24"/>
                <w:szCs w:val="24"/>
              </w:rPr>
            </w:pPr>
          </w:p>
        </w:tc>
        <w:tc>
          <w:tcPr>
            <w:tcW w:w="2340" w:type="dxa"/>
            <w:tcBorders>
              <w:left w:val="nil"/>
              <w:right w:val="nil"/>
            </w:tcBorders>
            <w:shd w:val="clear" w:color="auto" w:fill="E6EED5"/>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 xml:space="preserve">Total disease: </w:t>
            </w:r>
            <w:proofErr w:type="spellStart"/>
            <w:r w:rsidRPr="00311CB4">
              <w:rPr>
                <w:rFonts w:ascii="Times New Roman" w:hAnsi="Times New Roman"/>
                <w:sz w:val="24"/>
                <w:szCs w:val="24"/>
              </w:rPr>
              <w:t>a+c</w:t>
            </w:r>
            <w:proofErr w:type="spellEnd"/>
          </w:p>
        </w:tc>
        <w:tc>
          <w:tcPr>
            <w:tcW w:w="2430" w:type="dxa"/>
            <w:tcBorders>
              <w:left w:val="nil"/>
              <w:right w:val="nil"/>
            </w:tcBorders>
            <w:shd w:val="clear" w:color="auto" w:fill="E6EED5"/>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 xml:space="preserve">Total normal: </w:t>
            </w:r>
            <w:proofErr w:type="spellStart"/>
            <w:r w:rsidRPr="00311CB4">
              <w:rPr>
                <w:rFonts w:ascii="Times New Roman" w:hAnsi="Times New Roman"/>
                <w:sz w:val="24"/>
                <w:szCs w:val="24"/>
              </w:rPr>
              <w:t>b+d</w:t>
            </w:r>
            <w:proofErr w:type="spellEnd"/>
          </w:p>
        </w:tc>
        <w:tc>
          <w:tcPr>
            <w:tcW w:w="2880" w:type="dxa"/>
            <w:tcBorders>
              <w:left w:val="nil"/>
              <w:right w:val="nil"/>
            </w:tcBorders>
            <w:shd w:val="clear" w:color="auto" w:fill="E6EED5"/>
          </w:tcPr>
          <w:p w:rsidR="00DE2ADC" w:rsidRPr="00311CB4" w:rsidRDefault="00DE2ADC" w:rsidP="00383404">
            <w:pPr>
              <w:spacing w:line="360" w:lineRule="auto"/>
              <w:rPr>
                <w:rFonts w:ascii="Times New Roman" w:hAnsi="Times New Roman"/>
                <w:b/>
                <w:sz w:val="24"/>
                <w:szCs w:val="24"/>
              </w:rPr>
            </w:pPr>
            <w:r w:rsidRPr="00311CB4">
              <w:rPr>
                <w:rFonts w:ascii="Times New Roman" w:hAnsi="Times New Roman"/>
                <w:sz w:val="24"/>
                <w:szCs w:val="24"/>
              </w:rPr>
              <w:t xml:space="preserve">Total population: </w:t>
            </w:r>
            <w:proofErr w:type="spellStart"/>
            <w:r w:rsidRPr="00311CB4">
              <w:rPr>
                <w:rFonts w:ascii="Times New Roman" w:hAnsi="Times New Roman"/>
                <w:sz w:val="24"/>
                <w:szCs w:val="24"/>
              </w:rPr>
              <w:t>a+b+c+d</w:t>
            </w:r>
            <w:proofErr w:type="spellEnd"/>
          </w:p>
        </w:tc>
      </w:tr>
    </w:tbl>
    <w:p w:rsidR="00DE2ADC" w:rsidRPr="00311CB4" w:rsidRDefault="00DE2ADC" w:rsidP="00DE2ADC">
      <w:pPr>
        <w:spacing w:line="360" w:lineRule="auto"/>
        <w:rPr>
          <w:rFonts w:ascii="Times New Roman" w:hAnsi="Times New Roman"/>
          <w:b/>
          <w:sz w:val="24"/>
          <w:szCs w:val="24"/>
        </w:rPr>
      </w:pPr>
    </w:p>
    <w:p w:rsidR="00DE2ADC" w:rsidRPr="00311CB4" w:rsidRDefault="00DE2ADC" w:rsidP="00DE2ADC">
      <w:pPr>
        <w:spacing w:line="360" w:lineRule="auto"/>
        <w:rPr>
          <w:rFonts w:ascii="Times New Roman" w:hAnsi="Times New Roman"/>
          <w:sz w:val="24"/>
          <w:szCs w:val="24"/>
        </w:rPr>
      </w:pPr>
      <w:r w:rsidRPr="00311CB4">
        <w:rPr>
          <w:rFonts w:ascii="Times New Roman" w:hAnsi="Times New Roman"/>
          <w:b/>
          <w:sz w:val="24"/>
          <w:szCs w:val="24"/>
        </w:rPr>
        <w:tab/>
      </w:r>
      <w:r w:rsidRPr="00311CB4">
        <w:rPr>
          <w:rFonts w:ascii="Times New Roman" w:hAnsi="Times New Roman"/>
          <w:sz w:val="24"/>
          <w:szCs w:val="24"/>
        </w:rPr>
        <w:t xml:space="preserve">With a prevalence of 0.001% of drug or alcohol use, anticipation in the workplace </w:t>
      </w:r>
      <w:proofErr w:type="gramStart"/>
      <w:r w:rsidRPr="00311CB4">
        <w:rPr>
          <w:rFonts w:ascii="Times New Roman" w:hAnsi="Times New Roman"/>
          <w:sz w:val="24"/>
          <w:szCs w:val="24"/>
        </w:rPr>
        <w:t>can be represented</w:t>
      </w:r>
      <w:proofErr w:type="gramEnd"/>
      <w:r w:rsidRPr="00311CB4">
        <w:rPr>
          <w:rFonts w:ascii="Times New Roman" w:hAnsi="Times New Roman"/>
          <w:sz w:val="24"/>
          <w:szCs w:val="24"/>
        </w:rPr>
        <w:t xml:space="preserve"> as below for 100 employees.</w:t>
      </w: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Pr>
        <w:spacing w:line="360" w:lineRule="auto"/>
        <w:rPr>
          <w:rFonts w:ascii="Times New Roman" w:hAnsi="Times New Roman"/>
          <w:b/>
          <w:sz w:val="24"/>
          <w:szCs w:val="24"/>
        </w:rPr>
      </w:pPr>
      <w:r w:rsidRPr="00311CB4">
        <w:rPr>
          <w:rFonts w:ascii="Times New Roman" w:hAnsi="Times New Roman"/>
          <w:b/>
          <w:sz w:val="24"/>
          <w:szCs w:val="24"/>
        </w:rPr>
        <w:t xml:space="preserve">Table 2: Drug and alcohol use with a prevalence of 0.001% </w:t>
      </w:r>
    </w:p>
    <w:tbl>
      <w:tblPr>
        <w:tblW w:w="9378" w:type="dxa"/>
        <w:tblBorders>
          <w:top w:val="single" w:sz="8" w:space="0" w:color="9BBB59"/>
          <w:bottom w:val="single" w:sz="8" w:space="0" w:color="9BBB59"/>
        </w:tblBorders>
        <w:tblLook w:val="04A0" w:firstRow="1" w:lastRow="0" w:firstColumn="1" w:lastColumn="0" w:noHBand="0" w:noVBand="1"/>
      </w:tblPr>
      <w:tblGrid>
        <w:gridCol w:w="1728"/>
        <w:gridCol w:w="2340"/>
        <w:gridCol w:w="2430"/>
        <w:gridCol w:w="2880"/>
      </w:tblGrid>
      <w:tr w:rsidR="00311CB4" w:rsidRPr="00311CB4" w:rsidTr="00383404">
        <w:tc>
          <w:tcPr>
            <w:tcW w:w="1728"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p>
        </w:tc>
        <w:tc>
          <w:tcPr>
            <w:tcW w:w="2340"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 xml:space="preserve">Gold standard drug present </w:t>
            </w:r>
          </w:p>
        </w:tc>
        <w:tc>
          <w:tcPr>
            <w:tcW w:w="2430"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Gold standard drug absent</w:t>
            </w:r>
          </w:p>
        </w:tc>
        <w:tc>
          <w:tcPr>
            <w:tcW w:w="2880" w:type="dxa"/>
            <w:tcBorders>
              <w:top w:val="single" w:sz="8" w:space="0" w:color="9BBB59"/>
              <w:left w:val="nil"/>
              <w:bottom w:val="single" w:sz="8" w:space="0" w:color="9BBB59"/>
              <w:right w:val="nil"/>
            </w:tcBorders>
          </w:tcPr>
          <w:p w:rsidR="00DE2ADC" w:rsidRPr="00311CB4" w:rsidRDefault="00DE2ADC" w:rsidP="00383404">
            <w:pPr>
              <w:spacing w:line="360" w:lineRule="auto"/>
              <w:rPr>
                <w:rFonts w:ascii="Times New Roman" w:hAnsi="Times New Roman"/>
                <w:b/>
                <w:bCs/>
                <w:sz w:val="24"/>
                <w:szCs w:val="24"/>
              </w:rPr>
            </w:pPr>
          </w:p>
        </w:tc>
      </w:tr>
      <w:tr w:rsidR="00311CB4" w:rsidRPr="00311CB4" w:rsidTr="00383404">
        <w:trPr>
          <w:gridAfter w:val="1"/>
          <w:wAfter w:w="2880" w:type="dxa"/>
        </w:trPr>
        <w:tc>
          <w:tcPr>
            <w:tcW w:w="1728" w:type="dxa"/>
            <w:tcBorders>
              <w:left w:val="nil"/>
              <w:right w:val="nil"/>
            </w:tcBorders>
            <w:shd w:val="clear" w:color="auto" w:fill="E6EED5"/>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Test positive</w:t>
            </w:r>
          </w:p>
        </w:tc>
        <w:tc>
          <w:tcPr>
            <w:tcW w:w="2340" w:type="dxa"/>
            <w:tcBorders>
              <w:left w:val="nil"/>
              <w:right w:val="nil"/>
            </w:tcBorders>
            <w:shd w:val="clear" w:color="auto" w:fill="E6EED5"/>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95</w:t>
            </w:r>
          </w:p>
        </w:tc>
        <w:tc>
          <w:tcPr>
            <w:tcW w:w="2430" w:type="dxa"/>
            <w:tcBorders>
              <w:left w:val="nil"/>
              <w:right w:val="nil"/>
            </w:tcBorders>
            <w:shd w:val="clear" w:color="auto" w:fill="E6EED5"/>
          </w:tcPr>
          <w:p w:rsidR="00DE2ADC" w:rsidRPr="00311CB4" w:rsidRDefault="00DE2ADC" w:rsidP="00383404">
            <w:pPr>
              <w:spacing w:line="360" w:lineRule="auto"/>
              <w:rPr>
                <w:rFonts w:ascii="Times New Roman" w:hAnsi="Times New Roman"/>
                <w:b/>
                <w:sz w:val="24"/>
                <w:szCs w:val="24"/>
              </w:rPr>
            </w:pPr>
            <w:r w:rsidRPr="00311CB4">
              <w:rPr>
                <w:rFonts w:ascii="Times New Roman" w:hAnsi="Times New Roman"/>
                <w:sz w:val="24"/>
                <w:szCs w:val="24"/>
              </w:rPr>
              <w:t>14</w:t>
            </w:r>
          </w:p>
        </w:tc>
      </w:tr>
      <w:tr w:rsidR="00311CB4" w:rsidRPr="00311CB4" w:rsidTr="00383404">
        <w:trPr>
          <w:gridAfter w:val="1"/>
          <w:wAfter w:w="2880" w:type="dxa"/>
        </w:trPr>
        <w:tc>
          <w:tcPr>
            <w:tcW w:w="1728" w:type="dxa"/>
          </w:tcPr>
          <w:p w:rsidR="00DE2ADC" w:rsidRPr="00311CB4" w:rsidRDefault="00DE2ADC" w:rsidP="00383404">
            <w:pPr>
              <w:spacing w:line="360" w:lineRule="auto"/>
              <w:rPr>
                <w:rFonts w:ascii="Times New Roman" w:hAnsi="Times New Roman"/>
                <w:b/>
                <w:bCs/>
                <w:sz w:val="24"/>
                <w:szCs w:val="24"/>
              </w:rPr>
            </w:pPr>
            <w:r w:rsidRPr="00311CB4">
              <w:rPr>
                <w:rFonts w:ascii="Times New Roman" w:hAnsi="Times New Roman"/>
                <w:b/>
                <w:bCs/>
                <w:sz w:val="24"/>
                <w:szCs w:val="24"/>
              </w:rPr>
              <w:t>Test negative</w:t>
            </w:r>
          </w:p>
        </w:tc>
        <w:tc>
          <w:tcPr>
            <w:tcW w:w="2340" w:type="dxa"/>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5</w:t>
            </w:r>
          </w:p>
        </w:tc>
        <w:tc>
          <w:tcPr>
            <w:tcW w:w="2430" w:type="dxa"/>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86</w:t>
            </w:r>
          </w:p>
        </w:tc>
      </w:tr>
      <w:tr w:rsidR="00311CB4" w:rsidRPr="00311CB4" w:rsidTr="00383404">
        <w:trPr>
          <w:gridAfter w:val="1"/>
          <w:wAfter w:w="2880" w:type="dxa"/>
        </w:trPr>
        <w:tc>
          <w:tcPr>
            <w:tcW w:w="1728" w:type="dxa"/>
            <w:tcBorders>
              <w:left w:val="nil"/>
              <w:right w:val="nil"/>
            </w:tcBorders>
            <w:shd w:val="clear" w:color="auto" w:fill="E6EED5"/>
          </w:tcPr>
          <w:p w:rsidR="00DE2ADC" w:rsidRPr="00311CB4" w:rsidRDefault="00DE2ADC" w:rsidP="00383404">
            <w:pPr>
              <w:spacing w:line="360" w:lineRule="auto"/>
              <w:rPr>
                <w:rFonts w:ascii="Times New Roman" w:hAnsi="Times New Roman"/>
                <w:b/>
                <w:bCs/>
                <w:sz w:val="24"/>
                <w:szCs w:val="24"/>
              </w:rPr>
            </w:pPr>
          </w:p>
        </w:tc>
        <w:tc>
          <w:tcPr>
            <w:tcW w:w="2340" w:type="dxa"/>
            <w:tcBorders>
              <w:left w:val="nil"/>
              <w:right w:val="nil"/>
            </w:tcBorders>
            <w:shd w:val="clear" w:color="auto" w:fill="E6EED5"/>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 xml:space="preserve">Sensitivity </w:t>
            </w:r>
          </w:p>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95/100</w:t>
            </w:r>
          </w:p>
        </w:tc>
        <w:tc>
          <w:tcPr>
            <w:tcW w:w="2430" w:type="dxa"/>
            <w:tcBorders>
              <w:left w:val="nil"/>
              <w:right w:val="nil"/>
            </w:tcBorders>
            <w:shd w:val="clear" w:color="auto" w:fill="E6EED5"/>
          </w:tcPr>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Specificity</w:t>
            </w:r>
          </w:p>
          <w:p w:rsidR="00DE2ADC" w:rsidRPr="00311CB4" w:rsidRDefault="00DE2ADC" w:rsidP="00383404">
            <w:pPr>
              <w:spacing w:line="360" w:lineRule="auto"/>
              <w:rPr>
                <w:rFonts w:ascii="Times New Roman" w:hAnsi="Times New Roman"/>
                <w:sz w:val="24"/>
                <w:szCs w:val="24"/>
              </w:rPr>
            </w:pPr>
            <w:r w:rsidRPr="00311CB4">
              <w:rPr>
                <w:rFonts w:ascii="Times New Roman" w:hAnsi="Times New Roman"/>
                <w:sz w:val="24"/>
                <w:szCs w:val="24"/>
              </w:rPr>
              <w:t>86/100</w:t>
            </w:r>
          </w:p>
        </w:tc>
      </w:tr>
    </w:tbl>
    <w:p w:rsidR="00DE2ADC" w:rsidRPr="00311CB4" w:rsidRDefault="00DE2ADC" w:rsidP="00DE2ADC">
      <w:pPr>
        <w:spacing w:line="360" w:lineRule="auto"/>
        <w:rPr>
          <w:rFonts w:ascii="Times New Roman" w:hAnsi="Times New Roman"/>
          <w:b/>
          <w:sz w:val="24"/>
          <w:szCs w:val="24"/>
        </w:rPr>
      </w:pPr>
    </w:p>
    <w:p w:rsidR="00DE2ADC" w:rsidRPr="00311CB4" w:rsidRDefault="00DE2ADC" w:rsidP="00DE2ADC">
      <w:pPr>
        <w:spacing w:line="360" w:lineRule="auto"/>
        <w:rPr>
          <w:rFonts w:ascii="Times New Roman" w:hAnsi="Times New Roman"/>
          <w:sz w:val="24"/>
          <w:szCs w:val="24"/>
        </w:rPr>
      </w:pPr>
      <w:r w:rsidRPr="00311CB4">
        <w:rPr>
          <w:rFonts w:ascii="Times New Roman" w:hAnsi="Times New Roman"/>
          <w:sz w:val="24"/>
          <w:szCs w:val="24"/>
        </w:rPr>
        <w:tab/>
        <w:t xml:space="preserve"> The probability, according to the table of every hundred employees to be </w:t>
      </w:r>
      <w:proofErr w:type="spellStart"/>
      <w:r w:rsidRPr="00311CB4">
        <w:rPr>
          <w:rFonts w:ascii="Times New Roman" w:hAnsi="Times New Roman"/>
          <w:sz w:val="24"/>
          <w:szCs w:val="24"/>
        </w:rPr>
        <w:t>nonalcoholic</w:t>
      </w:r>
      <w:proofErr w:type="spellEnd"/>
      <w:r w:rsidRPr="00311CB4">
        <w:rPr>
          <w:rFonts w:ascii="Times New Roman" w:hAnsi="Times New Roman"/>
          <w:sz w:val="24"/>
          <w:szCs w:val="24"/>
        </w:rPr>
        <w:t xml:space="preserve"> or drug users, is 86% as it is the probability of being tested negative. The sensitivity tests show that 95% of the tests will yield accurate results. The use of 0.001% prevalence will lower the number of those associated with drug and alcohol use as it lows. </w:t>
      </w:r>
    </w:p>
    <w:p w:rsidR="00DE2ADC" w:rsidRPr="00311CB4" w:rsidRDefault="00DE2ADC" w:rsidP="00DE2ADC">
      <w:pPr>
        <w:pStyle w:val="Heading1"/>
        <w:spacing w:line="360" w:lineRule="auto"/>
        <w:rPr>
          <w:sz w:val="24"/>
          <w:szCs w:val="24"/>
        </w:rPr>
      </w:pPr>
      <w:r w:rsidRPr="00311CB4">
        <w:rPr>
          <w:sz w:val="24"/>
          <w:szCs w:val="24"/>
        </w:rPr>
        <w:t xml:space="preserve">What I would recommend as the use of this test as a monthly screening test in the workplace?  </w:t>
      </w:r>
    </w:p>
    <w:p w:rsidR="00DE2ADC" w:rsidRPr="00311CB4" w:rsidRDefault="00DE2ADC" w:rsidP="00DE2ADC">
      <w:pPr>
        <w:spacing w:line="360" w:lineRule="auto"/>
        <w:rPr>
          <w:rFonts w:ascii="Times New Roman" w:hAnsi="Times New Roman"/>
          <w:sz w:val="24"/>
          <w:szCs w:val="24"/>
        </w:rPr>
      </w:pPr>
      <w:r w:rsidRPr="00311CB4">
        <w:rPr>
          <w:rFonts w:ascii="Times New Roman" w:hAnsi="Times New Roman"/>
          <w:sz w:val="24"/>
          <w:szCs w:val="24"/>
        </w:rPr>
        <w:tab/>
        <w:t xml:space="preserve">Screening, despite being good at ensuring employees adhere to safe work practices to minimise injuries and a company’s liability due to accident, is not appropriate to </w:t>
      </w:r>
      <w:proofErr w:type="gramStart"/>
      <w:r w:rsidRPr="00311CB4">
        <w:rPr>
          <w:rFonts w:ascii="Times New Roman" w:hAnsi="Times New Roman"/>
          <w:sz w:val="24"/>
          <w:szCs w:val="24"/>
        </w:rPr>
        <w:t>be done</w:t>
      </w:r>
      <w:proofErr w:type="gramEnd"/>
      <w:r w:rsidRPr="00311CB4">
        <w:rPr>
          <w:rFonts w:ascii="Times New Roman" w:hAnsi="Times New Roman"/>
          <w:sz w:val="24"/>
          <w:szCs w:val="24"/>
        </w:rPr>
        <w:t xml:space="preserve"> on a monthly basis. Employees, once employed, should have a sense of belonging, not coercion, to screening; however, prior to employment, it </w:t>
      </w:r>
      <w:proofErr w:type="gramStart"/>
      <w:r w:rsidRPr="00311CB4">
        <w:rPr>
          <w:rFonts w:ascii="Times New Roman" w:hAnsi="Times New Roman"/>
          <w:sz w:val="24"/>
          <w:szCs w:val="24"/>
        </w:rPr>
        <w:t>should be carried out</w:t>
      </w:r>
      <w:proofErr w:type="gramEnd"/>
      <w:r w:rsidRPr="00311CB4">
        <w:rPr>
          <w:rFonts w:ascii="Times New Roman" w:hAnsi="Times New Roman"/>
          <w:sz w:val="24"/>
          <w:szCs w:val="24"/>
        </w:rPr>
        <w:t xml:space="preserve">. Screening </w:t>
      </w:r>
      <w:proofErr w:type="gramStart"/>
      <w:r w:rsidRPr="00311CB4">
        <w:rPr>
          <w:rFonts w:ascii="Times New Roman" w:hAnsi="Times New Roman"/>
          <w:sz w:val="24"/>
          <w:szCs w:val="24"/>
        </w:rPr>
        <w:t>should be done</w:t>
      </w:r>
      <w:proofErr w:type="gramEnd"/>
      <w:r w:rsidRPr="00311CB4">
        <w:rPr>
          <w:rFonts w:ascii="Times New Roman" w:hAnsi="Times New Roman"/>
          <w:sz w:val="24"/>
          <w:szCs w:val="24"/>
        </w:rPr>
        <w:t xml:space="preserve"> under circumstances where supervisors note change in an employee in order to ensure rehabilitation</w:t>
      </w:r>
      <w:r w:rsidRPr="00311CB4">
        <w:rPr>
          <w:rStyle w:val="element-citation"/>
          <w:rFonts w:ascii="Times New Roman" w:hAnsi="Times New Roman"/>
          <w:sz w:val="24"/>
          <w:szCs w:val="24"/>
        </w:rPr>
        <w:t xml:space="preserve"> (Levy </w:t>
      </w:r>
      <w:r w:rsidRPr="00311CB4">
        <w:rPr>
          <w:rFonts w:ascii="Times New Roman" w:eastAsia="Times New Roman" w:hAnsi="Times New Roman"/>
          <w:sz w:val="24"/>
          <w:szCs w:val="24"/>
          <w:lang w:eastAsia="en-GB"/>
        </w:rPr>
        <w:t>&amp;</w:t>
      </w:r>
      <w:r w:rsidRPr="00311CB4">
        <w:rPr>
          <w:rStyle w:val="element-citation"/>
          <w:rFonts w:ascii="Times New Roman" w:hAnsi="Times New Roman"/>
          <w:sz w:val="24"/>
          <w:szCs w:val="24"/>
        </w:rPr>
        <w:t xml:space="preserve"> </w:t>
      </w:r>
      <w:proofErr w:type="spellStart"/>
      <w:r w:rsidRPr="00311CB4">
        <w:rPr>
          <w:rStyle w:val="element-citation"/>
          <w:rFonts w:ascii="Times New Roman" w:hAnsi="Times New Roman"/>
          <w:sz w:val="24"/>
          <w:szCs w:val="24"/>
        </w:rPr>
        <w:t>Kokotailo</w:t>
      </w:r>
      <w:proofErr w:type="spellEnd"/>
      <w:r w:rsidRPr="00311CB4">
        <w:rPr>
          <w:rStyle w:val="element-citation"/>
          <w:rFonts w:ascii="Times New Roman" w:hAnsi="Times New Roman"/>
          <w:sz w:val="24"/>
          <w:szCs w:val="24"/>
        </w:rPr>
        <w:t>, 2011)</w:t>
      </w:r>
      <w:r w:rsidRPr="00311CB4">
        <w:rPr>
          <w:rFonts w:ascii="Times New Roman" w:hAnsi="Times New Roman"/>
          <w:sz w:val="24"/>
          <w:szCs w:val="24"/>
        </w:rPr>
        <w:t xml:space="preserve">. </w:t>
      </w:r>
    </w:p>
    <w:p w:rsidR="00DE2ADC" w:rsidRPr="00311CB4" w:rsidRDefault="00DE2ADC" w:rsidP="00DE2ADC">
      <w:pPr>
        <w:spacing w:line="360" w:lineRule="auto"/>
        <w:rPr>
          <w:rFonts w:ascii="Times New Roman" w:hAnsi="Times New Roman"/>
          <w:sz w:val="24"/>
          <w:szCs w:val="24"/>
        </w:rPr>
      </w:pPr>
      <w:r w:rsidRPr="00311CB4">
        <w:rPr>
          <w:rFonts w:ascii="Times New Roman" w:hAnsi="Times New Roman"/>
          <w:sz w:val="24"/>
          <w:szCs w:val="24"/>
        </w:rPr>
        <w:tab/>
        <w:t xml:space="preserve">According to </w:t>
      </w:r>
      <w:proofErr w:type="spellStart"/>
      <w:r w:rsidRPr="00311CB4">
        <w:rPr>
          <w:rFonts w:ascii="Times New Roman" w:hAnsi="Times New Roman"/>
          <w:sz w:val="24"/>
          <w:szCs w:val="24"/>
        </w:rPr>
        <w:t>Pidd</w:t>
      </w:r>
      <w:proofErr w:type="spellEnd"/>
      <w:r w:rsidRPr="00311CB4">
        <w:rPr>
          <w:rFonts w:ascii="Times New Roman" w:hAnsi="Times New Roman"/>
          <w:sz w:val="24"/>
          <w:szCs w:val="24"/>
        </w:rPr>
        <w:t xml:space="preserve"> &amp; Roche (2011), screening </w:t>
      </w:r>
      <w:proofErr w:type="gramStart"/>
      <w:r w:rsidRPr="00311CB4">
        <w:rPr>
          <w:rFonts w:ascii="Times New Roman" w:hAnsi="Times New Roman"/>
          <w:sz w:val="24"/>
          <w:szCs w:val="24"/>
        </w:rPr>
        <w:t>has not been enumerated</w:t>
      </w:r>
      <w:proofErr w:type="gramEnd"/>
      <w:r w:rsidRPr="00311CB4">
        <w:rPr>
          <w:rFonts w:ascii="Times New Roman" w:hAnsi="Times New Roman"/>
          <w:sz w:val="24"/>
          <w:szCs w:val="24"/>
        </w:rPr>
        <w:t xml:space="preserve"> as a way of improving work safety. The implementation of such a programme can easily draw attention of an organisation to it and its finances, blurring the major strategies it can use to be more profitable and productive. </w:t>
      </w: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Pr>
        <w:pStyle w:val="Heading1"/>
        <w:spacing w:line="360" w:lineRule="auto"/>
        <w:rPr>
          <w:sz w:val="24"/>
          <w:szCs w:val="24"/>
        </w:rPr>
      </w:pPr>
      <w:r w:rsidRPr="00311CB4">
        <w:rPr>
          <w:sz w:val="24"/>
          <w:szCs w:val="24"/>
        </w:rPr>
        <w:t>Conclusion</w:t>
      </w:r>
    </w:p>
    <w:p w:rsidR="00DE2ADC" w:rsidRPr="00311CB4" w:rsidRDefault="00DE2ADC" w:rsidP="00DE2ADC">
      <w:pPr>
        <w:spacing w:line="360" w:lineRule="auto"/>
        <w:rPr>
          <w:rFonts w:ascii="Times New Roman" w:hAnsi="Times New Roman"/>
          <w:sz w:val="24"/>
          <w:szCs w:val="24"/>
        </w:rPr>
      </w:pPr>
      <w:r w:rsidRPr="00311CB4">
        <w:rPr>
          <w:rFonts w:ascii="Times New Roman" w:hAnsi="Times New Roman"/>
          <w:sz w:val="24"/>
          <w:szCs w:val="24"/>
        </w:rPr>
        <w:tab/>
        <w:t xml:space="preserve">Screening is an important activity as it enables employees to take due cares to ensure they remain negative during tests; however, the downsides outweigh the </w:t>
      </w:r>
      <w:proofErr w:type="gramStart"/>
      <w:r w:rsidRPr="00311CB4">
        <w:rPr>
          <w:rFonts w:ascii="Times New Roman" w:hAnsi="Times New Roman"/>
          <w:sz w:val="24"/>
          <w:szCs w:val="24"/>
        </w:rPr>
        <w:t>benefits</w:t>
      </w:r>
      <w:proofErr w:type="gramEnd"/>
      <w:r w:rsidRPr="00311CB4">
        <w:rPr>
          <w:rFonts w:ascii="Times New Roman" w:hAnsi="Times New Roman"/>
          <w:sz w:val="24"/>
          <w:szCs w:val="24"/>
        </w:rPr>
        <w:t xml:space="preserve"> as it is costly to an organisation. Its use can be irregularly mainly when the cause of alarm is there. Employees tend to shun from </w:t>
      </w:r>
      <w:proofErr w:type="gramStart"/>
      <w:r w:rsidRPr="00311CB4">
        <w:rPr>
          <w:rFonts w:ascii="Times New Roman" w:hAnsi="Times New Roman"/>
          <w:sz w:val="24"/>
          <w:szCs w:val="24"/>
        </w:rPr>
        <w:t>being noticed</w:t>
      </w:r>
      <w:proofErr w:type="gramEnd"/>
      <w:r w:rsidRPr="00311CB4">
        <w:rPr>
          <w:rFonts w:ascii="Times New Roman" w:hAnsi="Times New Roman"/>
          <w:sz w:val="24"/>
          <w:szCs w:val="24"/>
        </w:rPr>
        <w:t xml:space="preserve"> to have particular habits, especially relating to substance use due to fear of being victimised during promotions. The effects of screening ought to </w:t>
      </w:r>
      <w:proofErr w:type="gramStart"/>
      <w:r w:rsidRPr="00311CB4">
        <w:rPr>
          <w:rFonts w:ascii="Times New Roman" w:hAnsi="Times New Roman"/>
          <w:sz w:val="24"/>
          <w:szCs w:val="24"/>
        </w:rPr>
        <w:t>be communicated</w:t>
      </w:r>
      <w:proofErr w:type="gramEnd"/>
      <w:r w:rsidRPr="00311CB4">
        <w:rPr>
          <w:rFonts w:ascii="Times New Roman" w:hAnsi="Times New Roman"/>
          <w:sz w:val="24"/>
          <w:szCs w:val="24"/>
        </w:rPr>
        <w:t xml:space="preserve"> well to the employees’ prior implementation. This will make the employees welcome the screening procedure, knowing the need and its importance towards their welfare. </w:t>
      </w:r>
    </w:p>
    <w:p w:rsidR="00DE2ADC" w:rsidRPr="00311CB4" w:rsidRDefault="00DE2ADC" w:rsidP="00DE2ADC">
      <w:pPr>
        <w:spacing w:line="480" w:lineRule="auto"/>
        <w:jc w:val="center"/>
        <w:rPr>
          <w:rFonts w:ascii="Times New Roman" w:hAnsi="Times New Roman"/>
          <w:b/>
          <w:sz w:val="24"/>
          <w:szCs w:val="24"/>
        </w:rPr>
      </w:pPr>
      <w:r w:rsidRPr="00311CB4">
        <w:rPr>
          <w:rFonts w:ascii="Times New Roman" w:hAnsi="Times New Roman"/>
          <w:sz w:val="24"/>
          <w:szCs w:val="24"/>
        </w:rPr>
        <w:br w:type="page"/>
      </w:r>
      <w:r w:rsidRPr="00311CB4">
        <w:rPr>
          <w:rFonts w:ascii="Times New Roman" w:hAnsi="Times New Roman"/>
          <w:b/>
          <w:sz w:val="24"/>
          <w:szCs w:val="24"/>
        </w:rPr>
        <w:lastRenderedPageBreak/>
        <w:t>References</w:t>
      </w:r>
    </w:p>
    <w:p w:rsidR="00DE2ADC" w:rsidRPr="00311CB4" w:rsidRDefault="00DE2ADC" w:rsidP="00DE2ADC">
      <w:pPr>
        <w:spacing w:line="360" w:lineRule="auto"/>
        <w:ind w:left="720" w:hanging="720"/>
        <w:rPr>
          <w:rFonts w:ascii="Times New Roman" w:hAnsi="Times New Roman"/>
          <w:sz w:val="24"/>
          <w:szCs w:val="24"/>
        </w:rPr>
      </w:pPr>
      <w:r w:rsidRPr="00311CB4">
        <w:rPr>
          <w:rFonts w:ascii="Times New Roman" w:hAnsi="Times New Roman"/>
          <w:sz w:val="24"/>
          <w:szCs w:val="24"/>
        </w:rPr>
        <w:t xml:space="preserve">Bacharach, S. B., Bamberger, P., &amp; Biron, M. (2010). Alcohol Consumption and Workplace     Absenteeism: The Moderating Effect of Social Support. </w:t>
      </w:r>
      <w:r w:rsidRPr="00311CB4">
        <w:rPr>
          <w:rFonts w:ascii="Times New Roman" w:hAnsi="Times New Roman"/>
          <w:i/>
          <w:sz w:val="24"/>
          <w:szCs w:val="24"/>
        </w:rPr>
        <w:t xml:space="preserve">Journal of Applied Psychology, </w:t>
      </w:r>
      <w:r w:rsidRPr="00311CB4">
        <w:rPr>
          <w:rFonts w:ascii="Times New Roman" w:hAnsi="Times New Roman"/>
          <w:sz w:val="24"/>
          <w:szCs w:val="24"/>
        </w:rPr>
        <w:t>95(2), 334-348.</w:t>
      </w:r>
    </w:p>
    <w:p w:rsidR="00DE2ADC" w:rsidRPr="00311CB4" w:rsidRDefault="00DE2ADC" w:rsidP="00DE2ADC">
      <w:pPr>
        <w:spacing w:line="360" w:lineRule="auto"/>
        <w:ind w:left="810" w:hanging="810"/>
        <w:rPr>
          <w:rFonts w:ascii="Times New Roman" w:hAnsi="Times New Roman"/>
          <w:sz w:val="24"/>
          <w:szCs w:val="24"/>
        </w:rPr>
      </w:pPr>
      <w:r w:rsidRPr="00311CB4">
        <w:rPr>
          <w:rFonts w:ascii="Times New Roman" w:hAnsi="Times New Roman"/>
          <w:sz w:val="24"/>
          <w:szCs w:val="24"/>
        </w:rPr>
        <w:t xml:space="preserve">Childers, J.W., Broyles, L.M., </w:t>
      </w:r>
      <w:proofErr w:type="spellStart"/>
      <w:r w:rsidRPr="00311CB4">
        <w:rPr>
          <w:rFonts w:ascii="Times New Roman" w:hAnsi="Times New Roman"/>
          <w:sz w:val="24"/>
          <w:szCs w:val="24"/>
        </w:rPr>
        <w:t>Hanusa</w:t>
      </w:r>
      <w:proofErr w:type="spellEnd"/>
      <w:r w:rsidRPr="00311CB4">
        <w:rPr>
          <w:rFonts w:ascii="Times New Roman" w:hAnsi="Times New Roman"/>
          <w:sz w:val="24"/>
          <w:szCs w:val="24"/>
        </w:rPr>
        <w:t xml:space="preserve">, B.H., Kraemer, K.L., </w:t>
      </w:r>
      <w:proofErr w:type="spellStart"/>
      <w:r w:rsidRPr="00311CB4">
        <w:rPr>
          <w:rFonts w:ascii="Times New Roman" w:hAnsi="Times New Roman"/>
          <w:sz w:val="24"/>
          <w:szCs w:val="24"/>
        </w:rPr>
        <w:t>Conigliaro,J</w:t>
      </w:r>
      <w:proofErr w:type="spellEnd"/>
      <w:r w:rsidRPr="00311CB4">
        <w:rPr>
          <w:rFonts w:ascii="Times New Roman" w:hAnsi="Times New Roman"/>
          <w:sz w:val="24"/>
          <w:szCs w:val="24"/>
        </w:rPr>
        <w:t xml:space="preserve">., </w:t>
      </w:r>
      <w:proofErr w:type="spellStart"/>
      <w:r w:rsidRPr="00311CB4">
        <w:rPr>
          <w:rFonts w:ascii="Times New Roman" w:hAnsi="Times New Roman"/>
          <w:sz w:val="24"/>
          <w:szCs w:val="24"/>
        </w:rPr>
        <w:t>Spagnoletti</w:t>
      </w:r>
      <w:proofErr w:type="spellEnd"/>
      <w:r w:rsidRPr="00311CB4">
        <w:rPr>
          <w:rFonts w:ascii="Times New Roman" w:hAnsi="Times New Roman"/>
          <w:sz w:val="24"/>
          <w:szCs w:val="24"/>
        </w:rPr>
        <w:t xml:space="preserve">, C., McNeil, M. &amp; Gordon, A.J. (2012). Teaching the teachers: Faculty preparedness and evaluation of a retreat in screening, brief intervention, and referral to treatment. </w:t>
      </w:r>
      <w:r w:rsidRPr="00311CB4">
        <w:rPr>
          <w:rFonts w:ascii="Times New Roman" w:hAnsi="Times New Roman"/>
          <w:i/>
          <w:sz w:val="24"/>
          <w:szCs w:val="24"/>
        </w:rPr>
        <w:t>Substance Abuse,</w:t>
      </w:r>
      <w:r w:rsidRPr="00311CB4">
        <w:rPr>
          <w:rFonts w:ascii="Times New Roman" w:hAnsi="Times New Roman"/>
          <w:sz w:val="24"/>
          <w:szCs w:val="24"/>
        </w:rPr>
        <w:t xml:space="preserve"> 33 (3): 272–277.</w:t>
      </w:r>
    </w:p>
    <w:p w:rsidR="00DE2ADC" w:rsidRPr="00311CB4" w:rsidRDefault="00DE2ADC" w:rsidP="00DE2ADC">
      <w:pPr>
        <w:spacing w:line="360" w:lineRule="auto"/>
        <w:ind w:left="810" w:hanging="810"/>
        <w:rPr>
          <w:rFonts w:ascii="Times New Roman" w:hAnsi="Times New Roman"/>
          <w:sz w:val="24"/>
          <w:szCs w:val="24"/>
        </w:rPr>
      </w:pPr>
      <w:r w:rsidRPr="00311CB4">
        <w:rPr>
          <w:rFonts w:ascii="Times New Roman" w:hAnsi="Times New Roman"/>
          <w:sz w:val="24"/>
          <w:szCs w:val="24"/>
        </w:rPr>
        <w:t xml:space="preserve">Dale, C. E., &amp; Livingston, M. J. (2010). The burden of alcohol drinking on co-workers in the Australian workplace. </w:t>
      </w:r>
      <w:r w:rsidRPr="00311CB4">
        <w:rPr>
          <w:rFonts w:ascii="Times New Roman" w:hAnsi="Times New Roman"/>
          <w:i/>
          <w:sz w:val="24"/>
          <w:szCs w:val="24"/>
        </w:rPr>
        <w:t>Medical Journal of Australia,</w:t>
      </w:r>
      <w:r w:rsidRPr="00311CB4">
        <w:rPr>
          <w:rFonts w:ascii="Times New Roman" w:hAnsi="Times New Roman"/>
          <w:sz w:val="24"/>
          <w:szCs w:val="24"/>
        </w:rPr>
        <w:t xml:space="preserve"> 193(3), 138-140.</w:t>
      </w:r>
    </w:p>
    <w:p w:rsidR="00DE2ADC" w:rsidRPr="00311CB4" w:rsidRDefault="00F24940" w:rsidP="00DE2ADC">
      <w:pPr>
        <w:spacing w:after="0" w:line="360" w:lineRule="auto"/>
        <w:ind w:left="719" w:hangingChars="327" w:hanging="719"/>
        <w:rPr>
          <w:rFonts w:ascii="Times New Roman" w:eastAsia="Times New Roman" w:hAnsi="Times New Roman"/>
          <w:sz w:val="24"/>
          <w:szCs w:val="24"/>
          <w:lang w:eastAsia="en-GB"/>
        </w:rPr>
      </w:pPr>
      <w:hyperlink r:id="rId7" w:history="1">
        <w:proofErr w:type="spellStart"/>
        <w:r w:rsidR="00DE2ADC" w:rsidRPr="00311CB4">
          <w:rPr>
            <w:rFonts w:ascii="Times New Roman" w:eastAsia="Times New Roman" w:hAnsi="Times New Roman"/>
            <w:sz w:val="24"/>
            <w:szCs w:val="24"/>
            <w:lang w:eastAsia="en-GB"/>
          </w:rPr>
          <w:t>Derges</w:t>
        </w:r>
        <w:proofErr w:type="spellEnd"/>
      </w:hyperlink>
      <w:r w:rsidR="00DE2ADC" w:rsidRPr="00311CB4">
        <w:rPr>
          <w:rFonts w:ascii="Times New Roman" w:eastAsia="Times New Roman" w:hAnsi="Times New Roman"/>
          <w:sz w:val="24"/>
          <w:szCs w:val="24"/>
          <w:lang w:eastAsia="en-GB"/>
        </w:rPr>
        <w:t xml:space="preserve">, </w:t>
      </w:r>
      <w:hyperlink r:id="rId8" w:history="1">
        <w:r w:rsidR="00DE2ADC" w:rsidRPr="00311CB4">
          <w:rPr>
            <w:rFonts w:ascii="Times New Roman" w:eastAsia="Times New Roman" w:hAnsi="Times New Roman"/>
            <w:sz w:val="24"/>
            <w:szCs w:val="24"/>
            <w:lang w:eastAsia="en-GB"/>
          </w:rPr>
          <w:t xml:space="preserve">J., </w:t>
        </w:r>
        <w:proofErr w:type="spellStart"/>
        <w:r w:rsidR="00DE2ADC" w:rsidRPr="00311CB4">
          <w:rPr>
            <w:rFonts w:ascii="Times New Roman" w:eastAsia="Times New Roman" w:hAnsi="Times New Roman"/>
            <w:sz w:val="24"/>
            <w:szCs w:val="24"/>
            <w:lang w:eastAsia="en-GB"/>
          </w:rPr>
          <w:t>Kidger</w:t>
        </w:r>
        <w:proofErr w:type="spellEnd"/>
      </w:hyperlink>
      <w:r w:rsidR="00DE2ADC" w:rsidRPr="00311CB4">
        <w:rPr>
          <w:rFonts w:ascii="Times New Roman" w:eastAsia="Times New Roman" w:hAnsi="Times New Roman"/>
          <w:sz w:val="24"/>
          <w:szCs w:val="24"/>
          <w:lang w:eastAsia="en-GB"/>
        </w:rPr>
        <w:t xml:space="preserve">, </w:t>
      </w:r>
      <w:hyperlink r:id="rId9" w:history="1">
        <w:r w:rsidR="00DE2ADC" w:rsidRPr="00311CB4">
          <w:rPr>
            <w:rFonts w:ascii="Times New Roman" w:eastAsia="Times New Roman" w:hAnsi="Times New Roman"/>
            <w:sz w:val="24"/>
            <w:szCs w:val="24"/>
            <w:lang w:eastAsia="en-GB"/>
          </w:rPr>
          <w:t>J., Fox</w:t>
        </w:r>
      </w:hyperlink>
      <w:r w:rsidR="00DE2ADC" w:rsidRPr="00311CB4">
        <w:rPr>
          <w:rFonts w:ascii="Times New Roman" w:eastAsia="Times New Roman" w:hAnsi="Times New Roman"/>
          <w:sz w:val="24"/>
          <w:szCs w:val="24"/>
          <w:lang w:eastAsia="en-GB"/>
        </w:rPr>
        <w:t xml:space="preserve">, F., </w:t>
      </w:r>
      <w:hyperlink r:id="rId10" w:history="1">
        <w:r w:rsidR="00DE2ADC" w:rsidRPr="00311CB4">
          <w:rPr>
            <w:rFonts w:ascii="Times New Roman" w:eastAsia="Times New Roman" w:hAnsi="Times New Roman"/>
            <w:sz w:val="24"/>
            <w:szCs w:val="24"/>
            <w:lang w:eastAsia="en-GB"/>
          </w:rPr>
          <w:t>Campbell</w:t>
        </w:r>
      </w:hyperlink>
      <w:r w:rsidR="00DE2ADC" w:rsidRPr="00311CB4">
        <w:rPr>
          <w:rFonts w:ascii="Times New Roman" w:eastAsia="Times New Roman" w:hAnsi="Times New Roman"/>
          <w:sz w:val="24"/>
          <w:szCs w:val="24"/>
          <w:lang w:eastAsia="en-GB"/>
        </w:rPr>
        <w:t xml:space="preserve">, R., </w:t>
      </w:r>
      <w:hyperlink r:id="rId11" w:history="1">
        <w:proofErr w:type="spellStart"/>
        <w:r w:rsidR="00DE2ADC" w:rsidRPr="00311CB4">
          <w:rPr>
            <w:rFonts w:ascii="Times New Roman" w:eastAsia="Times New Roman" w:hAnsi="Times New Roman"/>
            <w:sz w:val="24"/>
            <w:szCs w:val="24"/>
            <w:lang w:eastAsia="en-GB"/>
          </w:rPr>
          <w:t>Kaner</w:t>
        </w:r>
        <w:proofErr w:type="spellEnd"/>
      </w:hyperlink>
      <w:r w:rsidR="00DE2ADC" w:rsidRPr="00311CB4">
        <w:rPr>
          <w:rFonts w:ascii="Times New Roman" w:eastAsia="Times New Roman" w:hAnsi="Times New Roman"/>
          <w:sz w:val="24"/>
          <w:szCs w:val="24"/>
          <w:lang w:eastAsia="en-GB"/>
        </w:rPr>
        <w:t xml:space="preserve">, E., </w:t>
      </w:r>
      <w:hyperlink r:id="rId12" w:history="1">
        <w:r w:rsidR="00DE2ADC" w:rsidRPr="00311CB4">
          <w:rPr>
            <w:rFonts w:ascii="Times New Roman" w:eastAsia="Times New Roman" w:hAnsi="Times New Roman"/>
            <w:sz w:val="24"/>
            <w:szCs w:val="24"/>
            <w:lang w:eastAsia="en-GB"/>
          </w:rPr>
          <w:t>Taylor</w:t>
        </w:r>
      </w:hyperlink>
      <w:r w:rsidR="00DE2ADC" w:rsidRPr="00311CB4">
        <w:rPr>
          <w:rFonts w:ascii="Times New Roman" w:eastAsia="Times New Roman" w:hAnsi="Times New Roman"/>
          <w:sz w:val="24"/>
          <w:szCs w:val="24"/>
          <w:lang w:eastAsia="en-GB"/>
        </w:rPr>
        <w:t xml:space="preserve">, G., </w:t>
      </w:r>
      <w:hyperlink r:id="rId13" w:history="1">
        <w:r w:rsidR="00DE2ADC" w:rsidRPr="00311CB4">
          <w:rPr>
            <w:rFonts w:ascii="Times New Roman" w:eastAsia="Times New Roman" w:hAnsi="Times New Roman"/>
            <w:sz w:val="24"/>
            <w:szCs w:val="24"/>
            <w:lang w:eastAsia="en-GB"/>
          </w:rPr>
          <w:t>McMahon</w:t>
        </w:r>
      </w:hyperlink>
      <w:r w:rsidR="00DE2ADC" w:rsidRPr="00311CB4">
        <w:rPr>
          <w:rFonts w:ascii="Times New Roman" w:eastAsia="Times New Roman" w:hAnsi="Times New Roman"/>
          <w:sz w:val="24"/>
          <w:szCs w:val="24"/>
          <w:lang w:eastAsia="en-GB"/>
        </w:rPr>
        <w:t xml:space="preserve">, C </w:t>
      </w:r>
      <w:hyperlink r:id="rId14" w:history="1">
        <w:r w:rsidR="00DE2ADC" w:rsidRPr="00311CB4">
          <w:rPr>
            <w:rFonts w:ascii="Times New Roman" w:eastAsia="Times New Roman" w:hAnsi="Times New Roman"/>
            <w:sz w:val="24"/>
            <w:szCs w:val="24"/>
            <w:lang w:eastAsia="en-GB"/>
          </w:rPr>
          <w:t>Reeves</w:t>
        </w:r>
      </w:hyperlink>
      <w:r w:rsidR="00DE2ADC" w:rsidRPr="00311CB4">
        <w:rPr>
          <w:rFonts w:ascii="Times New Roman" w:eastAsia="Times New Roman" w:hAnsi="Times New Roman"/>
          <w:sz w:val="24"/>
          <w:szCs w:val="24"/>
          <w:lang w:eastAsia="en-GB"/>
        </w:rPr>
        <w:t xml:space="preserve">, L., &amp; </w:t>
      </w:r>
      <w:hyperlink r:id="rId15" w:history="1">
        <w:r w:rsidR="00DE2ADC" w:rsidRPr="00311CB4">
          <w:rPr>
            <w:rFonts w:ascii="Times New Roman" w:eastAsia="Times New Roman" w:hAnsi="Times New Roman"/>
            <w:sz w:val="24"/>
            <w:szCs w:val="24"/>
            <w:lang w:eastAsia="en-GB"/>
          </w:rPr>
          <w:t>Hickman</w:t>
        </w:r>
      </w:hyperlink>
      <w:r w:rsidR="00DE2ADC" w:rsidRPr="00311CB4">
        <w:rPr>
          <w:rFonts w:ascii="Times New Roman" w:eastAsia="Times New Roman" w:hAnsi="Times New Roman"/>
          <w:sz w:val="24"/>
          <w:szCs w:val="24"/>
          <w:lang w:eastAsia="en-GB"/>
        </w:rPr>
        <w:t xml:space="preserve">, M. (2018). </w:t>
      </w:r>
      <w:r w:rsidR="00DE2ADC" w:rsidRPr="00311CB4">
        <w:rPr>
          <w:rFonts w:ascii="Times New Roman" w:eastAsia="Times New Roman" w:hAnsi="Times New Roman"/>
          <w:bCs/>
          <w:kern w:val="36"/>
          <w:sz w:val="24"/>
          <w:szCs w:val="24"/>
          <w:lang w:eastAsia="en-GB"/>
        </w:rPr>
        <w:t xml:space="preserve">‘Drink Think’ alcohol screening and brief intervention for young people: a qualitative evaluation of training and implementation. </w:t>
      </w:r>
      <w:r w:rsidR="00DE2ADC" w:rsidRPr="00311CB4">
        <w:rPr>
          <w:rFonts w:ascii="Times New Roman" w:eastAsia="Times New Roman" w:hAnsi="Times New Roman"/>
          <w:i/>
          <w:iCs/>
          <w:sz w:val="24"/>
          <w:szCs w:val="24"/>
          <w:lang w:eastAsia="en-GB"/>
        </w:rPr>
        <w:t>Journal of Public Health</w:t>
      </w:r>
      <w:r w:rsidR="00DE2ADC" w:rsidRPr="00311CB4">
        <w:rPr>
          <w:rFonts w:ascii="Times New Roman" w:eastAsia="Times New Roman" w:hAnsi="Times New Roman"/>
          <w:sz w:val="24"/>
          <w:szCs w:val="24"/>
          <w:lang w:eastAsia="en-GB"/>
        </w:rPr>
        <w:t xml:space="preserve">, 40(2) 381–388. </w:t>
      </w:r>
    </w:p>
    <w:p w:rsidR="00DE2ADC" w:rsidRPr="00311CB4" w:rsidRDefault="00DE2ADC" w:rsidP="00DE2ADC">
      <w:pPr>
        <w:spacing w:after="0" w:line="360" w:lineRule="auto"/>
        <w:ind w:left="785" w:hangingChars="327" w:hanging="785"/>
        <w:rPr>
          <w:rFonts w:ascii="Times New Roman" w:eastAsia="Times New Roman" w:hAnsi="Times New Roman"/>
          <w:sz w:val="24"/>
          <w:szCs w:val="24"/>
          <w:lang w:eastAsia="en-GB"/>
        </w:rPr>
      </w:pPr>
      <w:r w:rsidRPr="00311CB4">
        <w:rPr>
          <w:rFonts w:ascii="Times New Roman" w:eastAsia="Times New Roman" w:hAnsi="Times New Roman"/>
          <w:sz w:val="24"/>
          <w:szCs w:val="24"/>
          <w:lang w:eastAsia="en-GB"/>
        </w:rPr>
        <w:t xml:space="preserve">Field, C.A., </w:t>
      </w:r>
      <w:proofErr w:type="spellStart"/>
      <w:r w:rsidRPr="00311CB4">
        <w:rPr>
          <w:rFonts w:ascii="Times New Roman" w:eastAsia="Times New Roman" w:hAnsi="Times New Roman"/>
          <w:sz w:val="24"/>
          <w:szCs w:val="24"/>
          <w:lang w:eastAsia="en-GB"/>
        </w:rPr>
        <w:t>Klimas</w:t>
      </w:r>
      <w:proofErr w:type="spellEnd"/>
      <w:r w:rsidRPr="00311CB4">
        <w:rPr>
          <w:rFonts w:ascii="Times New Roman" w:eastAsia="Times New Roman" w:hAnsi="Times New Roman"/>
          <w:sz w:val="24"/>
          <w:szCs w:val="24"/>
          <w:lang w:eastAsia="en-GB"/>
        </w:rPr>
        <w:t xml:space="preserve">, J., Barry, J., </w:t>
      </w:r>
      <w:proofErr w:type="gramStart"/>
      <w:r w:rsidRPr="00311CB4">
        <w:rPr>
          <w:rFonts w:ascii="Times New Roman" w:eastAsia="Times New Roman" w:hAnsi="Times New Roman"/>
          <w:sz w:val="24"/>
          <w:szCs w:val="24"/>
          <w:lang w:eastAsia="en-GB"/>
        </w:rPr>
        <w:t>Bury,</w:t>
      </w:r>
      <w:proofErr w:type="gramEnd"/>
      <w:r w:rsidRPr="00311CB4">
        <w:rPr>
          <w:rFonts w:ascii="Times New Roman" w:eastAsia="Times New Roman" w:hAnsi="Times New Roman"/>
          <w:sz w:val="24"/>
          <w:szCs w:val="24"/>
          <w:lang w:eastAsia="en-GB"/>
        </w:rPr>
        <w:t xml:space="preserve"> G., Keenan, E., Smyth, B., &amp; Cullen, W. (2013). Problem alcohol use among problem drug users in primary care: A qualitative study of what patients think about screening and treatment. </w:t>
      </w:r>
      <w:r w:rsidRPr="00311CB4">
        <w:rPr>
          <w:rFonts w:ascii="Times New Roman" w:eastAsia="Times New Roman" w:hAnsi="Times New Roman"/>
          <w:i/>
          <w:sz w:val="24"/>
          <w:szCs w:val="24"/>
          <w:lang w:eastAsia="en-GB"/>
        </w:rPr>
        <w:t>BMC Family Practice</w:t>
      </w:r>
      <w:r w:rsidRPr="00311CB4">
        <w:rPr>
          <w:rFonts w:ascii="Times New Roman" w:eastAsia="Times New Roman" w:hAnsi="Times New Roman"/>
          <w:sz w:val="24"/>
          <w:szCs w:val="24"/>
          <w:lang w:eastAsia="en-GB"/>
        </w:rPr>
        <w:t>, 14 (1): 98.</w:t>
      </w:r>
    </w:p>
    <w:p w:rsidR="00DE2ADC" w:rsidRPr="00311CB4" w:rsidRDefault="00DE2ADC" w:rsidP="00DE2ADC">
      <w:pPr>
        <w:spacing w:after="0" w:line="360" w:lineRule="auto"/>
        <w:ind w:left="785" w:hangingChars="327" w:hanging="785"/>
        <w:rPr>
          <w:rFonts w:ascii="Times New Roman" w:eastAsia="Times New Roman" w:hAnsi="Times New Roman"/>
          <w:sz w:val="24"/>
          <w:szCs w:val="24"/>
          <w:lang w:eastAsia="en-GB"/>
        </w:rPr>
      </w:pPr>
      <w:proofErr w:type="spellStart"/>
      <w:r w:rsidRPr="00311CB4">
        <w:rPr>
          <w:rFonts w:ascii="Times New Roman" w:eastAsia="Times New Roman" w:hAnsi="Times New Roman"/>
          <w:sz w:val="24"/>
          <w:szCs w:val="24"/>
          <w:lang w:eastAsia="en-GB"/>
        </w:rPr>
        <w:t>Klimas</w:t>
      </w:r>
      <w:proofErr w:type="spellEnd"/>
      <w:r w:rsidRPr="00311CB4">
        <w:rPr>
          <w:rFonts w:ascii="Times New Roman" w:eastAsia="Times New Roman" w:hAnsi="Times New Roman"/>
          <w:sz w:val="24"/>
          <w:szCs w:val="24"/>
          <w:lang w:eastAsia="en-GB"/>
        </w:rPr>
        <w:t xml:space="preserve">, J., Field, C.A., Barry, J., Bury, G., Keenan, E., Lyons, S., Smyth, B.P. &amp; Cullen, W. (2012). Commentary on “The research translation problem: Alcohol screening and brief intervention in primary care Real world evidence supports theory.” </w:t>
      </w:r>
      <w:r w:rsidRPr="00311CB4">
        <w:rPr>
          <w:rFonts w:ascii="Times New Roman" w:eastAsia="Times New Roman" w:hAnsi="Times New Roman"/>
          <w:i/>
          <w:sz w:val="24"/>
          <w:szCs w:val="24"/>
          <w:lang w:eastAsia="en-GB"/>
        </w:rPr>
        <w:t xml:space="preserve">Drugs: Education, Prevention, and Policy, </w:t>
      </w:r>
      <w:r w:rsidRPr="00311CB4">
        <w:rPr>
          <w:rFonts w:ascii="Times New Roman" w:eastAsia="Times New Roman" w:hAnsi="Times New Roman"/>
          <w:sz w:val="24"/>
          <w:szCs w:val="24"/>
          <w:lang w:eastAsia="en-GB"/>
        </w:rPr>
        <w:t>19 (1): 88–90.</w:t>
      </w:r>
    </w:p>
    <w:p w:rsidR="00DE2ADC" w:rsidRPr="00311CB4" w:rsidRDefault="00DE2ADC" w:rsidP="00DE2ADC">
      <w:pPr>
        <w:spacing w:after="0" w:line="360" w:lineRule="auto"/>
        <w:ind w:left="785" w:hangingChars="327" w:hanging="785"/>
        <w:rPr>
          <w:rStyle w:val="element-citation"/>
          <w:rFonts w:ascii="Times New Roman" w:hAnsi="Times New Roman"/>
          <w:sz w:val="24"/>
          <w:szCs w:val="24"/>
        </w:rPr>
      </w:pPr>
      <w:r w:rsidRPr="00311CB4">
        <w:rPr>
          <w:rStyle w:val="element-citation"/>
          <w:rFonts w:ascii="Times New Roman" w:hAnsi="Times New Roman"/>
          <w:sz w:val="24"/>
          <w:szCs w:val="24"/>
        </w:rPr>
        <w:t xml:space="preserve">Levy, S. J., </w:t>
      </w:r>
      <w:r w:rsidRPr="00311CB4">
        <w:rPr>
          <w:rFonts w:ascii="Times New Roman" w:eastAsia="Times New Roman" w:hAnsi="Times New Roman"/>
          <w:sz w:val="24"/>
          <w:szCs w:val="24"/>
          <w:lang w:eastAsia="en-GB"/>
        </w:rPr>
        <w:t>&amp;</w:t>
      </w:r>
      <w:r w:rsidRPr="00311CB4">
        <w:rPr>
          <w:rStyle w:val="element-citation"/>
          <w:rFonts w:ascii="Times New Roman" w:hAnsi="Times New Roman"/>
          <w:sz w:val="24"/>
          <w:szCs w:val="24"/>
        </w:rPr>
        <w:t xml:space="preserve"> </w:t>
      </w:r>
      <w:proofErr w:type="spellStart"/>
      <w:r w:rsidRPr="00311CB4">
        <w:rPr>
          <w:rStyle w:val="element-citation"/>
          <w:rFonts w:ascii="Times New Roman" w:hAnsi="Times New Roman"/>
          <w:sz w:val="24"/>
          <w:szCs w:val="24"/>
        </w:rPr>
        <w:t>Kokotailo</w:t>
      </w:r>
      <w:proofErr w:type="spellEnd"/>
      <w:r w:rsidRPr="00311CB4">
        <w:rPr>
          <w:rStyle w:val="element-citation"/>
          <w:rFonts w:ascii="Times New Roman" w:hAnsi="Times New Roman"/>
          <w:sz w:val="24"/>
          <w:szCs w:val="24"/>
        </w:rPr>
        <w:t xml:space="preserve">, P. K., (2011). Substance use screening, brief intervention and referral to treatment for </w:t>
      </w:r>
      <w:proofErr w:type="spellStart"/>
      <w:r w:rsidRPr="00311CB4">
        <w:rPr>
          <w:rStyle w:val="element-citation"/>
          <w:rFonts w:ascii="Times New Roman" w:hAnsi="Times New Roman"/>
          <w:sz w:val="24"/>
          <w:szCs w:val="24"/>
        </w:rPr>
        <w:t>pediatricians</w:t>
      </w:r>
      <w:proofErr w:type="spellEnd"/>
      <w:r w:rsidRPr="00311CB4">
        <w:rPr>
          <w:rStyle w:val="element-citation"/>
          <w:rFonts w:ascii="Times New Roman" w:hAnsi="Times New Roman"/>
          <w:i/>
          <w:sz w:val="24"/>
          <w:szCs w:val="24"/>
        </w:rPr>
        <w:t xml:space="preserve">. </w:t>
      </w:r>
      <w:proofErr w:type="spellStart"/>
      <w:r w:rsidRPr="00311CB4">
        <w:rPr>
          <w:rStyle w:val="ref-journal"/>
          <w:rFonts w:ascii="Times New Roman" w:hAnsi="Times New Roman"/>
          <w:i/>
          <w:sz w:val="24"/>
          <w:szCs w:val="24"/>
        </w:rPr>
        <w:t>Pediatrics</w:t>
      </w:r>
      <w:proofErr w:type="spellEnd"/>
      <w:r w:rsidRPr="00311CB4">
        <w:rPr>
          <w:rStyle w:val="ref-journal"/>
          <w:rFonts w:ascii="Times New Roman" w:hAnsi="Times New Roman"/>
          <w:i/>
          <w:sz w:val="24"/>
          <w:szCs w:val="24"/>
        </w:rPr>
        <w:t>,</w:t>
      </w:r>
      <w:r w:rsidRPr="00311CB4">
        <w:rPr>
          <w:rStyle w:val="ref-journal"/>
          <w:rFonts w:ascii="Times New Roman" w:hAnsi="Times New Roman"/>
          <w:sz w:val="24"/>
          <w:szCs w:val="24"/>
        </w:rPr>
        <w:t xml:space="preserve"> </w:t>
      </w:r>
      <w:r w:rsidRPr="00311CB4">
        <w:rPr>
          <w:rStyle w:val="ref-vol"/>
          <w:rFonts w:ascii="Times New Roman" w:hAnsi="Times New Roman"/>
          <w:sz w:val="24"/>
          <w:szCs w:val="24"/>
        </w:rPr>
        <w:t>128</w:t>
      </w:r>
      <w:r w:rsidRPr="00311CB4">
        <w:rPr>
          <w:rStyle w:val="element-citation"/>
          <w:rFonts w:ascii="Times New Roman" w:hAnsi="Times New Roman"/>
          <w:sz w:val="24"/>
          <w:szCs w:val="24"/>
        </w:rPr>
        <w:t>:e1330–40.</w:t>
      </w:r>
    </w:p>
    <w:p w:rsidR="00DE2ADC" w:rsidRPr="00311CB4" w:rsidRDefault="00DE2ADC" w:rsidP="00DE2ADC">
      <w:pPr>
        <w:spacing w:after="0" w:line="360" w:lineRule="auto"/>
        <w:ind w:left="785" w:hangingChars="327" w:hanging="785"/>
        <w:rPr>
          <w:rFonts w:ascii="Times New Roman" w:eastAsia="Times New Roman" w:hAnsi="Times New Roman"/>
          <w:sz w:val="24"/>
          <w:szCs w:val="24"/>
          <w:lang w:eastAsia="en-GB"/>
        </w:rPr>
      </w:pPr>
      <w:r w:rsidRPr="00311CB4">
        <w:rPr>
          <w:rFonts w:ascii="Times New Roman" w:eastAsia="Times New Roman" w:hAnsi="Times New Roman"/>
          <w:sz w:val="24"/>
          <w:szCs w:val="24"/>
          <w:lang w:eastAsia="en-GB"/>
        </w:rPr>
        <w:t xml:space="preserve">Macdonald, S., Hall, W., Roman, P., Stockwell, T., </w:t>
      </w:r>
      <w:proofErr w:type="spellStart"/>
      <w:r w:rsidRPr="00311CB4">
        <w:rPr>
          <w:rFonts w:ascii="Times New Roman" w:eastAsia="Times New Roman" w:hAnsi="Times New Roman"/>
          <w:sz w:val="24"/>
          <w:szCs w:val="24"/>
          <w:lang w:eastAsia="en-GB"/>
        </w:rPr>
        <w:t>Coghlan</w:t>
      </w:r>
      <w:proofErr w:type="spellEnd"/>
      <w:r w:rsidRPr="00311CB4">
        <w:rPr>
          <w:rFonts w:ascii="Times New Roman" w:eastAsia="Times New Roman" w:hAnsi="Times New Roman"/>
          <w:sz w:val="24"/>
          <w:szCs w:val="24"/>
          <w:lang w:eastAsia="en-GB"/>
        </w:rPr>
        <w:t xml:space="preserve">, M., &amp; </w:t>
      </w:r>
      <w:proofErr w:type="spellStart"/>
      <w:r w:rsidRPr="00311CB4">
        <w:rPr>
          <w:rFonts w:ascii="Times New Roman" w:eastAsia="Times New Roman" w:hAnsi="Times New Roman"/>
          <w:sz w:val="24"/>
          <w:szCs w:val="24"/>
          <w:lang w:eastAsia="en-GB"/>
        </w:rPr>
        <w:t>Nesvaag</w:t>
      </w:r>
      <w:proofErr w:type="spellEnd"/>
      <w:r w:rsidRPr="00311CB4">
        <w:rPr>
          <w:rFonts w:ascii="Times New Roman" w:eastAsia="Times New Roman" w:hAnsi="Times New Roman"/>
          <w:sz w:val="24"/>
          <w:szCs w:val="24"/>
          <w:lang w:eastAsia="en-GB"/>
        </w:rPr>
        <w:t xml:space="preserve">, S. (2010). Testing for cannabis in the </w:t>
      </w:r>
      <w:proofErr w:type="gramStart"/>
      <w:r w:rsidRPr="00311CB4">
        <w:rPr>
          <w:rFonts w:ascii="Times New Roman" w:eastAsia="Times New Roman" w:hAnsi="Times New Roman"/>
          <w:sz w:val="24"/>
          <w:szCs w:val="24"/>
          <w:lang w:eastAsia="en-GB"/>
        </w:rPr>
        <w:t>work-place</w:t>
      </w:r>
      <w:proofErr w:type="gramEnd"/>
      <w:r w:rsidRPr="00311CB4">
        <w:rPr>
          <w:rFonts w:ascii="Times New Roman" w:eastAsia="Times New Roman" w:hAnsi="Times New Roman"/>
          <w:sz w:val="24"/>
          <w:szCs w:val="24"/>
          <w:lang w:eastAsia="en-GB"/>
        </w:rPr>
        <w:t>: a review of the evidence. Addiction, 105(3), 408-416.</w:t>
      </w:r>
    </w:p>
    <w:p w:rsidR="00DE2ADC" w:rsidRPr="00311CB4" w:rsidRDefault="00DE2ADC" w:rsidP="00DE2ADC">
      <w:pPr>
        <w:spacing w:after="0" w:line="360" w:lineRule="auto"/>
        <w:ind w:left="785" w:hangingChars="327" w:hanging="785"/>
        <w:rPr>
          <w:rFonts w:ascii="Times New Roman" w:hAnsi="Times New Roman"/>
          <w:sz w:val="24"/>
          <w:szCs w:val="24"/>
        </w:rPr>
      </w:pPr>
      <w:r w:rsidRPr="00311CB4">
        <w:rPr>
          <w:rFonts w:ascii="Times New Roman" w:eastAsia="Times New Roman" w:hAnsi="Times New Roman"/>
          <w:sz w:val="24"/>
          <w:szCs w:val="24"/>
          <w:lang w:eastAsia="en-GB"/>
        </w:rPr>
        <w:t xml:space="preserve">Marques, P., Vasco, J., </w:t>
      </w:r>
      <w:proofErr w:type="spellStart"/>
      <w:r w:rsidRPr="00311CB4">
        <w:rPr>
          <w:rFonts w:ascii="Times New Roman" w:eastAsia="Times New Roman" w:hAnsi="Times New Roman"/>
          <w:sz w:val="24"/>
          <w:szCs w:val="24"/>
          <w:lang w:eastAsia="en-GB"/>
        </w:rPr>
        <w:t>Serafín</w:t>
      </w:r>
      <w:proofErr w:type="spellEnd"/>
      <w:r w:rsidRPr="00311CB4">
        <w:rPr>
          <w:rFonts w:ascii="Times New Roman" w:eastAsia="Times New Roman" w:hAnsi="Times New Roman"/>
          <w:sz w:val="24"/>
          <w:szCs w:val="24"/>
          <w:lang w:eastAsia="en-GB"/>
        </w:rPr>
        <w:t xml:space="preserve">, A. </w:t>
      </w:r>
      <w:proofErr w:type="spellStart"/>
      <w:r w:rsidRPr="00311CB4">
        <w:rPr>
          <w:rFonts w:ascii="Times New Roman" w:eastAsia="Times New Roman" w:hAnsi="Times New Roman"/>
          <w:sz w:val="24"/>
          <w:szCs w:val="24"/>
          <w:lang w:eastAsia="en-GB"/>
        </w:rPr>
        <w:t>Olea</w:t>
      </w:r>
      <w:proofErr w:type="spellEnd"/>
      <w:r w:rsidRPr="00311CB4">
        <w:rPr>
          <w:rFonts w:ascii="Times New Roman" w:eastAsia="Times New Roman" w:hAnsi="Times New Roman"/>
          <w:sz w:val="24"/>
          <w:szCs w:val="24"/>
          <w:lang w:eastAsia="en-GB"/>
        </w:rPr>
        <w:t xml:space="preserve">, </w:t>
      </w:r>
      <w:proofErr w:type="spellStart"/>
      <w:r w:rsidRPr="00311CB4">
        <w:rPr>
          <w:rFonts w:ascii="Times New Roman" w:eastAsia="Times New Roman" w:hAnsi="Times New Roman"/>
          <w:sz w:val="24"/>
          <w:szCs w:val="24"/>
          <w:lang w:eastAsia="en-GB"/>
        </w:rPr>
        <w:t>Vairinhos</w:t>
      </w:r>
      <w:proofErr w:type="spellEnd"/>
      <w:r w:rsidRPr="00311CB4">
        <w:rPr>
          <w:rFonts w:ascii="Times New Roman" w:eastAsia="Times New Roman" w:hAnsi="Times New Roman"/>
          <w:sz w:val="24"/>
          <w:szCs w:val="24"/>
          <w:lang w:eastAsia="en-GB"/>
        </w:rPr>
        <w:t xml:space="preserve">, V. and Jacinto, C.  (2014). </w:t>
      </w:r>
      <w:proofErr w:type="gramStart"/>
      <w:r w:rsidRPr="00311CB4">
        <w:rPr>
          <w:rFonts w:ascii="Times New Roman" w:eastAsia="Times New Roman" w:hAnsi="Times New Roman"/>
          <w:sz w:val="24"/>
          <w:szCs w:val="24"/>
          <w:lang w:eastAsia="en-GB"/>
        </w:rPr>
        <w:t>The</w:t>
      </w:r>
      <w:proofErr w:type="gramEnd"/>
      <w:r w:rsidRPr="00311CB4">
        <w:rPr>
          <w:rFonts w:ascii="Times New Roman" w:eastAsia="Times New Roman" w:hAnsi="Times New Roman"/>
          <w:sz w:val="24"/>
          <w:szCs w:val="24"/>
          <w:lang w:eastAsia="en-GB"/>
        </w:rPr>
        <w:t xml:space="preserve"> effect of alcohol and drug testing at the workplace on individual’s occupational accident risk. </w:t>
      </w:r>
      <w:r w:rsidRPr="00311CB4">
        <w:rPr>
          <w:rFonts w:ascii="Times New Roman" w:hAnsi="Times New Roman"/>
          <w:i/>
          <w:sz w:val="24"/>
          <w:szCs w:val="24"/>
        </w:rPr>
        <w:t>Safety Science</w:t>
      </w:r>
      <w:r w:rsidRPr="00311CB4">
        <w:rPr>
          <w:rFonts w:ascii="Times New Roman" w:hAnsi="Times New Roman"/>
          <w:sz w:val="24"/>
          <w:szCs w:val="24"/>
        </w:rPr>
        <w:t xml:space="preserve"> 68, 108-120</w:t>
      </w:r>
    </w:p>
    <w:p w:rsidR="00DE2ADC" w:rsidRPr="00311CB4" w:rsidRDefault="00DE2ADC" w:rsidP="00DE2ADC">
      <w:pPr>
        <w:spacing w:after="0" w:line="360" w:lineRule="auto"/>
        <w:ind w:left="785" w:hangingChars="327" w:hanging="785"/>
        <w:rPr>
          <w:rFonts w:ascii="Times New Roman" w:hAnsi="Times New Roman"/>
          <w:sz w:val="24"/>
          <w:szCs w:val="24"/>
        </w:rPr>
      </w:pPr>
      <w:r w:rsidRPr="00311CB4">
        <w:rPr>
          <w:rFonts w:ascii="Times New Roman" w:hAnsi="Times New Roman"/>
          <w:sz w:val="24"/>
          <w:szCs w:val="24"/>
        </w:rPr>
        <w:lastRenderedPageBreak/>
        <w:t xml:space="preserve">Moyer, V.A. (2013). Screening and </w:t>
      </w:r>
      <w:proofErr w:type="spellStart"/>
      <w:r w:rsidRPr="00311CB4">
        <w:rPr>
          <w:rFonts w:ascii="Times New Roman" w:hAnsi="Times New Roman"/>
          <w:sz w:val="24"/>
          <w:szCs w:val="24"/>
        </w:rPr>
        <w:t>behavioral</w:t>
      </w:r>
      <w:proofErr w:type="spellEnd"/>
      <w:r w:rsidRPr="00311CB4">
        <w:rPr>
          <w:rFonts w:ascii="Times New Roman" w:hAnsi="Times New Roman"/>
          <w:sz w:val="24"/>
          <w:szCs w:val="24"/>
        </w:rPr>
        <w:t xml:space="preserve"> </w:t>
      </w:r>
      <w:proofErr w:type="spellStart"/>
      <w:r w:rsidRPr="00311CB4">
        <w:rPr>
          <w:rFonts w:ascii="Times New Roman" w:hAnsi="Times New Roman"/>
          <w:sz w:val="24"/>
          <w:szCs w:val="24"/>
        </w:rPr>
        <w:t>counseling</w:t>
      </w:r>
      <w:proofErr w:type="spellEnd"/>
      <w:r w:rsidRPr="00311CB4">
        <w:rPr>
          <w:rFonts w:ascii="Times New Roman" w:hAnsi="Times New Roman"/>
          <w:sz w:val="24"/>
          <w:szCs w:val="24"/>
        </w:rPr>
        <w:t xml:space="preserve"> interventions </w:t>
      </w:r>
      <w:proofErr w:type="spellStart"/>
      <w:r w:rsidRPr="00311CB4">
        <w:rPr>
          <w:rFonts w:ascii="Times New Roman" w:hAnsi="Times New Roman"/>
          <w:sz w:val="24"/>
          <w:szCs w:val="24"/>
        </w:rPr>
        <w:t>inprimary</w:t>
      </w:r>
      <w:proofErr w:type="spellEnd"/>
      <w:r w:rsidRPr="00311CB4">
        <w:rPr>
          <w:rFonts w:ascii="Times New Roman" w:hAnsi="Times New Roman"/>
          <w:sz w:val="24"/>
          <w:szCs w:val="24"/>
        </w:rPr>
        <w:t xml:space="preserve"> care to reduce alcohol misuse: U.S. Preventive </w:t>
      </w:r>
      <w:proofErr w:type="spellStart"/>
      <w:r w:rsidRPr="00311CB4">
        <w:rPr>
          <w:rFonts w:ascii="Times New Roman" w:hAnsi="Times New Roman"/>
          <w:sz w:val="24"/>
          <w:szCs w:val="24"/>
        </w:rPr>
        <w:t>ServicesTask</w:t>
      </w:r>
      <w:proofErr w:type="spellEnd"/>
      <w:r w:rsidRPr="00311CB4">
        <w:rPr>
          <w:rFonts w:ascii="Times New Roman" w:hAnsi="Times New Roman"/>
          <w:sz w:val="24"/>
          <w:szCs w:val="24"/>
        </w:rPr>
        <w:t xml:space="preserve"> Force recommendation statement. </w:t>
      </w:r>
      <w:r w:rsidRPr="00311CB4">
        <w:rPr>
          <w:rFonts w:ascii="Times New Roman" w:hAnsi="Times New Roman"/>
          <w:i/>
          <w:sz w:val="24"/>
          <w:szCs w:val="24"/>
        </w:rPr>
        <w:t>Annals Internal Medicine,</w:t>
      </w:r>
      <w:r w:rsidRPr="00311CB4">
        <w:rPr>
          <w:rFonts w:ascii="Times New Roman" w:hAnsi="Times New Roman"/>
          <w:sz w:val="24"/>
          <w:szCs w:val="24"/>
        </w:rPr>
        <w:t xml:space="preserve"> 159 (3): 210–218.</w:t>
      </w:r>
    </w:p>
    <w:p w:rsidR="00DE2ADC" w:rsidRPr="00311CB4" w:rsidRDefault="00DE2ADC" w:rsidP="00DE2ADC">
      <w:pPr>
        <w:spacing w:after="0" w:line="360" w:lineRule="auto"/>
        <w:ind w:left="785" w:hangingChars="327" w:hanging="785"/>
        <w:rPr>
          <w:rStyle w:val="element-citation"/>
          <w:rFonts w:ascii="Times New Roman" w:hAnsi="Times New Roman"/>
          <w:sz w:val="24"/>
          <w:szCs w:val="24"/>
        </w:rPr>
      </w:pPr>
      <w:r w:rsidRPr="00311CB4">
        <w:rPr>
          <w:rStyle w:val="element-citation"/>
          <w:rFonts w:ascii="Times New Roman" w:hAnsi="Times New Roman"/>
          <w:sz w:val="24"/>
          <w:szCs w:val="24"/>
        </w:rPr>
        <w:t xml:space="preserve">National </w:t>
      </w:r>
      <w:proofErr w:type="spellStart"/>
      <w:r w:rsidRPr="00311CB4">
        <w:rPr>
          <w:rStyle w:val="element-citation"/>
          <w:rFonts w:ascii="Times New Roman" w:hAnsi="Times New Roman"/>
          <w:sz w:val="24"/>
          <w:szCs w:val="24"/>
        </w:rPr>
        <w:t>Center</w:t>
      </w:r>
      <w:proofErr w:type="spellEnd"/>
      <w:r w:rsidRPr="00311CB4">
        <w:rPr>
          <w:rStyle w:val="element-citation"/>
          <w:rFonts w:ascii="Times New Roman" w:hAnsi="Times New Roman"/>
          <w:sz w:val="24"/>
          <w:szCs w:val="24"/>
        </w:rPr>
        <w:t xml:space="preserve"> on Substance Abuse and Child Welfare / Substance Abuse and Mental Health Services Administration. (2015). </w:t>
      </w:r>
      <w:r w:rsidRPr="00311CB4">
        <w:rPr>
          <w:rStyle w:val="ref-journal"/>
          <w:rFonts w:ascii="Times New Roman" w:hAnsi="Times New Roman"/>
          <w:sz w:val="24"/>
          <w:szCs w:val="24"/>
        </w:rPr>
        <w:t xml:space="preserve">Drug Testing Practice Guidelines. </w:t>
      </w:r>
    </w:p>
    <w:p w:rsidR="00DE2ADC" w:rsidRPr="00311CB4" w:rsidRDefault="00DE2ADC" w:rsidP="00DE2ADC">
      <w:pPr>
        <w:spacing w:line="360" w:lineRule="auto"/>
        <w:ind w:left="785" w:hangingChars="327" w:hanging="785"/>
        <w:rPr>
          <w:rFonts w:ascii="Times New Roman" w:hAnsi="Times New Roman"/>
          <w:sz w:val="24"/>
          <w:szCs w:val="24"/>
        </w:rPr>
      </w:pPr>
      <w:proofErr w:type="spellStart"/>
      <w:r w:rsidRPr="00311CB4">
        <w:rPr>
          <w:rFonts w:ascii="Times New Roman" w:hAnsi="Times New Roman"/>
          <w:sz w:val="24"/>
          <w:szCs w:val="24"/>
        </w:rPr>
        <w:t>Pidd</w:t>
      </w:r>
      <w:proofErr w:type="spellEnd"/>
      <w:r w:rsidRPr="00311CB4">
        <w:rPr>
          <w:rFonts w:ascii="Times New Roman" w:hAnsi="Times New Roman"/>
          <w:sz w:val="24"/>
          <w:szCs w:val="24"/>
        </w:rPr>
        <w:t xml:space="preserve">, K., </w:t>
      </w:r>
      <w:r w:rsidRPr="00311CB4">
        <w:rPr>
          <w:rFonts w:ascii="Times New Roman" w:eastAsia="Times New Roman" w:hAnsi="Times New Roman"/>
          <w:sz w:val="24"/>
          <w:szCs w:val="24"/>
          <w:lang w:eastAsia="en-GB"/>
        </w:rPr>
        <w:t>&amp;</w:t>
      </w:r>
      <w:r w:rsidRPr="00311CB4">
        <w:rPr>
          <w:rFonts w:ascii="Times New Roman" w:hAnsi="Times New Roman"/>
          <w:sz w:val="24"/>
          <w:szCs w:val="24"/>
        </w:rPr>
        <w:t xml:space="preserve"> Roche, A. (2011). </w:t>
      </w:r>
      <w:r w:rsidRPr="00311CB4">
        <w:rPr>
          <w:rFonts w:ascii="Times New Roman" w:hAnsi="Times New Roman"/>
          <w:i/>
          <w:sz w:val="24"/>
          <w:szCs w:val="24"/>
        </w:rPr>
        <w:t xml:space="preserve">Workplace drug testing: Evidence and issues. National Centre for Education and Training on Addiction </w:t>
      </w:r>
      <w:r w:rsidRPr="00311CB4">
        <w:rPr>
          <w:rFonts w:ascii="Times New Roman" w:hAnsi="Times New Roman"/>
          <w:sz w:val="24"/>
          <w:szCs w:val="24"/>
        </w:rPr>
        <w:t>(NCETA), Flinders University, Adelaide.</w:t>
      </w:r>
    </w:p>
    <w:p w:rsidR="00DE2ADC" w:rsidRPr="00311CB4" w:rsidRDefault="00DE2ADC" w:rsidP="00DE2ADC">
      <w:pPr>
        <w:spacing w:line="360" w:lineRule="auto"/>
        <w:ind w:left="785" w:hangingChars="327" w:hanging="785"/>
        <w:rPr>
          <w:rFonts w:ascii="Times New Roman" w:hAnsi="Times New Roman"/>
          <w:sz w:val="24"/>
          <w:szCs w:val="24"/>
        </w:rPr>
      </w:pPr>
      <w:proofErr w:type="spellStart"/>
      <w:r w:rsidRPr="00311CB4">
        <w:rPr>
          <w:rFonts w:ascii="Times New Roman" w:hAnsi="Times New Roman"/>
          <w:sz w:val="24"/>
          <w:szCs w:val="24"/>
        </w:rPr>
        <w:t>Strang</w:t>
      </w:r>
      <w:proofErr w:type="spellEnd"/>
      <w:r w:rsidRPr="00311CB4">
        <w:rPr>
          <w:rFonts w:ascii="Times New Roman" w:hAnsi="Times New Roman"/>
          <w:sz w:val="24"/>
          <w:szCs w:val="24"/>
        </w:rPr>
        <w:t xml:space="preserve">, J., </w:t>
      </w:r>
      <w:proofErr w:type="spellStart"/>
      <w:r w:rsidRPr="00311CB4">
        <w:rPr>
          <w:rFonts w:ascii="Times New Roman" w:hAnsi="Times New Roman"/>
          <w:sz w:val="24"/>
          <w:szCs w:val="24"/>
        </w:rPr>
        <w:t>Babor</w:t>
      </w:r>
      <w:proofErr w:type="spellEnd"/>
      <w:r w:rsidRPr="00311CB4">
        <w:rPr>
          <w:rFonts w:ascii="Times New Roman" w:hAnsi="Times New Roman"/>
          <w:sz w:val="24"/>
          <w:szCs w:val="24"/>
        </w:rPr>
        <w:t xml:space="preserve">, T., </w:t>
      </w:r>
      <w:proofErr w:type="spellStart"/>
      <w:r w:rsidRPr="00311CB4">
        <w:rPr>
          <w:rFonts w:ascii="Times New Roman" w:hAnsi="Times New Roman"/>
          <w:sz w:val="24"/>
          <w:szCs w:val="24"/>
        </w:rPr>
        <w:t>Caulkins</w:t>
      </w:r>
      <w:proofErr w:type="spellEnd"/>
      <w:r w:rsidRPr="00311CB4">
        <w:rPr>
          <w:rFonts w:ascii="Times New Roman" w:hAnsi="Times New Roman"/>
          <w:sz w:val="24"/>
          <w:szCs w:val="24"/>
        </w:rPr>
        <w:t xml:space="preserve">, J., Fischer, B., </w:t>
      </w:r>
      <w:proofErr w:type="spellStart"/>
      <w:r w:rsidRPr="00311CB4">
        <w:rPr>
          <w:rFonts w:ascii="Times New Roman" w:hAnsi="Times New Roman"/>
          <w:sz w:val="24"/>
          <w:szCs w:val="24"/>
        </w:rPr>
        <w:t>Fozcroft</w:t>
      </w:r>
      <w:proofErr w:type="spellEnd"/>
      <w:r w:rsidRPr="00311CB4">
        <w:rPr>
          <w:rFonts w:ascii="Times New Roman" w:hAnsi="Times New Roman"/>
          <w:sz w:val="24"/>
          <w:szCs w:val="24"/>
        </w:rPr>
        <w:t xml:space="preserve">, D. &amp; Humphreys, K. (2012). Drug policy and public good: evidence for effective interventions. </w:t>
      </w:r>
      <w:r w:rsidRPr="00311CB4">
        <w:rPr>
          <w:rFonts w:ascii="Times New Roman" w:hAnsi="Times New Roman"/>
          <w:i/>
          <w:sz w:val="24"/>
          <w:szCs w:val="24"/>
        </w:rPr>
        <w:t>Lancet</w:t>
      </w:r>
      <w:r w:rsidRPr="00311CB4">
        <w:rPr>
          <w:rFonts w:ascii="Times New Roman" w:hAnsi="Times New Roman"/>
          <w:sz w:val="24"/>
          <w:szCs w:val="24"/>
        </w:rPr>
        <w:t xml:space="preserve"> 379, 71–83.</w:t>
      </w:r>
    </w:p>
    <w:p w:rsidR="00DE2ADC" w:rsidRPr="00311CB4" w:rsidRDefault="00DE2ADC" w:rsidP="00DE2ADC">
      <w:pPr>
        <w:spacing w:line="360" w:lineRule="auto"/>
        <w:ind w:left="785" w:hangingChars="327" w:hanging="785"/>
        <w:rPr>
          <w:rFonts w:ascii="Times New Roman" w:hAnsi="Times New Roman"/>
          <w:sz w:val="24"/>
          <w:szCs w:val="24"/>
        </w:rPr>
      </w:pPr>
      <w:r w:rsidRPr="00311CB4">
        <w:rPr>
          <w:rFonts w:ascii="Times New Roman" w:eastAsia="Times New Roman" w:hAnsi="Times New Roman"/>
          <w:sz w:val="24"/>
          <w:szCs w:val="24"/>
          <w:lang w:eastAsia="en-GB"/>
        </w:rPr>
        <w:t xml:space="preserve">World Health Organization (2017).  </w:t>
      </w:r>
      <w:r w:rsidRPr="00311CB4">
        <w:rPr>
          <w:rFonts w:ascii="Times New Roman" w:hAnsi="Times New Roman"/>
          <w:sz w:val="24"/>
          <w:szCs w:val="24"/>
        </w:rPr>
        <w:t>Alcohol Brief Intervention Training Manual for Primary Care</w:t>
      </w:r>
      <w:r w:rsidRPr="00311CB4">
        <w:rPr>
          <w:rFonts w:ascii="Times New Roman" w:eastAsia="Times New Roman" w:hAnsi="Times New Roman"/>
          <w:sz w:val="24"/>
          <w:szCs w:val="24"/>
          <w:lang w:eastAsia="en-GB"/>
        </w:rPr>
        <w:t xml:space="preserve"> (2017). Retrieved online on 8/24/2018 at </w:t>
      </w:r>
      <w:r w:rsidRPr="00311CB4">
        <w:rPr>
          <w:rFonts w:ascii="Times New Roman" w:hAnsi="Times New Roman"/>
          <w:sz w:val="24"/>
          <w:szCs w:val="24"/>
        </w:rPr>
        <w:t>http://www.euro.who.int/__data/assets/pdf_file/0006/351294/Alcohol-training-manual-final-edit-LSJB-290917-new-cover.pdf?ua=1.</w:t>
      </w:r>
    </w:p>
    <w:p w:rsidR="00DE2ADC" w:rsidRPr="00311CB4" w:rsidRDefault="00DE2ADC" w:rsidP="00DE2ADC">
      <w:pPr>
        <w:spacing w:line="480" w:lineRule="auto"/>
        <w:ind w:left="360"/>
        <w:rPr>
          <w:rFonts w:ascii="Times New Roman" w:hAnsi="Times New Roman"/>
          <w:sz w:val="24"/>
          <w:szCs w:val="24"/>
        </w:rPr>
      </w:pPr>
    </w:p>
    <w:p w:rsidR="00DE2ADC" w:rsidRPr="00311CB4" w:rsidRDefault="00DE2ADC" w:rsidP="00DE2ADC">
      <w:pPr>
        <w:spacing w:line="360" w:lineRule="auto"/>
        <w:rPr>
          <w:rFonts w:ascii="Times New Roman" w:hAnsi="Times New Roman"/>
          <w:sz w:val="24"/>
          <w:szCs w:val="24"/>
        </w:rPr>
      </w:pPr>
    </w:p>
    <w:p w:rsidR="00DE2ADC" w:rsidRPr="00311CB4" w:rsidRDefault="00DE2ADC" w:rsidP="00DE2ADC"/>
    <w:p w:rsidR="00152B9C" w:rsidRPr="00311CB4" w:rsidRDefault="00152B9C"/>
    <w:sectPr w:rsidR="00152B9C" w:rsidRPr="00311CB4" w:rsidSect="007C6D4A">
      <w:footerReference w:type="default" r:id="rId16"/>
      <w:headerReference w:type="firs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940" w:rsidRDefault="00F24940">
      <w:pPr>
        <w:spacing w:after="0" w:line="240" w:lineRule="auto"/>
      </w:pPr>
      <w:r>
        <w:separator/>
      </w:r>
    </w:p>
  </w:endnote>
  <w:endnote w:type="continuationSeparator" w:id="0">
    <w:p w:rsidR="00F24940" w:rsidRDefault="00F2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4A" w:rsidRDefault="00F24940">
    <w:pPr>
      <w:pStyle w:val="Footer"/>
      <w:jc w:val="right"/>
    </w:pPr>
  </w:p>
  <w:p w:rsidR="007C6D4A" w:rsidRDefault="00F24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940" w:rsidRDefault="00F24940">
      <w:pPr>
        <w:spacing w:after="0" w:line="240" w:lineRule="auto"/>
      </w:pPr>
      <w:r>
        <w:separator/>
      </w:r>
    </w:p>
  </w:footnote>
  <w:footnote w:type="continuationSeparator" w:id="0">
    <w:p w:rsidR="00F24940" w:rsidRDefault="00F24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4A" w:rsidRPr="00C82C23" w:rsidRDefault="00F24940" w:rsidP="007C6D4A">
    <w:pPr>
      <w:spacing w:line="360" w:lineRule="auto"/>
      <w:rPr>
        <w:rFonts w:ascii="Times New Roman" w:eastAsia="Times New Roman" w:hAnsi="Times New Roman"/>
        <w:b/>
        <w:sz w:val="23"/>
        <w:szCs w:val="23"/>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85FCD"/>
    <w:multiLevelType w:val="hybridMultilevel"/>
    <w:tmpl w:val="E7A8DA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51E1"/>
    <w:rsid w:val="00152B9C"/>
    <w:rsid w:val="00311CB4"/>
    <w:rsid w:val="00BF1C2C"/>
    <w:rsid w:val="00D871A2"/>
    <w:rsid w:val="00D951E1"/>
    <w:rsid w:val="00DE2ADC"/>
    <w:rsid w:val="00F2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6CE2"/>
  <w15:docId w15:val="{0D0D276A-3C30-4AE8-86C3-7C10CC8C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ADC"/>
    <w:rPr>
      <w:rFonts w:ascii="Calibri" w:eastAsia="Calibri" w:hAnsi="Calibri" w:cs="Times New Roman"/>
      <w:lang w:val="en-GB"/>
    </w:rPr>
  </w:style>
  <w:style w:type="paragraph" w:styleId="Heading1">
    <w:name w:val="heading 1"/>
    <w:basedOn w:val="Normal"/>
    <w:link w:val="Heading1Char"/>
    <w:uiPriority w:val="9"/>
    <w:qFormat/>
    <w:rsid w:val="00DE2ADC"/>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next w:val="Normal"/>
    <w:link w:val="Heading2Char"/>
    <w:uiPriority w:val="9"/>
    <w:unhideWhenUsed/>
    <w:qFormat/>
    <w:rsid w:val="00DE2AD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ADC"/>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DE2ADC"/>
    <w:rPr>
      <w:rFonts w:ascii="Cambria" w:eastAsia="Times New Roman" w:hAnsi="Cambria" w:cs="Times New Roman"/>
      <w:b/>
      <w:bCs/>
      <w:i/>
      <w:iCs/>
      <w:sz w:val="28"/>
      <w:szCs w:val="28"/>
      <w:lang w:val="en-GB"/>
    </w:rPr>
  </w:style>
  <w:style w:type="paragraph" w:styleId="Footer">
    <w:name w:val="footer"/>
    <w:basedOn w:val="Normal"/>
    <w:link w:val="FooterChar"/>
    <w:uiPriority w:val="99"/>
    <w:unhideWhenUsed/>
    <w:rsid w:val="00DE2ADC"/>
    <w:pPr>
      <w:tabs>
        <w:tab w:val="center" w:pos="4513"/>
        <w:tab w:val="right" w:pos="9026"/>
      </w:tabs>
    </w:pPr>
    <w:rPr>
      <w:sz w:val="20"/>
      <w:szCs w:val="20"/>
    </w:rPr>
  </w:style>
  <w:style w:type="character" w:customStyle="1" w:styleId="FooterChar">
    <w:name w:val="Footer Char"/>
    <w:basedOn w:val="DefaultParagraphFont"/>
    <w:link w:val="Footer"/>
    <w:uiPriority w:val="99"/>
    <w:rsid w:val="00DE2ADC"/>
    <w:rPr>
      <w:rFonts w:ascii="Calibri" w:eastAsia="Calibri" w:hAnsi="Calibri" w:cs="Times New Roman"/>
      <w:sz w:val="20"/>
      <w:szCs w:val="20"/>
      <w:lang w:val="en-GB"/>
    </w:rPr>
  </w:style>
  <w:style w:type="paragraph" w:styleId="NoSpacing">
    <w:name w:val="No Spacing"/>
    <w:link w:val="NoSpacingChar"/>
    <w:uiPriority w:val="1"/>
    <w:qFormat/>
    <w:rsid w:val="00DE2ADC"/>
    <w:pPr>
      <w:spacing w:after="0" w:line="240" w:lineRule="auto"/>
    </w:pPr>
    <w:rPr>
      <w:rFonts w:ascii="Calibri" w:eastAsia="Times New Roman" w:hAnsi="Calibri" w:cs="Times New Roman"/>
      <w:sz w:val="20"/>
      <w:szCs w:val="20"/>
      <w:lang w:val="en-GB" w:eastAsia="en-GB"/>
    </w:rPr>
  </w:style>
  <w:style w:type="character" w:customStyle="1" w:styleId="NoSpacingChar">
    <w:name w:val="No Spacing Char"/>
    <w:link w:val="NoSpacing"/>
    <w:uiPriority w:val="1"/>
    <w:rsid w:val="00DE2ADC"/>
    <w:rPr>
      <w:rFonts w:ascii="Calibri" w:eastAsia="Times New Roman" w:hAnsi="Calibri" w:cs="Times New Roman"/>
      <w:sz w:val="20"/>
      <w:szCs w:val="20"/>
      <w:lang w:val="en-GB" w:eastAsia="en-GB"/>
    </w:rPr>
  </w:style>
  <w:style w:type="character" w:customStyle="1" w:styleId="td2">
    <w:name w:val="td2"/>
    <w:basedOn w:val="DefaultParagraphFont"/>
    <w:rsid w:val="00DE2ADC"/>
  </w:style>
  <w:style w:type="character" w:customStyle="1" w:styleId="element-citation">
    <w:name w:val="element-citation"/>
    <w:basedOn w:val="DefaultParagraphFont"/>
    <w:rsid w:val="00DE2ADC"/>
  </w:style>
  <w:style w:type="character" w:customStyle="1" w:styleId="ref-journal">
    <w:name w:val="ref-journal"/>
    <w:basedOn w:val="DefaultParagraphFont"/>
    <w:rsid w:val="00DE2ADC"/>
  </w:style>
  <w:style w:type="character" w:customStyle="1" w:styleId="ref-vol">
    <w:name w:val="ref-vol"/>
    <w:basedOn w:val="DefaultParagraphFont"/>
    <w:rsid w:val="00DE2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Hp</cp:lastModifiedBy>
  <cp:revision>3</cp:revision>
  <dcterms:created xsi:type="dcterms:W3CDTF">2018-09-24T03:06:00Z</dcterms:created>
  <dcterms:modified xsi:type="dcterms:W3CDTF">2021-04-28T19:56:00Z</dcterms:modified>
</cp:coreProperties>
</file>