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77B" w:rsidRPr="00AA4B02" w:rsidRDefault="0087477B" w:rsidP="0087477B">
      <w:pPr>
        <w:tabs>
          <w:tab w:val="left" w:pos="1425"/>
        </w:tabs>
        <w:ind w:left="360"/>
        <w:rPr>
          <w:rFonts w:ascii="Times New Roman" w:hAnsi="Times New Roman"/>
          <w:sz w:val="24"/>
          <w:szCs w:val="24"/>
        </w:rPr>
      </w:pPr>
    </w:p>
    <w:p w:rsidR="0087477B" w:rsidRPr="00AA4B02" w:rsidRDefault="0087477B" w:rsidP="0087477B">
      <w:pPr>
        <w:tabs>
          <w:tab w:val="left" w:pos="1425"/>
        </w:tabs>
        <w:ind w:left="360"/>
        <w:jc w:val="center"/>
        <w:rPr>
          <w:rFonts w:ascii="Times New Roman" w:hAnsi="Times New Roman"/>
          <w:b/>
          <w:sz w:val="24"/>
          <w:szCs w:val="24"/>
        </w:rPr>
      </w:pPr>
      <w:r w:rsidRPr="00AA4B02">
        <w:rPr>
          <w:rFonts w:ascii="Times New Roman" w:hAnsi="Times New Roman"/>
          <w:b/>
          <w:sz w:val="24"/>
          <w:szCs w:val="24"/>
        </w:rPr>
        <w:t>Insights into Global Ageing, Health Promotion, Visual Impairment and Dementia amongst the Older Adults</w:t>
      </w:r>
    </w:p>
    <w:p w:rsidR="0087477B" w:rsidRPr="00AA4B02" w:rsidRDefault="0087477B" w:rsidP="0087477B">
      <w:pPr>
        <w:pStyle w:val="ListParagraph"/>
        <w:numPr>
          <w:ilvl w:val="0"/>
          <w:numId w:val="3"/>
        </w:numPr>
        <w:tabs>
          <w:tab w:val="left" w:pos="1425"/>
        </w:tabs>
        <w:spacing w:line="480" w:lineRule="auto"/>
        <w:jc w:val="both"/>
        <w:rPr>
          <w:rFonts w:ascii="Times New Roman" w:hAnsi="Times New Roman"/>
          <w:b/>
          <w:sz w:val="24"/>
          <w:szCs w:val="24"/>
        </w:rPr>
      </w:pPr>
      <w:r w:rsidRPr="00AA4B02">
        <w:rPr>
          <w:rFonts w:ascii="Times New Roman" w:hAnsi="Times New Roman"/>
          <w:b/>
          <w:sz w:val="24"/>
          <w:szCs w:val="24"/>
        </w:rPr>
        <w:t>Global Ageing</w:t>
      </w:r>
    </w:p>
    <w:p w:rsidR="0087477B" w:rsidRPr="00AA4B02" w:rsidRDefault="0087477B" w:rsidP="0087477B">
      <w:pPr>
        <w:tabs>
          <w:tab w:val="left" w:pos="1425"/>
        </w:tabs>
        <w:spacing w:line="480" w:lineRule="auto"/>
        <w:ind w:firstLine="288"/>
        <w:jc w:val="both"/>
        <w:rPr>
          <w:rFonts w:ascii="Times New Roman" w:hAnsi="Times New Roman"/>
          <w:sz w:val="24"/>
          <w:szCs w:val="24"/>
        </w:rPr>
      </w:pPr>
      <w:r w:rsidRPr="00AA4B02">
        <w:rPr>
          <w:rFonts w:ascii="Times New Roman" w:hAnsi="Times New Roman"/>
          <w:sz w:val="24"/>
          <w:szCs w:val="24"/>
        </w:rPr>
        <w:t>Historically, old age has been viewed as a revered milestone to almost every individual. The population trend has thus been given much precedence, and it has been discovered that there is an overwhelming increase in the ageing population worldwide. According to United Nations (2012), it is projected that the cur</w:t>
      </w:r>
      <w:bookmarkStart w:id="0" w:name="_GoBack"/>
      <w:bookmarkEnd w:id="0"/>
      <w:r w:rsidRPr="00AA4B02">
        <w:rPr>
          <w:rFonts w:ascii="Times New Roman" w:hAnsi="Times New Roman"/>
          <w:sz w:val="24"/>
          <w:szCs w:val="24"/>
        </w:rPr>
        <w:t>rent life expectancy, which is at 67, will rise to 75 by 2050. This trend shows that, with time, the elderly will outnumber young people.</w:t>
      </w:r>
    </w:p>
    <w:p w:rsidR="0087477B" w:rsidRPr="00AA4B02" w:rsidRDefault="0087477B" w:rsidP="0087477B">
      <w:pPr>
        <w:tabs>
          <w:tab w:val="left" w:pos="1425"/>
        </w:tabs>
        <w:spacing w:line="480" w:lineRule="auto"/>
        <w:ind w:firstLine="288"/>
        <w:jc w:val="both"/>
        <w:rPr>
          <w:rFonts w:ascii="Times New Roman" w:hAnsi="Times New Roman"/>
          <w:sz w:val="24"/>
          <w:szCs w:val="24"/>
        </w:rPr>
      </w:pPr>
      <w:r w:rsidRPr="00AA4B02">
        <w:rPr>
          <w:rFonts w:ascii="Times New Roman" w:hAnsi="Times New Roman"/>
          <w:sz w:val="24"/>
          <w:szCs w:val="24"/>
        </w:rPr>
        <w:t xml:space="preserve"> The burden of care falls to both the generations (young and old), as the old would provide financial and advisory support for their young family members. However, the old outnumber the young people and need care from the young ones most of the time. This trend heralds that there is an increasing caregiver burden to the families who have to look after the older family members. The burden is more evident whilst taking care of elder loved ones who portray physical disability and dementia. Caregivers often undergo stress, depression and physical illness as well as being tasked with the traumatising decree with regard to putting their loved ones under long-term treatment/care facilities (Alzheimer’s Association, 2013). </w:t>
      </w:r>
    </w:p>
    <w:p w:rsidR="0087477B" w:rsidRPr="00AA4B02" w:rsidRDefault="0087477B" w:rsidP="0087477B">
      <w:pPr>
        <w:tabs>
          <w:tab w:val="left" w:pos="1425"/>
        </w:tabs>
        <w:spacing w:line="480" w:lineRule="auto"/>
        <w:ind w:firstLine="288"/>
        <w:jc w:val="both"/>
        <w:rPr>
          <w:rFonts w:ascii="Times New Roman" w:hAnsi="Times New Roman"/>
          <w:sz w:val="24"/>
          <w:szCs w:val="24"/>
        </w:rPr>
      </w:pPr>
      <w:r w:rsidRPr="00AA4B02">
        <w:rPr>
          <w:rFonts w:ascii="Times New Roman" w:hAnsi="Times New Roman"/>
          <w:sz w:val="24"/>
          <w:szCs w:val="24"/>
        </w:rPr>
        <w:t xml:space="preserve">The better part of our lives is defined by how we exchange help and aid within a family setup, ranging from providing care (emotional and physical), as well as monetary support. For the elderly, family becomes an integral part of their life as the support required increases. A society will ultimately influence the resources and support that are availed to older adults and their immediate families. It is thus the role of each individual to be supportive of the elderly in providing social support in terms of transportation, emotional, informational, and financial and, </w:t>
      </w:r>
      <w:r w:rsidRPr="00AA4B02">
        <w:rPr>
          <w:rFonts w:ascii="Times New Roman" w:hAnsi="Times New Roman"/>
          <w:sz w:val="24"/>
          <w:szCs w:val="24"/>
        </w:rPr>
        <w:lastRenderedPageBreak/>
        <w:t>most importantly, housing (Jump, 2015). This would thus enhance close knitting of the family members.</w:t>
      </w:r>
    </w:p>
    <w:p w:rsidR="0087477B" w:rsidRPr="00AA4B02" w:rsidRDefault="0087477B" w:rsidP="0087477B">
      <w:pPr>
        <w:tabs>
          <w:tab w:val="left" w:pos="1425"/>
        </w:tabs>
        <w:spacing w:line="480" w:lineRule="auto"/>
        <w:jc w:val="both"/>
        <w:rPr>
          <w:rFonts w:ascii="Times New Roman" w:hAnsi="Times New Roman"/>
          <w:sz w:val="24"/>
          <w:szCs w:val="24"/>
        </w:rPr>
      </w:pPr>
    </w:p>
    <w:p w:rsidR="0087477B" w:rsidRPr="00AA4B02" w:rsidRDefault="0087477B" w:rsidP="0087477B">
      <w:pPr>
        <w:pStyle w:val="ListParagraph"/>
        <w:numPr>
          <w:ilvl w:val="0"/>
          <w:numId w:val="1"/>
        </w:numPr>
        <w:tabs>
          <w:tab w:val="left" w:pos="1425"/>
        </w:tabs>
        <w:spacing w:line="480" w:lineRule="auto"/>
        <w:ind w:left="900"/>
        <w:jc w:val="both"/>
        <w:rPr>
          <w:rFonts w:ascii="Times New Roman" w:hAnsi="Times New Roman"/>
          <w:b/>
          <w:sz w:val="24"/>
          <w:szCs w:val="24"/>
        </w:rPr>
      </w:pPr>
      <w:r w:rsidRPr="00AA4B02">
        <w:rPr>
          <w:rFonts w:ascii="Times New Roman" w:hAnsi="Times New Roman"/>
          <w:b/>
          <w:sz w:val="24"/>
          <w:szCs w:val="24"/>
        </w:rPr>
        <w:t xml:space="preserve">Health promotion </w:t>
      </w:r>
    </w:p>
    <w:p w:rsidR="0087477B" w:rsidRPr="00AA4B02" w:rsidRDefault="0087477B" w:rsidP="0087477B">
      <w:pPr>
        <w:tabs>
          <w:tab w:val="left" w:pos="1425"/>
        </w:tabs>
        <w:spacing w:line="480" w:lineRule="auto"/>
        <w:jc w:val="both"/>
        <w:rPr>
          <w:rFonts w:ascii="Times New Roman" w:hAnsi="Times New Roman"/>
          <w:sz w:val="24"/>
          <w:szCs w:val="24"/>
        </w:rPr>
      </w:pPr>
      <w:r w:rsidRPr="00AA4B02">
        <w:rPr>
          <w:rFonts w:ascii="Times New Roman" w:hAnsi="Times New Roman"/>
          <w:b/>
          <w:sz w:val="24"/>
          <w:szCs w:val="24"/>
        </w:rPr>
        <w:tab/>
      </w:r>
      <w:r w:rsidRPr="00AA4B02">
        <w:rPr>
          <w:rFonts w:ascii="Times New Roman" w:hAnsi="Times New Roman"/>
          <w:sz w:val="24"/>
          <w:szCs w:val="24"/>
        </w:rPr>
        <w:t>In the recent past, health promotion has duly become part of the health care system due to the increasing trends in life expectancy. Health promotions to the older adults will give them healthier and longer lives, enabling them to participate in community development. This will ultimately help in realising their potential by harnessing their skills and know-how (Commonwealth of Australia, 2012).</w:t>
      </w:r>
    </w:p>
    <w:p w:rsidR="0087477B" w:rsidRPr="00AA4B02" w:rsidRDefault="0087477B" w:rsidP="0087477B">
      <w:pPr>
        <w:tabs>
          <w:tab w:val="left" w:pos="1425"/>
        </w:tabs>
        <w:spacing w:line="480" w:lineRule="auto"/>
        <w:jc w:val="both"/>
        <w:rPr>
          <w:rFonts w:ascii="Times New Roman" w:hAnsi="Times New Roman"/>
          <w:i/>
          <w:sz w:val="24"/>
          <w:szCs w:val="24"/>
        </w:rPr>
      </w:pPr>
      <w:r w:rsidRPr="00AA4B02">
        <w:rPr>
          <w:rFonts w:ascii="Times New Roman" w:hAnsi="Times New Roman"/>
          <w:i/>
          <w:sz w:val="24"/>
          <w:szCs w:val="24"/>
        </w:rPr>
        <w:t>Positive aspects of health promotion</w:t>
      </w:r>
    </w:p>
    <w:p w:rsidR="0087477B" w:rsidRPr="00AA4B02" w:rsidRDefault="0087477B" w:rsidP="0087477B">
      <w:pPr>
        <w:numPr>
          <w:ilvl w:val="0"/>
          <w:numId w:val="4"/>
        </w:numPr>
        <w:spacing w:line="480" w:lineRule="auto"/>
        <w:rPr>
          <w:rFonts w:ascii="Times New Roman" w:hAnsi="Times New Roman"/>
          <w:sz w:val="24"/>
          <w:szCs w:val="24"/>
        </w:rPr>
      </w:pPr>
      <w:r w:rsidRPr="00AA4B02">
        <w:rPr>
          <w:rFonts w:ascii="Times New Roman" w:hAnsi="Times New Roman"/>
          <w:sz w:val="24"/>
          <w:szCs w:val="24"/>
        </w:rPr>
        <w:t>Health promotion to the older adults helps to arrest the occurrences of discrimination with regard to age in our societies. This would certainly enable the older populace to freely and actively participate in the workforce setup if they so deem it right for them (Commonwealth of Australia, 2012).</w:t>
      </w:r>
    </w:p>
    <w:p w:rsidR="0087477B" w:rsidRPr="00AA4B02" w:rsidRDefault="0087477B" w:rsidP="0087477B">
      <w:pPr>
        <w:numPr>
          <w:ilvl w:val="0"/>
          <w:numId w:val="4"/>
        </w:numPr>
        <w:spacing w:line="480" w:lineRule="auto"/>
        <w:jc w:val="both"/>
        <w:rPr>
          <w:rFonts w:ascii="Times New Roman" w:hAnsi="Times New Roman"/>
          <w:sz w:val="24"/>
          <w:szCs w:val="24"/>
        </w:rPr>
      </w:pPr>
      <w:r w:rsidRPr="00AA4B02">
        <w:rPr>
          <w:rFonts w:ascii="Times New Roman" w:hAnsi="Times New Roman"/>
          <w:sz w:val="24"/>
          <w:szCs w:val="24"/>
        </w:rPr>
        <w:t>On top of the better health for the elderly, health promotions ensure that the older adults are afforded housing facilities. This thus gives them the luxury of living an independent life, further reducing isolation and disconnection from the rest of the population (Ibid).</w:t>
      </w:r>
    </w:p>
    <w:p w:rsidR="0087477B" w:rsidRPr="00AA4B02" w:rsidRDefault="0087477B" w:rsidP="0087477B">
      <w:pPr>
        <w:numPr>
          <w:ilvl w:val="0"/>
          <w:numId w:val="4"/>
        </w:numPr>
        <w:spacing w:before="240" w:line="480" w:lineRule="auto"/>
        <w:jc w:val="both"/>
        <w:rPr>
          <w:rFonts w:ascii="Times New Roman" w:hAnsi="Times New Roman"/>
          <w:sz w:val="24"/>
          <w:szCs w:val="24"/>
        </w:rPr>
      </w:pPr>
      <w:r w:rsidRPr="00AA4B02">
        <w:rPr>
          <w:rFonts w:ascii="Times New Roman" w:hAnsi="Times New Roman"/>
          <w:sz w:val="24"/>
          <w:szCs w:val="24"/>
        </w:rPr>
        <w:t xml:space="preserve"> Also, health promotions enhance the older adults’ learning ability as they are encouraged to always engage in activities that help them stay connected and resilient, hence improving the overall well-being (Krolner et al., 2012).</w:t>
      </w:r>
    </w:p>
    <w:p w:rsidR="0087477B" w:rsidRPr="00AA4B02" w:rsidRDefault="0087477B" w:rsidP="0087477B">
      <w:pPr>
        <w:tabs>
          <w:tab w:val="left" w:pos="1425"/>
        </w:tabs>
        <w:spacing w:line="480" w:lineRule="auto"/>
        <w:jc w:val="both"/>
        <w:rPr>
          <w:rFonts w:ascii="Times New Roman" w:hAnsi="Times New Roman"/>
          <w:i/>
          <w:sz w:val="24"/>
          <w:szCs w:val="24"/>
        </w:rPr>
      </w:pPr>
    </w:p>
    <w:p w:rsidR="0087477B" w:rsidRPr="00AA4B02" w:rsidRDefault="0087477B" w:rsidP="0087477B">
      <w:pPr>
        <w:tabs>
          <w:tab w:val="left" w:pos="1425"/>
        </w:tabs>
        <w:spacing w:line="480" w:lineRule="auto"/>
        <w:jc w:val="both"/>
        <w:rPr>
          <w:rFonts w:ascii="Times New Roman" w:hAnsi="Times New Roman"/>
          <w:i/>
          <w:sz w:val="24"/>
          <w:szCs w:val="24"/>
        </w:rPr>
      </w:pPr>
    </w:p>
    <w:p w:rsidR="0087477B" w:rsidRPr="00AA4B02" w:rsidRDefault="0087477B" w:rsidP="0087477B">
      <w:pPr>
        <w:tabs>
          <w:tab w:val="left" w:pos="1425"/>
        </w:tabs>
        <w:spacing w:line="480" w:lineRule="auto"/>
        <w:jc w:val="both"/>
        <w:rPr>
          <w:rFonts w:ascii="Times New Roman" w:hAnsi="Times New Roman"/>
          <w:i/>
          <w:sz w:val="24"/>
          <w:szCs w:val="24"/>
        </w:rPr>
      </w:pPr>
      <w:r w:rsidRPr="00AA4B02">
        <w:rPr>
          <w:rFonts w:ascii="Times New Roman" w:hAnsi="Times New Roman"/>
          <w:i/>
          <w:sz w:val="24"/>
          <w:szCs w:val="24"/>
        </w:rPr>
        <w:t>Negative aspects of health promotion</w:t>
      </w:r>
    </w:p>
    <w:p w:rsidR="0087477B" w:rsidRPr="00AA4B02" w:rsidRDefault="0087477B" w:rsidP="0087477B">
      <w:pPr>
        <w:numPr>
          <w:ilvl w:val="0"/>
          <w:numId w:val="5"/>
        </w:numPr>
        <w:spacing w:before="240" w:line="480" w:lineRule="auto"/>
        <w:jc w:val="both"/>
        <w:rPr>
          <w:rFonts w:ascii="Times New Roman" w:hAnsi="Times New Roman"/>
          <w:sz w:val="24"/>
          <w:szCs w:val="24"/>
        </w:rPr>
      </w:pPr>
      <w:r w:rsidRPr="00AA4B02">
        <w:rPr>
          <w:rFonts w:ascii="Times New Roman" w:hAnsi="Times New Roman"/>
          <w:sz w:val="24"/>
          <w:szCs w:val="24"/>
        </w:rPr>
        <w:t>Health promotions, however, require a huge amount of time and funding from the Government to realise some of these programmes.  For example, Australian Government has a five-year package worth $3.7 billion that it argues will provide a “better, fairer and more nationally consistent aged-care system.” This may be a costly project to nations that have inadequate funds to undertake a proper health care for the older adults (Commonwealth of Australia, 2012).</w:t>
      </w:r>
    </w:p>
    <w:p w:rsidR="0087477B" w:rsidRPr="00AA4B02" w:rsidRDefault="0087477B" w:rsidP="0087477B">
      <w:pPr>
        <w:pStyle w:val="ListParagraph"/>
        <w:tabs>
          <w:tab w:val="left" w:pos="1425"/>
        </w:tabs>
        <w:spacing w:line="480" w:lineRule="auto"/>
        <w:ind w:left="0"/>
        <w:jc w:val="both"/>
        <w:rPr>
          <w:rFonts w:ascii="Times New Roman" w:hAnsi="Times New Roman"/>
          <w:b/>
          <w:sz w:val="24"/>
          <w:szCs w:val="24"/>
        </w:rPr>
      </w:pPr>
    </w:p>
    <w:p w:rsidR="0087477B" w:rsidRPr="00AA4B02" w:rsidRDefault="0087477B" w:rsidP="0087477B">
      <w:pPr>
        <w:pStyle w:val="ListParagraph"/>
        <w:numPr>
          <w:ilvl w:val="0"/>
          <w:numId w:val="1"/>
        </w:numPr>
        <w:tabs>
          <w:tab w:val="left" w:pos="1425"/>
        </w:tabs>
        <w:spacing w:line="480" w:lineRule="auto"/>
        <w:ind w:left="900"/>
        <w:jc w:val="both"/>
        <w:rPr>
          <w:rFonts w:ascii="Times New Roman" w:hAnsi="Times New Roman"/>
          <w:b/>
          <w:sz w:val="24"/>
          <w:szCs w:val="24"/>
        </w:rPr>
      </w:pPr>
      <w:r w:rsidRPr="00AA4B02">
        <w:rPr>
          <w:rFonts w:ascii="Times New Roman" w:hAnsi="Times New Roman"/>
          <w:b/>
          <w:sz w:val="24"/>
          <w:szCs w:val="24"/>
        </w:rPr>
        <w:t>Visual impairment</w:t>
      </w:r>
    </w:p>
    <w:p w:rsidR="0087477B" w:rsidRPr="00AA4B02" w:rsidRDefault="0087477B" w:rsidP="0087477B">
      <w:pPr>
        <w:tabs>
          <w:tab w:val="left" w:pos="1425"/>
        </w:tabs>
        <w:spacing w:line="480" w:lineRule="auto"/>
        <w:jc w:val="both"/>
        <w:rPr>
          <w:rFonts w:ascii="Times New Roman" w:hAnsi="Times New Roman"/>
          <w:sz w:val="24"/>
          <w:szCs w:val="24"/>
        </w:rPr>
      </w:pPr>
      <w:r w:rsidRPr="00AA4B02">
        <w:rPr>
          <w:rFonts w:ascii="Times New Roman" w:hAnsi="Times New Roman"/>
          <w:sz w:val="24"/>
          <w:szCs w:val="24"/>
        </w:rPr>
        <w:tab/>
        <w:t>Incidence of visual impairment is often seen to increase amongst the ageing group, with more than two-thirds of the populace above 65 years experiencing low-visual ability. Numerous conditions place a person in danger of having visual impairment. These factors relate to not only abnormalities but also regular health problems. The common factors that lead to low vision amongst the elderly population are:</w:t>
      </w:r>
    </w:p>
    <w:p w:rsidR="0087477B" w:rsidRPr="00AA4B02" w:rsidRDefault="0087477B" w:rsidP="0087477B">
      <w:pPr>
        <w:spacing w:after="0" w:line="480" w:lineRule="auto"/>
        <w:jc w:val="both"/>
        <w:rPr>
          <w:rFonts w:ascii="Times New Roman" w:hAnsi="Times New Roman"/>
          <w:i/>
          <w:sz w:val="24"/>
          <w:szCs w:val="24"/>
        </w:rPr>
      </w:pPr>
      <w:r w:rsidRPr="00AA4B02">
        <w:rPr>
          <w:rFonts w:ascii="Times New Roman" w:hAnsi="Times New Roman"/>
          <w:i/>
          <w:sz w:val="24"/>
          <w:szCs w:val="24"/>
        </w:rPr>
        <w:t>Age-related macular degeneration</w:t>
      </w:r>
    </w:p>
    <w:p w:rsidR="0087477B" w:rsidRPr="00AA4B02" w:rsidRDefault="0087477B" w:rsidP="0087477B">
      <w:pPr>
        <w:spacing w:after="0" w:line="480" w:lineRule="auto"/>
        <w:jc w:val="both"/>
        <w:rPr>
          <w:rFonts w:ascii="Times New Roman" w:hAnsi="Times New Roman"/>
          <w:sz w:val="24"/>
          <w:szCs w:val="24"/>
        </w:rPr>
      </w:pPr>
      <w:r w:rsidRPr="00AA4B02">
        <w:rPr>
          <w:rFonts w:ascii="Times New Roman" w:hAnsi="Times New Roman"/>
          <w:sz w:val="24"/>
          <w:szCs w:val="24"/>
        </w:rPr>
        <w:t xml:space="preserve"> </w:t>
      </w:r>
      <w:r w:rsidRPr="00AA4B02">
        <w:rPr>
          <w:rFonts w:ascii="Times New Roman" w:hAnsi="Times New Roman"/>
          <w:sz w:val="24"/>
          <w:szCs w:val="24"/>
        </w:rPr>
        <w:tab/>
        <w:t>It occurs when a person loses his/her central field of vision whereby there is a reduced flow of blood to the macular area. The challenge associated with this may emanate from the continual exposure to bright lighting, usually in our working or living places (WHO).</w:t>
      </w:r>
    </w:p>
    <w:p w:rsidR="0087477B" w:rsidRPr="00AA4B02" w:rsidRDefault="0087477B" w:rsidP="0087477B">
      <w:pPr>
        <w:spacing w:after="0" w:line="480" w:lineRule="auto"/>
        <w:jc w:val="both"/>
        <w:rPr>
          <w:rFonts w:ascii="Times New Roman" w:hAnsi="Times New Roman"/>
          <w:i/>
          <w:sz w:val="24"/>
          <w:szCs w:val="24"/>
        </w:rPr>
      </w:pPr>
      <w:r w:rsidRPr="00AA4B02">
        <w:rPr>
          <w:rFonts w:ascii="Times New Roman" w:hAnsi="Times New Roman"/>
          <w:i/>
          <w:sz w:val="24"/>
          <w:szCs w:val="24"/>
        </w:rPr>
        <w:t>Cataract</w:t>
      </w:r>
    </w:p>
    <w:p w:rsidR="0087477B" w:rsidRPr="00AA4B02" w:rsidRDefault="0087477B" w:rsidP="0087477B">
      <w:pPr>
        <w:spacing w:after="0" w:line="480" w:lineRule="auto"/>
        <w:ind w:firstLine="720"/>
        <w:jc w:val="both"/>
        <w:rPr>
          <w:rFonts w:ascii="Times New Roman" w:hAnsi="Times New Roman"/>
          <w:sz w:val="24"/>
          <w:szCs w:val="24"/>
        </w:rPr>
      </w:pPr>
      <w:r w:rsidRPr="00AA4B02">
        <w:rPr>
          <w:rFonts w:ascii="Times New Roman" w:hAnsi="Times New Roman"/>
          <w:sz w:val="24"/>
          <w:szCs w:val="24"/>
        </w:rPr>
        <w:lastRenderedPageBreak/>
        <w:t>This is where the lens of the eye becomes obscured from the incoming passage of light. People with this kind of disorder lack access to a quality and affordable eye-care programme. Nevertheless, even those who are privileged to access surgical services have to wait for an elongated period to be operated on, whilst some lack timely information and transport to the facilities (WHO).</w:t>
      </w:r>
    </w:p>
    <w:p w:rsidR="0087477B" w:rsidRPr="00AA4B02" w:rsidRDefault="0087477B" w:rsidP="0087477B">
      <w:pPr>
        <w:spacing w:after="0" w:line="480" w:lineRule="auto"/>
        <w:jc w:val="both"/>
        <w:rPr>
          <w:rFonts w:ascii="Times New Roman" w:hAnsi="Times New Roman"/>
          <w:i/>
          <w:sz w:val="24"/>
          <w:szCs w:val="24"/>
        </w:rPr>
      </w:pPr>
      <w:r w:rsidRPr="00AA4B02">
        <w:rPr>
          <w:rFonts w:ascii="Times New Roman" w:hAnsi="Times New Roman"/>
          <w:i/>
          <w:sz w:val="24"/>
          <w:szCs w:val="24"/>
        </w:rPr>
        <w:t xml:space="preserve">Glaucoma </w:t>
      </w:r>
    </w:p>
    <w:p w:rsidR="0087477B" w:rsidRPr="00AA4B02" w:rsidRDefault="0087477B" w:rsidP="0087477B">
      <w:pPr>
        <w:spacing w:after="0" w:line="480" w:lineRule="auto"/>
        <w:ind w:firstLine="720"/>
        <w:jc w:val="both"/>
        <w:rPr>
          <w:rFonts w:ascii="Times New Roman" w:hAnsi="Times New Roman"/>
          <w:sz w:val="24"/>
          <w:szCs w:val="24"/>
        </w:rPr>
      </w:pPr>
      <w:r w:rsidRPr="00AA4B02">
        <w:rPr>
          <w:rFonts w:ascii="Times New Roman" w:hAnsi="Times New Roman"/>
          <w:sz w:val="24"/>
          <w:szCs w:val="24"/>
        </w:rPr>
        <w:t>This condition is determined by both the structural deviation and the functional limitation of the optic neuropathy. Failure to diagnose glaucoma at an earlier stage may lead to the eventual restriction of the visual ability and permanent blindness (WHO).</w:t>
      </w:r>
    </w:p>
    <w:p w:rsidR="0087477B" w:rsidRPr="00AA4B02" w:rsidRDefault="0087477B" w:rsidP="0087477B">
      <w:pPr>
        <w:tabs>
          <w:tab w:val="left" w:pos="1425"/>
        </w:tabs>
        <w:spacing w:line="480" w:lineRule="auto"/>
        <w:jc w:val="both"/>
        <w:rPr>
          <w:rFonts w:ascii="Times New Roman" w:hAnsi="Times New Roman"/>
          <w:i/>
          <w:sz w:val="24"/>
          <w:szCs w:val="24"/>
        </w:rPr>
      </w:pPr>
      <w:r w:rsidRPr="00AA4B02">
        <w:rPr>
          <w:rFonts w:ascii="Times New Roman" w:hAnsi="Times New Roman"/>
          <w:i/>
          <w:sz w:val="24"/>
          <w:szCs w:val="24"/>
        </w:rPr>
        <w:t xml:space="preserve">Diabetic retinopathy </w:t>
      </w:r>
    </w:p>
    <w:p w:rsidR="0087477B" w:rsidRPr="00AA4B02" w:rsidRDefault="0087477B" w:rsidP="0087477B">
      <w:pPr>
        <w:tabs>
          <w:tab w:val="left" w:pos="1425"/>
        </w:tabs>
        <w:spacing w:line="480" w:lineRule="auto"/>
        <w:ind w:firstLine="288"/>
        <w:jc w:val="both"/>
        <w:rPr>
          <w:rFonts w:ascii="Times New Roman" w:hAnsi="Times New Roman"/>
          <w:sz w:val="24"/>
          <w:szCs w:val="24"/>
        </w:rPr>
      </w:pPr>
      <w:r w:rsidRPr="00AA4B02">
        <w:rPr>
          <w:rFonts w:ascii="Times New Roman" w:hAnsi="Times New Roman"/>
          <w:sz w:val="24"/>
          <w:szCs w:val="24"/>
        </w:rPr>
        <w:t>It is caused by vascular changes in the retinal circulation of patients who have had diabetes mellitus for several years. There seem to be differences erupting over the effective diagnosis and medical care of diabetic retinopathy. This provides an impending challenge since, as more individuals of diabetes increase steadily; an improper management of the condition may cause permanent eye damage (WHO).</w:t>
      </w:r>
    </w:p>
    <w:p w:rsidR="0087477B" w:rsidRPr="00AA4B02" w:rsidRDefault="0087477B" w:rsidP="0087477B">
      <w:pPr>
        <w:pStyle w:val="ListParagraph"/>
        <w:numPr>
          <w:ilvl w:val="0"/>
          <w:numId w:val="1"/>
        </w:numPr>
        <w:tabs>
          <w:tab w:val="left" w:pos="1425"/>
        </w:tabs>
        <w:spacing w:line="480" w:lineRule="auto"/>
        <w:ind w:left="900"/>
        <w:jc w:val="both"/>
        <w:rPr>
          <w:rFonts w:ascii="Times New Roman" w:hAnsi="Times New Roman"/>
          <w:b/>
          <w:sz w:val="24"/>
          <w:szCs w:val="24"/>
        </w:rPr>
      </w:pPr>
      <w:r w:rsidRPr="00AA4B02">
        <w:rPr>
          <w:rFonts w:ascii="Times New Roman" w:hAnsi="Times New Roman"/>
          <w:b/>
          <w:sz w:val="24"/>
          <w:szCs w:val="24"/>
        </w:rPr>
        <w:t>Dementia</w:t>
      </w:r>
    </w:p>
    <w:p w:rsidR="0087477B" w:rsidRPr="00AA4B02" w:rsidRDefault="0087477B" w:rsidP="0087477B">
      <w:pPr>
        <w:tabs>
          <w:tab w:val="left" w:pos="1425"/>
        </w:tabs>
        <w:spacing w:line="480" w:lineRule="auto"/>
        <w:jc w:val="both"/>
        <w:rPr>
          <w:rFonts w:ascii="Times New Roman" w:hAnsi="Times New Roman"/>
          <w:sz w:val="24"/>
          <w:szCs w:val="24"/>
        </w:rPr>
      </w:pPr>
      <w:r w:rsidRPr="00AA4B02">
        <w:rPr>
          <w:rFonts w:ascii="Times New Roman" w:hAnsi="Times New Roman"/>
          <w:sz w:val="24"/>
          <w:szCs w:val="24"/>
        </w:rPr>
        <w:t xml:space="preserve">        Dementia is not a disease but rather a group of symptoms occurring at the same time and involves progressive impairment of an individual’s memory, attention, reasoning, and orientation (Gilman, 2010). An affected person will experience acute changes in their social activities, work, relationships or daily activities like personal care.</w:t>
      </w:r>
    </w:p>
    <w:p w:rsidR="0087477B" w:rsidRPr="00AA4B02" w:rsidRDefault="0087477B" w:rsidP="0087477B">
      <w:pPr>
        <w:tabs>
          <w:tab w:val="left" w:pos="1425"/>
        </w:tabs>
        <w:spacing w:line="480" w:lineRule="auto"/>
        <w:jc w:val="both"/>
        <w:rPr>
          <w:rFonts w:ascii="Times New Roman" w:hAnsi="Times New Roman"/>
          <w:b/>
          <w:sz w:val="24"/>
          <w:szCs w:val="24"/>
        </w:rPr>
      </w:pPr>
      <w:r w:rsidRPr="00AA4B02">
        <w:rPr>
          <w:rFonts w:ascii="Times New Roman" w:hAnsi="Times New Roman"/>
          <w:b/>
          <w:sz w:val="24"/>
          <w:szCs w:val="24"/>
        </w:rPr>
        <w:t>Aspects of prevention</w:t>
      </w:r>
    </w:p>
    <w:p w:rsidR="0087477B" w:rsidRPr="00AA4B02" w:rsidRDefault="0087477B" w:rsidP="0087477B">
      <w:pPr>
        <w:pStyle w:val="ListParagraph"/>
        <w:numPr>
          <w:ilvl w:val="0"/>
          <w:numId w:val="2"/>
        </w:numPr>
        <w:tabs>
          <w:tab w:val="left" w:pos="1425"/>
        </w:tabs>
        <w:spacing w:line="480" w:lineRule="auto"/>
        <w:jc w:val="both"/>
        <w:rPr>
          <w:rFonts w:ascii="Times New Roman" w:hAnsi="Times New Roman"/>
          <w:i/>
          <w:sz w:val="24"/>
          <w:szCs w:val="24"/>
        </w:rPr>
      </w:pPr>
      <w:r w:rsidRPr="00AA4B02">
        <w:rPr>
          <w:rFonts w:ascii="Times New Roman" w:hAnsi="Times New Roman"/>
          <w:i/>
          <w:sz w:val="24"/>
          <w:szCs w:val="24"/>
        </w:rPr>
        <w:t>Exercise</w:t>
      </w:r>
    </w:p>
    <w:p w:rsidR="0087477B" w:rsidRPr="00AA4B02" w:rsidRDefault="0087477B" w:rsidP="0087477B">
      <w:pPr>
        <w:pStyle w:val="ListParagraph"/>
        <w:tabs>
          <w:tab w:val="left" w:pos="1425"/>
        </w:tabs>
        <w:spacing w:line="480" w:lineRule="auto"/>
        <w:ind w:left="1080"/>
        <w:jc w:val="both"/>
        <w:rPr>
          <w:rFonts w:ascii="Times New Roman" w:hAnsi="Times New Roman"/>
          <w:sz w:val="24"/>
          <w:szCs w:val="24"/>
        </w:rPr>
      </w:pPr>
      <w:r w:rsidRPr="00AA4B02">
        <w:rPr>
          <w:rFonts w:ascii="Times New Roman" w:hAnsi="Times New Roman"/>
          <w:sz w:val="24"/>
          <w:szCs w:val="24"/>
        </w:rPr>
        <w:lastRenderedPageBreak/>
        <w:t>World over, there are millions of cases of dementia that may arise due to lack of physical body exercise (</w:t>
      </w:r>
      <w:r w:rsidRPr="00AA4B02">
        <w:rPr>
          <w:rFonts w:ascii="Times New Roman" w:eastAsia="Times New Roman" w:hAnsi="Times New Roman"/>
          <w:sz w:val="24"/>
          <w:szCs w:val="24"/>
        </w:rPr>
        <w:t>Alzheimer’s Australia, 2015</w:t>
      </w:r>
      <w:r w:rsidRPr="00AA4B02">
        <w:rPr>
          <w:rFonts w:ascii="Times New Roman" w:hAnsi="Times New Roman"/>
          <w:sz w:val="24"/>
          <w:szCs w:val="24"/>
        </w:rPr>
        <w:t>). It is well-known health-wise that exercising more often reduces the risk of heart disease and obesity, and, now, dementia is amongst these.</w:t>
      </w:r>
    </w:p>
    <w:p w:rsidR="0087477B" w:rsidRPr="00AA4B02" w:rsidRDefault="0087477B" w:rsidP="0087477B">
      <w:pPr>
        <w:pStyle w:val="ListParagraph"/>
        <w:numPr>
          <w:ilvl w:val="0"/>
          <w:numId w:val="2"/>
        </w:numPr>
        <w:tabs>
          <w:tab w:val="left" w:pos="1425"/>
        </w:tabs>
        <w:spacing w:line="480" w:lineRule="auto"/>
        <w:jc w:val="both"/>
        <w:rPr>
          <w:rFonts w:ascii="Times New Roman" w:hAnsi="Times New Roman"/>
          <w:i/>
          <w:sz w:val="24"/>
          <w:szCs w:val="24"/>
        </w:rPr>
      </w:pPr>
      <w:r w:rsidRPr="00AA4B02">
        <w:rPr>
          <w:rFonts w:ascii="Times New Roman" w:hAnsi="Times New Roman"/>
          <w:i/>
          <w:sz w:val="24"/>
          <w:szCs w:val="24"/>
        </w:rPr>
        <w:t>Eat a healthy diet</w:t>
      </w:r>
    </w:p>
    <w:p w:rsidR="0087477B" w:rsidRPr="00AA4B02" w:rsidRDefault="0087477B" w:rsidP="0087477B">
      <w:pPr>
        <w:pStyle w:val="ListParagraph"/>
        <w:tabs>
          <w:tab w:val="left" w:pos="1425"/>
        </w:tabs>
        <w:spacing w:line="480" w:lineRule="auto"/>
        <w:ind w:left="1080"/>
        <w:jc w:val="both"/>
        <w:rPr>
          <w:rFonts w:ascii="Times New Roman" w:hAnsi="Times New Roman"/>
          <w:sz w:val="24"/>
          <w:szCs w:val="24"/>
        </w:rPr>
      </w:pPr>
      <w:r w:rsidRPr="00AA4B02">
        <w:rPr>
          <w:rFonts w:ascii="Times New Roman" w:hAnsi="Times New Roman"/>
          <w:sz w:val="24"/>
          <w:szCs w:val="24"/>
        </w:rPr>
        <w:t>Antioxidants, such as Omega 3 and vitamins C &amp; E, have been emphasised to reduce free radicles that may harm the brain. A balanced diet full of vegetables and fruits decreases the risk of heart diseases. Thus these nutrients are necessary to affect the risk associated with dementia (ADI, 2014).</w:t>
      </w:r>
    </w:p>
    <w:p w:rsidR="0087477B" w:rsidRPr="00AA4B02" w:rsidRDefault="0087477B" w:rsidP="0087477B">
      <w:pPr>
        <w:pStyle w:val="ListParagraph"/>
        <w:tabs>
          <w:tab w:val="left" w:pos="1425"/>
        </w:tabs>
        <w:ind w:left="1080"/>
        <w:rPr>
          <w:rFonts w:ascii="Times New Roman" w:hAnsi="Times New Roman"/>
          <w:sz w:val="24"/>
          <w:szCs w:val="24"/>
        </w:rPr>
      </w:pPr>
    </w:p>
    <w:p w:rsidR="0087477B" w:rsidRPr="00AA4B02" w:rsidRDefault="0087477B" w:rsidP="0087477B">
      <w:pPr>
        <w:tabs>
          <w:tab w:val="left" w:pos="1425"/>
        </w:tabs>
        <w:rPr>
          <w:rFonts w:ascii="Times New Roman" w:hAnsi="Times New Roman"/>
          <w:sz w:val="24"/>
          <w:szCs w:val="24"/>
        </w:rPr>
      </w:pPr>
    </w:p>
    <w:p w:rsidR="0087477B" w:rsidRPr="00AA4B02" w:rsidRDefault="0087477B" w:rsidP="0087477B">
      <w:pPr>
        <w:tabs>
          <w:tab w:val="left" w:pos="1425"/>
        </w:tabs>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jc w:val="center"/>
        <w:rPr>
          <w:rFonts w:ascii="Times New Roman" w:hAnsi="Times New Roman"/>
          <w:sz w:val="24"/>
          <w:szCs w:val="24"/>
        </w:rPr>
      </w:pPr>
      <w:r w:rsidRPr="00AA4B02">
        <w:rPr>
          <w:rFonts w:ascii="Times New Roman" w:hAnsi="Times New Roman"/>
          <w:sz w:val="24"/>
          <w:szCs w:val="24"/>
        </w:rPr>
        <w:t>References</w:t>
      </w:r>
    </w:p>
    <w:p w:rsidR="0087477B" w:rsidRPr="00AA4B02" w:rsidRDefault="0087477B" w:rsidP="0087477B">
      <w:pPr>
        <w:spacing w:after="0" w:line="480" w:lineRule="auto"/>
        <w:rPr>
          <w:rFonts w:ascii="Times New Roman" w:hAnsi="Times New Roman"/>
          <w:sz w:val="24"/>
          <w:szCs w:val="24"/>
        </w:rPr>
      </w:pPr>
      <w:r w:rsidRPr="00AA4B02">
        <w:rPr>
          <w:rFonts w:ascii="Times New Roman" w:hAnsi="Times New Roman"/>
          <w:sz w:val="24"/>
          <w:szCs w:val="24"/>
        </w:rPr>
        <w:t>Alzheimer’s Association. Alzheimer’s disease facts and figures. 2014.</w:t>
      </w:r>
    </w:p>
    <w:p w:rsidR="0087477B" w:rsidRPr="00AA4B02" w:rsidRDefault="0087477B" w:rsidP="0087477B">
      <w:pPr>
        <w:spacing w:after="0" w:line="480" w:lineRule="auto"/>
        <w:rPr>
          <w:rFonts w:ascii="Times New Roman" w:hAnsi="Times New Roman"/>
          <w:sz w:val="24"/>
          <w:szCs w:val="24"/>
        </w:rPr>
      </w:pPr>
      <w:r w:rsidRPr="00AA4B02">
        <w:rPr>
          <w:rFonts w:ascii="Times New Roman" w:hAnsi="Times New Roman"/>
          <w:sz w:val="24"/>
          <w:szCs w:val="24"/>
        </w:rPr>
        <w:t xml:space="preserve"> </w:t>
      </w:r>
      <w:r w:rsidRPr="00AA4B02">
        <w:rPr>
          <w:rFonts w:ascii="Times New Roman" w:hAnsi="Times New Roman"/>
          <w:sz w:val="24"/>
          <w:szCs w:val="24"/>
        </w:rPr>
        <w:tab/>
        <w:t xml:space="preserve">Retrieved August 4, 2017, from </w:t>
      </w:r>
      <w:hyperlink r:id="rId7" w:history="1">
        <w:r w:rsidRPr="00AA4B02">
          <w:rPr>
            <w:sz w:val="24"/>
            <w:szCs w:val="24"/>
          </w:rPr>
          <w:t>http://www.alz.org/documents_custom/report_alzfactsfigures2010.pdf</w:t>
        </w:r>
      </w:hyperlink>
      <w:r w:rsidRPr="00AA4B02">
        <w:rPr>
          <w:rFonts w:ascii="Times New Roman" w:hAnsi="Times New Roman"/>
          <w:sz w:val="24"/>
          <w:szCs w:val="24"/>
        </w:rPr>
        <w:t>.</w:t>
      </w:r>
    </w:p>
    <w:p w:rsidR="0087477B" w:rsidRPr="00AA4B02" w:rsidRDefault="0087477B" w:rsidP="0087477B">
      <w:pPr>
        <w:spacing w:after="0" w:line="480" w:lineRule="auto"/>
        <w:ind w:firstLine="720"/>
        <w:rPr>
          <w:rFonts w:ascii="Times New Roman" w:hAnsi="Times New Roman"/>
          <w:sz w:val="24"/>
          <w:szCs w:val="24"/>
        </w:rPr>
      </w:pPr>
    </w:p>
    <w:p w:rsidR="0087477B" w:rsidRPr="00AA4B02" w:rsidRDefault="0087477B" w:rsidP="0087477B">
      <w:pPr>
        <w:spacing w:after="0" w:line="480" w:lineRule="auto"/>
        <w:rPr>
          <w:rFonts w:ascii="Times New Roman" w:eastAsia="Times New Roman" w:hAnsi="Times New Roman"/>
          <w:sz w:val="24"/>
          <w:szCs w:val="24"/>
        </w:rPr>
      </w:pPr>
      <w:r w:rsidRPr="00AA4B02">
        <w:rPr>
          <w:rFonts w:ascii="Times New Roman" w:eastAsia="Times New Roman" w:hAnsi="Times New Roman"/>
          <w:sz w:val="24"/>
          <w:szCs w:val="24"/>
        </w:rPr>
        <w:t>Alzheimer’s Australia. Physical exercise and dementia. 2015.</w:t>
      </w:r>
    </w:p>
    <w:p w:rsidR="0087477B" w:rsidRPr="00AA4B02" w:rsidRDefault="0087477B" w:rsidP="0087477B">
      <w:pPr>
        <w:spacing w:after="0" w:line="480" w:lineRule="auto"/>
        <w:ind w:left="720"/>
        <w:rPr>
          <w:rFonts w:ascii="Times New Roman" w:hAnsi="Times New Roman"/>
          <w:sz w:val="24"/>
          <w:szCs w:val="24"/>
        </w:rPr>
      </w:pPr>
      <w:r w:rsidRPr="00AA4B02">
        <w:rPr>
          <w:rFonts w:ascii="Times New Roman" w:hAnsi="Times New Roman"/>
          <w:sz w:val="24"/>
          <w:szCs w:val="24"/>
        </w:rPr>
        <w:t xml:space="preserve">Retrieved August 5, 2017, </w:t>
      </w:r>
      <w:hyperlink r:id="rId8" w:history="1">
        <w:r w:rsidRPr="00AA4B02">
          <w:rPr>
            <w:sz w:val="24"/>
            <w:szCs w:val="24"/>
          </w:rPr>
          <w:t>www.fightdementia.org.au/files/helpsheets/Helpsheet-DementiaQandA08-PhysicalExercise_english.pdf</w:t>
        </w:r>
      </w:hyperlink>
    </w:p>
    <w:p w:rsidR="0087477B" w:rsidRPr="00AA4B02" w:rsidRDefault="0087477B" w:rsidP="0087477B">
      <w:pPr>
        <w:spacing w:after="0" w:line="480" w:lineRule="auto"/>
        <w:ind w:left="720"/>
        <w:rPr>
          <w:rFonts w:ascii="Times New Roman" w:eastAsia="Times New Roman" w:hAnsi="Times New Roman"/>
          <w:sz w:val="24"/>
          <w:szCs w:val="24"/>
        </w:rPr>
      </w:pPr>
    </w:p>
    <w:p w:rsidR="0087477B" w:rsidRPr="00AA4B02" w:rsidRDefault="0087477B" w:rsidP="0087477B">
      <w:pPr>
        <w:spacing w:after="0" w:line="480" w:lineRule="auto"/>
        <w:rPr>
          <w:rFonts w:ascii="Times New Roman" w:hAnsi="Times New Roman"/>
          <w:sz w:val="24"/>
          <w:szCs w:val="24"/>
        </w:rPr>
      </w:pPr>
      <w:r w:rsidRPr="00AA4B02">
        <w:rPr>
          <w:rFonts w:ascii="Times New Roman" w:hAnsi="Times New Roman"/>
          <w:sz w:val="24"/>
          <w:szCs w:val="24"/>
        </w:rPr>
        <w:t xml:space="preserve">Alzheimer’s Disease International. (2014). Dementia and risk reduction: An analysis of protective and modifiable factors. </w:t>
      </w:r>
    </w:p>
    <w:p w:rsidR="0087477B" w:rsidRPr="00AA4B02" w:rsidRDefault="0087477B" w:rsidP="0087477B">
      <w:pPr>
        <w:spacing w:after="0" w:line="480" w:lineRule="auto"/>
        <w:ind w:firstLine="720"/>
        <w:rPr>
          <w:rFonts w:ascii="Times New Roman" w:hAnsi="Times New Roman"/>
          <w:sz w:val="24"/>
          <w:szCs w:val="24"/>
        </w:rPr>
      </w:pPr>
      <w:r w:rsidRPr="00AA4B02">
        <w:rPr>
          <w:rFonts w:ascii="Times New Roman" w:hAnsi="Times New Roman"/>
          <w:sz w:val="24"/>
          <w:szCs w:val="24"/>
        </w:rPr>
        <w:t xml:space="preserve">Retrieved August 5, 2017, </w:t>
      </w:r>
      <w:hyperlink r:id="rId9" w:history="1">
        <w:r w:rsidRPr="00AA4B02">
          <w:rPr>
            <w:sz w:val="24"/>
            <w:szCs w:val="24"/>
          </w:rPr>
          <w:t>http://www.alz.co.uk/research/world</w:t>
        </w:r>
      </w:hyperlink>
      <w:r w:rsidRPr="00AA4B02">
        <w:rPr>
          <w:rFonts w:ascii="Times New Roman" w:hAnsi="Times New Roman"/>
          <w:sz w:val="24"/>
          <w:szCs w:val="24"/>
        </w:rPr>
        <w:t xml:space="preserve"> report. </w:t>
      </w:r>
    </w:p>
    <w:p w:rsidR="0087477B" w:rsidRPr="00AA4B02" w:rsidRDefault="0087477B" w:rsidP="0087477B">
      <w:pPr>
        <w:spacing w:after="0" w:line="480" w:lineRule="auto"/>
        <w:rPr>
          <w:rFonts w:ascii="Times New Roman" w:hAnsi="Times New Roman"/>
          <w:sz w:val="24"/>
          <w:szCs w:val="24"/>
        </w:rPr>
      </w:pPr>
      <w:r w:rsidRPr="00AA4B02">
        <w:rPr>
          <w:rFonts w:ascii="Times New Roman" w:hAnsi="Times New Roman"/>
          <w:sz w:val="24"/>
          <w:szCs w:val="24"/>
        </w:rPr>
        <w:t xml:space="preserve">Barnes, D., and Yaffe, K. (2011). The projected impact of risk factor reduction on Alzheimer’s </w:t>
      </w:r>
    </w:p>
    <w:p w:rsidR="0087477B" w:rsidRPr="00AA4B02" w:rsidRDefault="0087477B" w:rsidP="0087477B">
      <w:pPr>
        <w:spacing w:after="0" w:line="480" w:lineRule="auto"/>
        <w:ind w:firstLine="720"/>
        <w:rPr>
          <w:rFonts w:ascii="Times New Roman" w:hAnsi="Times New Roman"/>
          <w:sz w:val="24"/>
          <w:szCs w:val="24"/>
        </w:rPr>
      </w:pPr>
      <w:r w:rsidRPr="00AA4B02">
        <w:rPr>
          <w:rFonts w:ascii="Times New Roman" w:hAnsi="Times New Roman"/>
          <w:sz w:val="24"/>
          <w:szCs w:val="24"/>
        </w:rPr>
        <w:t xml:space="preserve">disease prevalence. </w:t>
      </w:r>
      <w:r w:rsidRPr="00AA4B02">
        <w:rPr>
          <w:rFonts w:ascii="Times New Roman" w:hAnsi="Times New Roman"/>
          <w:i/>
          <w:sz w:val="24"/>
          <w:szCs w:val="24"/>
        </w:rPr>
        <w:t>Lancet Neurology</w:t>
      </w:r>
      <w:r w:rsidRPr="00AA4B02">
        <w:rPr>
          <w:rFonts w:ascii="Times New Roman" w:hAnsi="Times New Roman"/>
          <w:sz w:val="24"/>
          <w:szCs w:val="24"/>
        </w:rPr>
        <w:t xml:space="preserve">, </w:t>
      </w:r>
      <w:r w:rsidRPr="00AA4B02">
        <w:rPr>
          <w:rFonts w:ascii="Times New Roman" w:hAnsi="Times New Roman"/>
          <w:i/>
          <w:sz w:val="24"/>
          <w:szCs w:val="24"/>
        </w:rPr>
        <w:t>10</w:t>
      </w:r>
      <w:r w:rsidRPr="00AA4B02">
        <w:rPr>
          <w:rFonts w:ascii="Times New Roman" w:hAnsi="Times New Roman"/>
          <w:sz w:val="24"/>
          <w:szCs w:val="24"/>
        </w:rPr>
        <w:t>, 820.</w:t>
      </w:r>
    </w:p>
    <w:p w:rsidR="0087477B" w:rsidRPr="00AA4B02" w:rsidRDefault="0087477B" w:rsidP="0087477B">
      <w:pPr>
        <w:spacing w:after="0" w:line="480" w:lineRule="auto"/>
        <w:rPr>
          <w:rFonts w:ascii="Times New Roman" w:hAnsi="Times New Roman"/>
          <w:sz w:val="24"/>
          <w:szCs w:val="24"/>
        </w:rPr>
      </w:pPr>
      <w:r w:rsidRPr="00AA4B02">
        <w:rPr>
          <w:rFonts w:ascii="Times New Roman" w:hAnsi="Times New Roman"/>
          <w:sz w:val="24"/>
          <w:szCs w:val="24"/>
        </w:rPr>
        <w:t xml:space="preserve">Commonwealth of Australia (2012). </w:t>
      </w:r>
      <w:r w:rsidRPr="00AA4B02">
        <w:rPr>
          <w:rFonts w:ascii="Times New Roman" w:hAnsi="Times New Roman"/>
          <w:i/>
          <w:sz w:val="24"/>
          <w:szCs w:val="24"/>
        </w:rPr>
        <w:t xml:space="preserve">Living longer. Living better. </w:t>
      </w:r>
      <w:r w:rsidRPr="00AA4B02">
        <w:rPr>
          <w:rFonts w:ascii="Times New Roman" w:hAnsi="Times New Roman"/>
          <w:sz w:val="24"/>
          <w:szCs w:val="24"/>
        </w:rPr>
        <w:t>Department of Health and Ageing.</w:t>
      </w:r>
      <w:r w:rsidRPr="00AA4B02">
        <w:rPr>
          <w:rFonts w:ascii="Times New Roman" w:hAnsi="Times New Roman"/>
          <w:i/>
          <w:sz w:val="24"/>
          <w:szCs w:val="24"/>
        </w:rPr>
        <w:t xml:space="preserve"> </w:t>
      </w:r>
      <w:r w:rsidRPr="00AA4B02">
        <w:rPr>
          <w:rFonts w:ascii="Times New Roman" w:hAnsi="Times New Roman"/>
          <w:sz w:val="24"/>
          <w:szCs w:val="24"/>
        </w:rPr>
        <w:t>Canberra, Australia.</w:t>
      </w:r>
    </w:p>
    <w:p w:rsidR="0087477B" w:rsidRPr="00AA4B02" w:rsidRDefault="0087477B" w:rsidP="0087477B">
      <w:pPr>
        <w:spacing w:after="0" w:line="480" w:lineRule="auto"/>
        <w:rPr>
          <w:rFonts w:ascii="Times New Roman" w:eastAsia="Times New Roman" w:hAnsi="Times New Roman"/>
          <w:sz w:val="24"/>
          <w:szCs w:val="24"/>
        </w:rPr>
      </w:pPr>
      <w:r w:rsidRPr="00AA4B02">
        <w:rPr>
          <w:rFonts w:ascii="Times New Roman" w:eastAsia="Times New Roman" w:hAnsi="Times New Roman"/>
          <w:sz w:val="24"/>
          <w:szCs w:val="24"/>
        </w:rPr>
        <w:t xml:space="preserve">Krølner R. Suldrup Jørgensen T. Aarestrup A. K. Hjøllund Christiansen A. Christensen A. M. </w:t>
      </w:r>
    </w:p>
    <w:p w:rsidR="0087477B" w:rsidRPr="00AA4B02" w:rsidRDefault="0087477B" w:rsidP="0087477B">
      <w:pPr>
        <w:spacing w:after="0" w:line="480" w:lineRule="auto"/>
        <w:ind w:left="720"/>
        <w:rPr>
          <w:rFonts w:ascii="Times New Roman" w:eastAsia="Times New Roman" w:hAnsi="Times New Roman"/>
          <w:sz w:val="24"/>
          <w:szCs w:val="24"/>
        </w:rPr>
      </w:pPr>
      <w:r w:rsidRPr="00AA4B02">
        <w:rPr>
          <w:rFonts w:ascii="Times New Roman" w:eastAsia="Times New Roman" w:hAnsi="Times New Roman"/>
          <w:sz w:val="24"/>
          <w:szCs w:val="24"/>
        </w:rPr>
        <w:t xml:space="preserve">Due P. (2012). The boost study: Design of a school and community-based randomized trial to promote fruit and vegetable consumption among teenagers. </w:t>
      </w:r>
      <w:r w:rsidRPr="00AA4B02">
        <w:rPr>
          <w:rFonts w:ascii="Times New Roman" w:eastAsia="Times New Roman" w:hAnsi="Times New Roman"/>
          <w:i/>
          <w:sz w:val="24"/>
          <w:szCs w:val="24"/>
        </w:rPr>
        <w:t>BMC</w:t>
      </w:r>
      <w:r w:rsidRPr="00AA4B02">
        <w:rPr>
          <w:rFonts w:ascii="Times New Roman" w:eastAsia="Times New Roman" w:hAnsi="Times New Roman"/>
          <w:sz w:val="24"/>
          <w:szCs w:val="24"/>
        </w:rPr>
        <w:t xml:space="preserve"> </w:t>
      </w:r>
      <w:r w:rsidRPr="00AA4B02">
        <w:rPr>
          <w:rFonts w:ascii="Times New Roman" w:eastAsia="Times New Roman" w:hAnsi="Times New Roman"/>
          <w:i/>
          <w:sz w:val="24"/>
          <w:szCs w:val="24"/>
        </w:rPr>
        <w:t>Public Health, 12</w:t>
      </w:r>
      <w:r w:rsidRPr="00AA4B02">
        <w:rPr>
          <w:rFonts w:ascii="Times New Roman" w:eastAsia="Times New Roman" w:hAnsi="Times New Roman"/>
          <w:sz w:val="24"/>
          <w:szCs w:val="24"/>
        </w:rPr>
        <w:t xml:space="preserve">, 191. </w:t>
      </w:r>
    </w:p>
    <w:p w:rsidR="0087477B" w:rsidRPr="00AA4B02" w:rsidRDefault="0087477B" w:rsidP="0087477B">
      <w:pPr>
        <w:pStyle w:val="Heading1"/>
        <w:spacing w:line="480" w:lineRule="auto"/>
        <w:rPr>
          <w:b w:val="0"/>
          <w:sz w:val="24"/>
          <w:szCs w:val="24"/>
        </w:rPr>
      </w:pPr>
      <w:r w:rsidRPr="00AA4B02">
        <w:rPr>
          <w:b w:val="0"/>
          <w:sz w:val="24"/>
          <w:szCs w:val="24"/>
        </w:rPr>
        <w:t>Jump, J. (2015). Family youth and community sciences. Family relationships in an aging</w:t>
      </w:r>
      <w:r w:rsidRPr="00AA4B02">
        <w:rPr>
          <w:sz w:val="24"/>
          <w:szCs w:val="24"/>
        </w:rPr>
        <w:tab/>
      </w:r>
      <w:r w:rsidRPr="00AA4B02">
        <w:rPr>
          <w:b w:val="0"/>
          <w:sz w:val="24"/>
          <w:szCs w:val="24"/>
        </w:rPr>
        <w:t xml:space="preserve">society. Retrieved August 5, 2017, from </w:t>
      </w:r>
      <w:hyperlink r:id="rId10" w:history="1">
        <w:r w:rsidRPr="00AA4B02">
          <w:rPr>
            <w:sz w:val="24"/>
            <w:szCs w:val="24"/>
          </w:rPr>
          <w:t>http://edis.ifas.ufl.edu/fy625</w:t>
        </w:r>
      </w:hyperlink>
      <w:r w:rsidRPr="00AA4B02">
        <w:rPr>
          <w:b w:val="0"/>
          <w:sz w:val="24"/>
          <w:szCs w:val="24"/>
        </w:rPr>
        <w:t xml:space="preserve">. </w:t>
      </w:r>
    </w:p>
    <w:p w:rsidR="0087477B" w:rsidRPr="00AA4B02" w:rsidRDefault="0087477B" w:rsidP="0087477B">
      <w:pPr>
        <w:spacing w:after="0" w:line="480" w:lineRule="auto"/>
        <w:rPr>
          <w:rFonts w:ascii="Times New Roman" w:hAnsi="Times New Roman"/>
          <w:sz w:val="24"/>
          <w:szCs w:val="24"/>
        </w:rPr>
      </w:pPr>
    </w:p>
    <w:p w:rsidR="0087477B" w:rsidRPr="00AA4B02" w:rsidRDefault="0087477B" w:rsidP="0087477B">
      <w:pPr>
        <w:spacing w:after="0" w:line="480" w:lineRule="auto"/>
        <w:rPr>
          <w:rFonts w:ascii="Times New Roman" w:hAnsi="Times New Roman"/>
          <w:sz w:val="24"/>
          <w:szCs w:val="24"/>
        </w:rPr>
      </w:pPr>
      <w:r w:rsidRPr="00AA4B02">
        <w:rPr>
          <w:rFonts w:ascii="Times New Roman" w:hAnsi="Times New Roman"/>
          <w:sz w:val="24"/>
          <w:szCs w:val="24"/>
        </w:rPr>
        <w:t xml:space="preserve">Nutrition and Health Promotion in Older Adults. </w:t>
      </w:r>
      <w:r w:rsidRPr="00AA4B02">
        <w:rPr>
          <w:rFonts w:ascii="Times New Roman" w:hAnsi="Times New Roman"/>
          <w:sz w:val="24"/>
          <w:szCs w:val="24"/>
        </w:rPr>
        <w:tab/>
      </w:r>
    </w:p>
    <w:p w:rsidR="0087477B" w:rsidRPr="00AA4B02" w:rsidRDefault="0087477B" w:rsidP="0087477B">
      <w:pPr>
        <w:spacing w:after="0" w:line="480" w:lineRule="auto"/>
        <w:ind w:firstLine="720"/>
        <w:rPr>
          <w:rFonts w:ascii="Times New Roman" w:hAnsi="Times New Roman"/>
          <w:sz w:val="24"/>
          <w:szCs w:val="24"/>
        </w:rPr>
      </w:pPr>
      <w:r w:rsidRPr="00AA4B02">
        <w:rPr>
          <w:rFonts w:ascii="Times New Roman" w:hAnsi="Times New Roman"/>
          <w:sz w:val="24"/>
          <w:szCs w:val="24"/>
        </w:rPr>
        <w:t xml:space="preserve">Retrieved August 5, 2017, from </w:t>
      </w:r>
      <w:hyperlink r:id="rId11" w:history="1">
        <w:r w:rsidRPr="00AA4B02">
          <w:rPr>
            <w:sz w:val="24"/>
            <w:szCs w:val="24"/>
          </w:rPr>
          <w:t>https://www.ncbi.nlm.nih.gov/pubmed/11730237</w:t>
        </w:r>
      </w:hyperlink>
      <w:r w:rsidRPr="00AA4B02">
        <w:rPr>
          <w:rFonts w:ascii="Times New Roman" w:hAnsi="Times New Roman"/>
          <w:sz w:val="24"/>
          <w:szCs w:val="24"/>
        </w:rPr>
        <w:t xml:space="preserve"> </w:t>
      </w:r>
    </w:p>
    <w:p w:rsidR="0087477B" w:rsidRPr="00AA4B02" w:rsidRDefault="0087477B" w:rsidP="0087477B">
      <w:pPr>
        <w:spacing w:after="0" w:line="480" w:lineRule="auto"/>
        <w:ind w:firstLine="720"/>
        <w:rPr>
          <w:rFonts w:ascii="Times New Roman" w:hAnsi="Times New Roman"/>
          <w:sz w:val="24"/>
          <w:szCs w:val="24"/>
        </w:rPr>
      </w:pPr>
    </w:p>
    <w:p w:rsidR="0087477B" w:rsidRPr="00AA4B02" w:rsidRDefault="0087477B" w:rsidP="0087477B">
      <w:pPr>
        <w:spacing w:line="480" w:lineRule="auto"/>
        <w:rPr>
          <w:rFonts w:ascii="Times New Roman" w:hAnsi="Times New Roman"/>
          <w:sz w:val="24"/>
          <w:szCs w:val="24"/>
        </w:rPr>
      </w:pPr>
      <w:r w:rsidRPr="00AA4B02">
        <w:rPr>
          <w:rFonts w:ascii="Times New Roman" w:eastAsia="Times New Roman" w:hAnsi="Times New Roman"/>
          <w:bCs/>
          <w:sz w:val="24"/>
          <w:szCs w:val="24"/>
        </w:rPr>
        <w:t xml:space="preserve">‘Side effects’ of health promotion: An example from Austrian schools. </w:t>
      </w:r>
      <w:r w:rsidRPr="00AA4B02">
        <w:rPr>
          <w:rFonts w:ascii="Times New Roman" w:hAnsi="Times New Roman"/>
          <w:sz w:val="24"/>
          <w:szCs w:val="24"/>
        </w:rPr>
        <w:t>Health Promotion</w:t>
      </w:r>
    </w:p>
    <w:p w:rsidR="0087477B" w:rsidRPr="00AA4B02" w:rsidRDefault="0087477B" w:rsidP="0087477B">
      <w:pPr>
        <w:spacing w:line="480" w:lineRule="auto"/>
        <w:ind w:left="720"/>
        <w:rPr>
          <w:rFonts w:ascii="Times New Roman" w:hAnsi="Times New Roman"/>
          <w:sz w:val="24"/>
          <w:szCs w:val="24"/>
        </w:rPr>
      </w:pPr>
      <w:r w:rsidRPr="00AA4B02">
        <w:rPr>
          <w:rFonts w:ascii="Times New Roman" w:hAnsi="Times New Roman"/>
          <w:sz w:val="24"/>
          <w:szCs w:val="24"/>
        </w:rPr>
        <w:t xml:space="preserve">International, </w:t>
      </w:r>
      <w:r w:rsidRPr="00AA4B02">
        <w:rPr>
          <w:rFonts w:ascii="Times New Roman" w:hAnsi="Times New Roman"/>
          <w:i/>
          <w:sz w:val="24"/>
          <w:szCs w:val="24"/>
        </w:rPr>
        <w:t>32</w:t>
      </w:r>
      <w:r w:rsidRPr="00AA4B02">
        <w:rPr>
          <w:rFonts w:ascii="Times New Roman" w:hAnsi="Times New Roman"/>
          <w:sz w:val="24"/>
          <w:szCs w:val="24"/>
        </w:rPr>
        <w:t xml:space="preserve">(1), 1, February 2017, pages 157–166, Retrieved from </w:t>
      </w:r>
      <w:hyperlink r:id="rId12" w:history="1">
        <w:r w:rsidRPr="00AA4B02">
          <w:rPr>
            <w:sz w:val="24"/>
            <w:szCs w:val="24"/>
          </w:rPr>
          <w:t>https://doi.org/10.1093/heapro/dau054</w:t>
        </w:r>
      </w:hyperlink>
    </w:p>
    <w:p w:rsidR="0087477B" w:rsidRPr="00AA4B02" w:rsidRDefault="0087477B" w:rsidP="0087477B">
      <w:pPr>
        <w:spacing w:after="0" w:line="480" w:lineRule="auto"/>
        <w:rPr>
          <w:rFonts w:ascii="Times New Roman" w:hAnsi="Times New Roman"/>
          <w:sz w:val="24"/>
          <w:szCs w:val="24"/>
        </w:rPr>
      </w:pPr>
      <w:r w:rsidRPr="00AA4B02">
        <w:rPr>
          <w:rFonts w:ascii="Times New Roman" w:hAnsi="Times New Roman"/>
          <w:sz w:val="24"/>
          <w:szCs w:val="24"/>
        </w:rPr>
        <w:t>United Nations, Department of Economic and Social Affairs, Population Division.</w:t>
      </w:r>
    </w:p>
    <w:p w:rsidR="0087477B" w:rsidRPr="00AA4B02" w:rsidRDefault="0087477B" w:rsidP="0087477B">
      <w:pPr>
        <w:spacing w:after="0" w:line="480" w:lineRule="auto"/>
        <w:ind w:left="720"/>
        <w:rPr>
          <w:rFonts w:ascii="Times New Roman" w:hAnsi="Times New Roman"/>
          <w:sz w:val="24"/>
          <w:szCs w:val="24"/>
        </w:rPr>
      </w:pPr>
      <w:r w:rsidRPr="00AA4B02">
        <w:rPr>
          <w:rFonts w:ascii="Times New Roman" w:hAnsi="Times New Roman"/>
          <w:sz w:val="24"/>
          <w:szCs w:val="24"/>
        </w:rPr>
        <w:t xml:space="preserve">(2012). </w:t>
      </w:r>
      <w:r w:rsidRPr="00AA4B02">
        <w:rPr>
          <w:rFonts w:ascii="Times New Roman" w:hAnsi="Times New Roman"/>
          <w:i/>
          <w:iCs/>
          <w:sz w:val="24"/>
          <w:szCs w:val="24"/>
        </w:rPr>
        <w:t>World population ageing 2007</w:t>
      </w:r>
      <w:r w:rsidRPr="00AA4B02">
        <w:rPr>
          <w:rFonts w:ascii="Times New Roman" w:hAnsi="Times New Roman"/>
          <w:sz w:val="24"/>
          <w:szCs w:val="24"/>
        </w:rPr>
        <w:t>. New York: United Nations.</w:t>
      </w:r>
    </w:p>
    <w:p w:rsidR="0087477B" w:rsidRPr="00AA4B02" w:rsidRDefault="0087477B" w:rsidP="0087477B">
      <w:pPr>
        <w:spacing w:after="0" w:line="480" w:lineRule="auto"/>
        <w:ind w:left="720"/>
        <w:rPr>
          <w:rFonts w:ascii="Times New Roman" w:hAnsi="Times New Roman"/>
          <w:sz w:val="24"/>
          <w:szCs w:val="24"/>
        </w:rPr>
      </w:pPr>
      <w:r w:rsidRPr="00AA4B02">
        <w:rPr>
          <w:rFonts w:ascii="Times New Roman" w:hAnsi="Times New Roman"/>
          <w:sz w:val="24"/>
          <w:szCs w:val="24"/>
        </w:rPr>
        <w:t xml:space="preserve">Retrieved August 5, 2017, from </w:t>
      </w:r>
      <w:hyperlink r:id="rId13" w:history="1">
        <w:r w:rsidRPr="00AA4B02">
          <w:rPr>
            <w:sz w:val="24"/>
            <w:szCs w:val="24"/>
          </w:rPr>
          <w:t>www.un.org/esa/population/publications</w:t>
        </w:r>
      </w:hyperlink>
      <w:r w:rsidRPr="00AA4B02">
        <w:rPr>
          <w:rFonts w:ascii="Times New Roman" w:hAnsi="Times New Roman"/>
          <w:sz w:val="24"/>
          <w:szCs w:val="24"/>
        </w:rPr>
        <w:t xml:space="preserve"> </w:t>
      </w:r>
    </w:p>
    <w:p w:rsidR="0087477B" w:rsidRPr="00AA4B02" w:rsidRDefault="0087477B" w:rsidP="0087477B">
      <w:pPr>
        <w:spacing w:after="0" w:line="480" w:lineRule="auto"/>
        <w:ind w:left="720"/>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spacing w:after="0" w:line="240" w:lineRule="auto"/>
        <w:rPr>
          <w:rFonts w:ascii="Times New Roman" w:hAnsi="Times New Roman"/>
          <w:sz w:val="24"/>
          <w:szCs w:val="24"/>
        </w:rPr>
      </w:pPr>
      <w:r w:rsidRPr="00AA4B02">
        <w:rPr>
          <w:rFonts w:ascii="Times New Roman" w:hAnsi="Times New Roman"/>
          <w:sz w:val="24"/>
          <w:szCs w:val="24"/>
        </w:rPr>
        <w:t xml:space="preserve">World Health Organization </w:t>
      </w:r>
    </w:p>
    <w:p w:rsidR="0087477B" w:rsidRPr="00AA4B02" w:rsidRDefault="0087477B" w:rsidP="0087477B">
      <w:pPr>
        <w:spacing w:after="0" w:line="240" w:lineRule="auto"/>
        <w:rPr>
          <w:rFonts w:ascii="Times New Roman" w:hAnsi="Times New Roman"/>
          <w:sz w:val="24"/>
          <w:szCs w:val="24"/>
        </w:rPr>
      </w:pPr>
      <w:r w:rsidRPr="00AA4B02">
        <w:rPr>
          <w:rFonts w:ascii="Times New Roman" w:hAnsi="Times New Roman"/>
          <w:sz w:val="24"/>
          <w:szCs w:val="24"/>
        </w:rPr>
        <w:t xml:space="preserve">Retrieved August 5, 2017, </w:t>
      </w:r>
      <w:hyperlink r:id="rId14" w:history="1">
        <w:r w:rsidRPr="00AA4B02">
          <w:rPr>
            <w:sz w:val="24"/>
            <w:szCs w:val="24"/>
          </w:rPr>
          <w:t>http://www.ophed.com/system/files/2010/01/main-causes-visual-impairment-2207-2207.pdf</w:t>
        </w:r>
      </w:hyperlink>
      <w:r w:rsidRPr="00AA4B02">
        <w:rPr>
          <w:rFonts w:ascii="Times New Roman" w:hAnsi="Times New Roman"/>
          <w:sz w:val="24"/>
          <w:szCs w:val="24"/>
        </w:rPr>
        <w:t>.</w:t>
      </w:r>
    </w:p>
    <w:p w:rsidR="0087477B" w:rsidRPr="00AA4B02" w:rsidRDefault="0087477B" w:rsidP="0087477B">
      <w:pPr>
        <w:spacing w:after="0" w:line="240" w:lineRule="auto"/>
        <w:rPr>
          <w:rFonts w:ascii="Times New Roman" w:hAnsi="Times New Roman"/>
          <w:sz w:val="24"/>
          <w:szCs w:val="24"/>
        </w:rPr>
      </w:pPr>
    </w:p>
    <w:p w:rsidR="0087477B" w:rsidRPr="00AA4B02" w:rsidRDefault="0087477B" w:rsidP="0087477B">
      <w:pPr>
        <w:rPr>
          <w:rFonts w:ascii="Times New Roman" w:hAnsi="Times New Roman"/>
          <w:sz w:val="24"/>
          <w:szCs w:val="24"/>
        </w:rPr>
      </w:pPr>
    </w:p>
    <w:p w:rsidR="00B37307" w:rsidRPr="00AA4B02" w:rsidRDefault="00B37307"/>
    <w:sectPr w:rsidR="00B37307" w:rsidRPr="00AA4B02">
      <w:headerReference w:type="defaul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ADD" w:rsidRDefault="00A91ADD">
      <w:pPr>
        <w:spacing w:after="0" w:line="240" w:lineRule="auto"/>
      </w:pPr>
      <w:r>
        <w:separator/>
      </w:r>
    </w:p>
  </w:endnote>
  <w:endnote w:type="continuationSeparator" w:id="0">
    <w:p w:rsidR="00A91ADD" w:rsidRDefault="00A91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ADD" w:rsidRDefault="00A91ADD">
      <w:pPr>
        <w:spacing w:after="0" w:line="240" w:lineRule="auto"/>
      </w:pPr>
      <w:r>
        <w:separator/>
      </w:r>
    </w:p>
  </w:footnote>
  <w:footnote w:type="continuationSeparator" w:id="0">
    <w:p w:rsidR="00A91ADD" w:rsidRDefault="00A91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6DC" w:rsidRDefault="0087477B">
    <w:pPr>
      <w:pStyle w:val="Header"/>
    </w:pPr>
    <w:r>
      <w:rPr>
        <w:rFonts w:ascii="Times New Roman" w:hAnsi="Times New Roman"/>
        <w:color w:val="000000"/>
        <w:sz w:val="24"/>
        <w:szCs w:val="24"/>
        <w:shd w:val="clear" w:color="FFFFFF" w:fill="FFFFFF"/>
      </w:rPr>
      <w:t>DISCUSSION BOARD</w:t>
    </w:r>
    <w:r>
      <w:rPr>
        <w:rFonts w:ascii="Arial" w:hAnsi="Arial" w:cs="Arial"/>
        <w:color w:val="000000"/>
        <w:sz w:val="18"/>
        <w:szCs w:val="18"/>
        <w:shd w:val="clear" w:color="FFFFFF" w:fill="FFFFFF"/>
      </w:rPr>
      <w:t xml:space="preserve">         </w:t>
    </w:r>
    <w:r>
      <w:t xml:space="preserve">                                                                                                                                </w:t>
    </w:r>
    <w:r>
      <w:fldChar w:fldCharType="begin"/>
    </w:r>
    <w:r>
      <w:instrText xml:space="preserve"> PAGE   \* MERGEFORMAT </w:instrText>
    </w:r>
    <w:r>
      <w:fldChar w:fldCharType="separate"/>
    </w:r>
    <w:r w:rsidR="00AA4B02">
      <w:rPr>
        <w:noProof/>
      </w:rPr>
      <w:t>2</w:t>
    </w:r>
    <w:r>
      <w:fldChar w:fldCharType="end"/>
    </w:r>
  </w:p>
  <w:p w:rsidR="005F46DC" w:rsidRDefault="00A91A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624"/>
    <w:multiLevelType w:val="hybridMultilevel"/>
    <w:tmpl w:val="00000000"/>
    <w:lvl w:ilvl="0" w:tplc="FFFFFFFF">
      <w:start w:val="1"/>
      <w:numFmt w:val="upperLetter"/>
      <w:lvlText w:val="(%1)"/>
      <w:lvlJc w:val="left"/>
      <w:pPr>
        <w:ind w:left="1260" w:hanging="360"/>
      </w:pPr>
    </w:lvl>
    <w:lvl w:ilvl="1" w:tplc="FFFFFFFF">
      <w:start w:val="1"/>
      <w:numFmt w:val="lowerLetter"/>
      <w:lvlText w:val="%2."/>
      <w:lvlJc w:val="left"/>
      <w:pPr>
        <w:ind w:left="1980" w:hanging="360"/>
      </w:pPr>
    </w:lvl>
    <w:lvl w:ilvl="2" w:tplc="FFFFFFFF">
      <w:start w:val="1"/>
      <w:numFmt w:val="lowerRoman"/>
      <w:lvlText w:val="%3."/>
      <w:lvlJc w:val="right"/>
      <w:pPr>
        <w:ind w:left="2700" w:hanging="180"/>
      </w:pPr>
    </w:lvl>
    <w:lvl w:ilvl="3" w:tplc="FFFFFFFF">
      <w:start w:val="1"/>
      <w:numFmt w:val="decimal"/>
      <w:lvlText w:val="%4."/>
      <w:lvlJc w:val="left"/>
      <w:pPr>
        <w:ind w:left="3420" w:hanging="360"/>
      </w:pPr>
    </w:lvl>
    <w:lvl w:ilvl="4" w:tplc="FFFFFFFF">
      <w:start w:val="1"/>
      <w:numFmt w:val="lowerLetter"/>
      <w:lvlText w:val="%5."/>
      <w:lvlJc w:val="left"/>
      <w:pPr>
        <w:ind w:left="4140" w:hanging="360"/>
      </w:pPr>
    </w:lvl>
    <w:lvl w:ilvl="5" w:tplc="FFFFFFFF">
      <w:start w:val="1"/>
      <w:numFmt w:val="lowerRoman"/>
      <w:lvlText w:val="%6."/>
      <w:lvlJc w:val="right"/>
      <w:pPr>
        <w:ind w:left="4860" w:hanging="180"/>
      </w:pPr>
    </w:lvl>
    <w:lvl w:ilvl="6" w:tplc="FFFFFFFF">
      <w:start w:val="1"/>
      <w:numFmt w:val="decimal"/>
      <w:lvlText w:val="%7."/>
      <w:lvlJc w:val="left"/>
      <w:pPr>
        <w:ind w:left="5580" w:hanging="360"/>
      </w:pPr>
    </w:lvl>
    <w:lvl w:ilvl="7" w:tplc="FFFFFFFF">
      <w:start w:val="1"/>
      <w:numFmt w:val="lowerLetter"/>
      <w:lvlText w:val="%8."/>
      <w:lvlJc w:val="left"/>
      <w:pPr>
        <w:ind w:left="6300" w:hanging="360"/>
      </w:pPr>
    </w:lvl>
    <w:lvl w:ilvl="8" w:tplc="FFFFFFFF">
      <w:start w:val="1"/>
      <w:numFmt w:val="lowerRoman"/>
      <w:lvlText w:val="%9."/>
      <w:lvlJc w:val="right"/>
      <w:pPr>
        <w:ind w:left="7020" w:hanging="180"/>
      </w:pPr>
    </w:lvl>
  </w:abstractNum>
  <w:abstractNum w:abstractNumId="1" w15:restartNumberingAfterBreak="0">
    <w:nsid w:val="20F05DFB"/>
    <w:multiLevelType w:val="hybridMultilevel"/>
    <w:tmpl w:val="00000000"/>
    <w:lvl w:ilvl="0" w:tplc="FFFFFFFF">
      <w:start w:val="1"/>
      <w:numFmt w:val="low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F3F4D44"/>
    <w:multiLevelType w:val="hybridMultilevel"/>
    <w:tmpl w:val="00000000"/>
    <w:lvl w:ilvl="0" w:tplc="FFFFFFFF">
      <w:start w:val="1"/>
      <w:numFmt w:val="upperLetter"/>
      <w:lvlText w:val="(%1)"/>
      <w:lvlJc w:val="left"/>
      <w:pPr>
        <w:ind w:left="558" w:hanging="360"/>
      </w:pPr>
    </w:lvl>
    <w:lvl w:ilvl="1" w:tplc="FFFFFFFF">
      <w:start w:val="1"/>
      <w:numFmt w:val="lowerLetter"/>
      <w:lvlText w:val="%2."/>
      <w:lvlJc w:val="left"/>
      <w:pPr>
        <w:ind w:left="1188" w:hanging="360"/>
      </w:pPr>
    </w:lvl>
    <w:lvl w:ilvl="2" w:tplc="FFFFFFFF">
      <w:start w:val="1"/>
      <w:numFmt w:val="lowerRoman"/>
      <w:lvlText w:val="%3."/>
      <w:lvlJc w:val="right"/>
      <w:pPr>
        <w:ind w:left="1908" w:hanging="180"/>
      </w:pPr>
    </w:lvl>
    <w:lvl w:ilvl="3" w:tplc="FFFFFFFF">
      <w:start w:val="1"/>
      <w:numFmt w:val="decimal"/>
      <w:lvlText w:val="%4."/>
      <w:lvlJc w:val="left"/>
      <w:pPr>
        <w:ind w:left="2628" w:hanging="360"/>
      </w:pPr>
    </w:lvl>
    <w:lvl w:ilvl="4" w:tplc="FFFFFFFF">
      <w:start w:val="1"/>
      <w:numFmt w:val="lowerLetter"/>
      <w:lvlText w:val="%5."/>
      <w:lvlJc w:val="left"/>
      <w:pPr>
        <w:ind w:left="3348" w:hanging="360"/>
      </w:pPr>
    </w:lvl>
    <w:lvl w:ilvl="5" w:tplc="FFFFFFFF">
      <w:start w:val="1"/>
      <w:numFmt w:val="lowerRoman"/>
      <w:lvlText w:val="%6."/>
      <w:lvlJc w:val="right"/>
      <w:pPr>
        <w:ind w:left="4068" w:hanging="180"/>
      </w:pPr>
    </w:lvl>
    <w:lvl w:ilvl="6" w:tplc="FFFFFFFF">
      <w:start w:val="1"/>
      <w:numFmt w:val="decimal"/>
      <w:lvlText w:val="%7."/>
      <w:lvlJc w:val="left"/>
      <w:pPr>
        <w:ind w:left="4788" w:hanging="360"/>
      </w:pPr>
    </w:lvl>
    <w:lvl w:ilvl="7" w:tplc="FFFFFFFF">
      <w:start w:val="1"/>
      <w:numFmt w:val="lowerLetter"/>
      <w:lvlText w:val="%8."/>
      <w:lvlJc w:val="left"/>
      <w:pPr>
        <w:ind w:left="5508" w:hanging="360"/>
      </w:pPr>
    </w:lvl>
    <w:lvl w:ilvl="8" w:tplc="FFFFFFFF">
      <w:start w:val="1"/>
      <w:numFmt w:val="lowerRoman"/>
      <w:lvlText w:val="%9."/>
      <w:lvlJc w:val="right"/>
      <w:pPr>
        <w:ind w:left="6228" w:hanging="180"/>
      </w:pPr>
    </w:lvl>
  </w:abstractNum>
  <w:abstractNum w:abstractNumId="3" w15:restartNumberingAfterBreak="0">
    <w:nsid w:val="32F056FB"/>
    <w:multiLevelType w:val="hybridMultilevel"/>
    <w:tmpl w:val="BD0ACF26"/>
    <w:lvl w:ilvl="0" w:tplc="19C85B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D30C2"/>
    <w:multiLevelType w:val="hybridMultilevel"/>
    <w:tmpl w:val="BEB6EAD4"/>
    <w:lvl w:ilvl="0" w:tplc="9AA42A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44A0D"/>
    <w:rsid w:val="00844A0D"/>
    <w:rsid w:val="0087477B"/>
    <w:rsid w:val="00A91ADD"/>
    <w:rsid w:val="00AA4B02"/>
    <w:rsid w:val="00B37307"/>
    <w:rsid w:val="00D53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124F"/>
  <w15:docId w15:val="{2A24EBE8-9929-4262-8B5E-65FFE046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77B"/>
    <w:rPr>
      <w:rFonts w:ascii="Calibri" w:eastAsia="Calibri" w:hAnsi="Calibri" w:cs="Times New Roman"/>
    </w:rPr>
  </w:style>
  <w:style w:type="paragraph" w:styleId="Heading1">
    <w:name w:val="heading 1"/>
    <w:basedOn w:val="Normal"/>
    <w:link w:val="Heading1Char"/>
    <w:qFormat/>
    <w:rsid w:val="0087477B"/>
    <w:pPr>
      <w:spacing w:before="100" w:beforeAutospacing="1" w:after="100" w:afterAutospacing="1" w:line="240" w:lineRule="auto"/>
      <w:outlineLvl w:val="0"/>
    </w:pPr>
    <w:rPr>
      <w:rFonts w:ascii="Times New Roman" w:eastAsia="Times New Roma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477B"/>
    <w:rPr>
      <w:rFonts w:ascii="Times New Roman" w:eastAsia="Times New Roman" w:hAnsi="Times New Roman" w:cs="Times New Roman"/>
      <w:b/>
      <w:bCs/>
      <w:sz w:val="48"/>
      <w:szCs w:val="48"/>
    </w:rPr>
  </w:style>
  <w:style w:type="paragraph" w:styleId="ListParagraph">
    <w:name w:val="List Paragraph"/>
    <w:basedOn w:val="Normal"/>
    <w:next w:val="Index7"/>
    <w:qFormat/>
    <w:rsid w:val="0087477B"/>
    <w:pPr>
      <w:ind w:left="720"/>
      <w:contextualSpacing/>
    </w:pPr>
  </w:style>
  <w:style w:type="paragraph" w:styleId="Header">
    <w:name w:val="header"/>
    <w:basedOn w:val="Normal"/>
    <w:next w:val="Index8"/>
    <w:link w:val="HeaderChar"/>
    <w:unhideWhenUsed/>
    <w:rsid w:val="0087477B"/>
    <w:pPr>
      <w:spacing w:after="0" w:line="240" w:lineRule="auto"/>
    </w:pPr>
  </w:style>
  <w:style w:type="character" w:customStyle="1" w:styleId="HeaderChar">
    <w:name w:val="Header Char"/>
    <w:basedOn w:val="DefaultParagraphFont"/>
    <w:link w:val="Header"/>
    <w:rsid w:val="0087477B"/>
    <w:rPr>
      <w:rFonts w:ascii="Calibri" w:eastAsia="Calibri" w:hAnsi="Calibri" w:cs="Times New Roman"/>
    </w:rPr>
  </w:style>
  <w:style w:type="paragraph" w:styleId="Index7">
    <w:name w:val="index 7"/>
    <w:basedOn w:val="Normal"/>
    <w:next w:val="Normal"/>
    <w:autoRedefine/>
    <w:uiPriority w:val="99"/>
    <w:semiHidden/>
    <w:unhideWhenUsed/>
    <w:rsid w:val="0087477B"/>
    <w:pPr>
      <w:spacing w:after="0" w:line="240" w:lineRule="auto"/>
      <w:ind w:left="1540" w:hanging="220"/>
    </w:pPr>
  </w:style>
  <w:style w:type="paragraph" w:styleId="Index8">
    <w:name w:val="index 8"/>
    <w:basedOn w:val="Normal"/>
    <w:next w:val="Normal"/>
    <w:autoRedefine/>
    <w:uiPriority w:val="99"/>
    <w:semiHidden/>
    <w:unhideWhenUsed/>
    <w:rsid w:val="0087477B"/>
    <w:pPr>
      <w:spacing w:after="0" w:line="240" w:lineRule="auto"/>
      <w:ind w:left="1760" w:hanging="220"/>
    </w:pPr>
  </w:style>
  <w:style w:type="paragraph" w:styleId="Footer">
    <w:name w:val="footer"/>
    <w:basedOn w:val="Normal"/>
    <w:link w:val="FooterChar"/>
    <w:uiPriority w:val="99"/>
    <w:unhideWhenUsed/>
    <w:rsid w:val="00D53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7C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ghtdementia.org.au/files/helpsheets/Helpsheet-DementiaQandA08-PhysicalExercise_english.pdf" TargetMode="External"/><Relationship Id="rId13" Type="http://schemas.openxmlformats.org/officeDocument/2006/relationships/hyperlink" Target="http://www.un.org/esa/population/publications" TargetMode="External"/><Relationship Id="rId3" Type="http://schemas.openxmlformats.org/officeDocument/2006/relationships/settings" Target="settings.xml"/><Relationship Id="rId7" Type="http://schemas.openxmlformats.org/officeDocument/2006/relationships/hyperlink" Target="http://www.alz.org/documents_custom/report_alzfactsfigures2010.pdf" TargetMode="External"/><Relationship Id="rId12" Type="http://schemas.openxmlformats.org/officeDocument/2006/relationships/hyperlink" Target="https://doi.org/10.1093/heapro/dau05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ubmed/11730237"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edis.ifas.ufl.edu/fy625" TargetMode="External"/><Relationship Id="rId4" Type="http://schemas.openxmlformats.org/officeDocument/2006/relationships/webSettings" Target="webSettings.xml"/><Relationship Id="rId9" Type="http://schemas.openxmlformats.org/officeDocument/2006/relationships/hyperlink" Target="http://www.alz.co.uk/research/world" TargetMode="External"/><Relationship Id="rId14" Type="http://schemas.openxmlformats.org/officeDocument/2006/relationships/hyperlink" Target="http://www.ophed.com/system/files/2010/01/main-causes-visual-impairment-2207-22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m.broqueza</dc:creator>
  <cp:lastModifiedBy>Hp</cp:lastModifiedBy>
  <cp:revision>3</cp:revision>
  <dcterms:created xsi:type="dcterms:W3CDTF">2017-08-09T11:46:00Z</dcterms:created>
  <dcterms:modified xsi:type="dcterms:W3CDTF">2021-04-30T15:58:00Z</dcterms:modified>
</cp:coreProperties>
</file>