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DF8A7FF" w14:textId="77777777" w:rsidR="00C33A1C" w:rsidRPr="00C33A1C" w:rsidRDefault="00C33A1C" w:rsidP="00C33A1C">
      <w:pPr>
        <w:pStyle w:val="font-claude-response-body"/>
        <w:rPr>
          <w:sz w:val="28"/>
          <w:szCs w:val="28"/>
        </w:rPr>
      </w:pPr>
      <w:r w:rsidRPr="00C33A1C">
        <w:rPr>
          <w:rStyle w:val="animating6ta1u10"/>
          <w:rFonts w:eastAsiaTheme="majorEastAsia"/>
          <w:b/>
          <w:bCs/>
          <w:sz w:val="28"/>
          <w:szCs w:val="28"/>
        </w:rPr>
        <w:t>PROJE ÖZETİ</w:t>
      </w:r>
    </w:p>
    <w:p w14:paraId="5751C178" w14:textId="77777777" w:rsidR="00C33A1C" w:rsidRDefault="00C33A1C" w:rsidP="00C33A1C">
      <w:pPr>
        <w:pStyle w:val="font-claude-response-body"/>
      </w:pPr>
      <w:r>
        <w:rPr>
          <w:rStyle w:val="animating6ta1u10"/>
          <w:rFonts w:eastAsiaTheme="majorEastAsia"/>
        </w:rPr>
        <w:t xml:space="preserve">Bu çalışma, LC Waikiki'nin depo–mağaza dağıtım sürecini Çok Depolu Araç Rotalama Problemi (MDCVRP) çerçevesinde ele almakta; mevcut </w:t>
      </w:r>
      <w:proofErr w:type="spellStart"/>
      <w:r>
        <w:rPr>
          <w:rStyle w:val="animating6ta1u10"/>
          <w:rFonts w:eastAsiaTheme="majorEastAsia"/>
        </w:rPr>
        <w:t>outsource</w:t>
      </w:r>
      <w:proofErr w:type="spellEnd"/>
      <w:r>
        <w:rPr>
          <w:rStyle w:val="animating6ta1u10"/>
          <w:rFonts w:eastAsiaTheme="majorEastAsia"/>
        </w:rPr>
        <w:t xml:space="preserve"> (dış kaynak) dağıtım yapısı ile önerilen hibrit (in-</w:t>
      </w:r>
      <w:proofErr w:type="spellStart"/>
      <w:r>
        <w:rPr>
          <w:rStyle w:val="animating6ta1u10"/>
          <w:rFonts w:eastAsiaTheme="majorEastAsia"/>
        </w:rPr>
        <w:t>house</w:t>
      </w:r>
      <w:proofErr w:type="spellEnd"/>
      <w:r>
        <w:rPr>
          <w:rStyle w:val="animating6ta1u10"/>
          <w:rFonts w:eastAsiaTheme="majorEastAsia"/>
        </w:rPr>
        <w:t xml:space="preserve"> + </w:t>
      </w:r>
      <w:proofErr w:type="spellStart"/>
      <w:r>
        <w:rPr>
          <w:rStyle w:val="animating6ta1u10"/>
          <w:rFonts w:eastAsiaTheme="majorEastAsia"/>
        </w:rPr>
        <w:t>outsource</w:t>
      </w:r>
      <w:proofErr w:type="spellEnd"/>
      <w:r>
        <w:rPr>
          <w:rStyle w:val="animating6ta1u10"/>
          <w:rFonts w:eastAsiaTheme="majorEastAsia"/>
        </w:rPr>
        <w:t>) modelin rota performansı ve maliyet açısından karşılaştırmasını sunmaktadır.</w:t>
      </w:r>
    </w:p>
    <w:p w14:paraId="7677FEA5" w14:textId="77777777" w:rsidR="00C33A1C" w:rsidRDefault="00C33A1C" w:rsidP="00C33A1C">
      <w:pPr>
        <w:pStyle w:val="font-claude-response-body"/>
      </w:pPr>
      <w:r>
        <w:rPr>
          <w:rStyle w:val="animating6ta1u10"/>
          <w:rFonts w:eastAsiaTheme="majorEastAsia"/>
        </w:rPr>
        <w:t xml:space="preserve">Altı mevcut depo ve 204 pilot mağazadan oluşan 210 </w:t>
      </w:r>
      <w:proofErr w:type="spellStart"/>
      <w:r>
        <w:rPr>
          <w:rStyle w:val="animating6ta1u10"/>
          <w:rFonts w:eastAsiaTheme="majorEastAsia"/>
        </w:rPr>
        <w:t>lokasyonluk</w:t>
      </w:r>
      <w:proofErr w:type="spellEnd"/>
      <w:r>
        <w:rPr>
          <w:rStyle w:val="animating6ta1u10"/>
          <w:rFonts w:eastAsiaTheme="majorEastAsia"/>
        </w:rPr>
        <w:t xml:space="preserve"> ağda, mesafe ve süre matrisi OSRM </w:t>
      </w:r>
      <w:proofErr w:type="spellStart"/>
      <w:r>
        <w:rPr>
          <w:rStyle w:val="animating6ta1u10"/>
          <w:rFonts w:eastAsiaTheme="majorEastAsia"/>
        </w:rPr>
        <w:t>Table</w:t>
      </w:r>
      <w:proofErr w:type="spellEnd"/>
      <w:r>
        <w:rPr>
          <w:rStyle w:val="animating6ta1u10"/>
          <w:rFonts w:eastAsiaTheme="majorEastAsia"/>
        </w:rPr>
        <w:t xml:space="preserve"> API ile üretilmiştir. Her mağaza için en yakın depoya 200 km mesafe eşiği uygulanarak 99 mağaza in-</w:t>
      </w:r>
      <w:proofErr w:type="spellStart"/>
      <w:r>
        <w:rPr>
          <w:rStyle w:val="animating6ta1u10"/>
          <w:rFonts w:eastAsiaTheme="majorEastAsia"/>
        </w:rPr>
        <w:t>house</w:t>
      </w:r>
      <w:proofErr w:type="spellEnd"/>
      <w:r>
        <w:rPr>
          <w:rStyle w:val="animating6ta1u10"/>
          <w:rFonts w:eastAsiaTheme="majorEastAsia"/>
        </w:rPr>
        <w:t xml:space="preserve"> dağıtım adayı, 105 mağaza ise pilot senaryoda </w:t>
      </w:r>
      <w:proofErr w:type="spellStart"/>
      <w:r>
        <w:rPr>
          <w:rStyle w:val="animating6ta1u10"/>
          <w:rFonts w:eastAsiaTheme="majorEastAsia"/>
        </w:rPr>
        <w:t>outsource</w:t>
      </w:r>
      <w:proofErr w:type="spellEnd"/>
      <w:r>
        <w:rPr>
          <w:rStyle w:val="animating6ta1u10"/>
          <w:rFonts w:eastAsiaTheme="majorEastAsia"/>
        </w:rPr>
        <w:t xml:space="preserve"> kapsamında kalacak şekilde sınıflandırılmıştır. </w:t>
      </w:r>
      <w:proofErr w:type="spellStart"/>
      <w:r>
        <w:rPr>
          <w:rStyle w:val="animating6ta1u10"/>
          <w:rFonts w:eastAsiaTheme="majorEastAsia"/>
        </w:rPr>
        <w:t>In-house</w:t>
      </w:r>
      <w:proofErr w:type="spellEnd"/>
      <w:r>
        <w:rPr>
          <w:rStyle w:val="animating6ta1u10"/>
          <w:rFonts w:eastAsiaTheme="majorEastAsia"/>
        </w:rPr>
        <w:t xml:space="preserve"> aday mağazalar için Google OR-Tools Routing </w:t>
      </w:r>
      <w:proofErr w:type="spellStart"/>
      <w:r>
        <w:rPr>
          <w:rStyle w:val="animating6ta1u10"/>
          <w:rFonts w:eastAsiaTheme="majorEastAsia"/>
        </w:rPr>
        <w:t>Solver</w:t>
      </w:r>
      <w:proofErr w:type="spellEnd"/>
      <w:r>
        <w:rPr>
          <w:rStyle w:val="animating6ta1u10"/>
          <w:rFonts w:eastAsiaTheme="majorEastAsia"/>
        </w:rPr>
        <w:t xml:space="preserve"> ile (SAVINGS başlangıç çözümü + </w:t>
      </w:r>
      <w:proofErr w:type="spellStart"/>
      <w:r>
        <w:rPr>
          <w:rStyle w:val="animating6ta1u10"/>
          <w:rFonts w:eastAsiaTheme="majorEastAsia"/>
        </w:rPr>
        <w:t>Guided</w:t>
      </w:r>
      <w:proofErr w:type="spellEnd"/>
      <w:r>
        <w:rPr>
          <w:rStyle w:val="animating6ta1u10"/>
          <w:rFonts w:eastAsiaTheme="majorEastAsia"/>
        </w:rPr>
        <w:t xml:space="preserve"> </w:t>
      </w:r>
      <w:proofErr w:type="spellStart"/>
      <w:r>
        <w:rPr>
          <w:rStyle w:val="animating6ta1u10"/>
          <w:rFonts w:eastAsiaTheme="majorEastAsia"/>
        </w:rPr>
        <w:t>Local</w:t>
      </w:r>
      <w:proofErr w:type="spellEnd"/>
      <w:r>
        <w:rPr>
          <w:rStyle w:val="animating6ta1u10"/>
          <w:rFonts w:eastAsiaTheme="majorEastAsia"/>
        </w:rPr>
        <w:t xml:space="preserve"> </w:t>
      </w:r>
      <w:proofErr w:type="spellStart"/>
      <w:r>
        <w:rPr>
          <w:rStyle w:val="animating6ta1u10"/>
          <w:rFonts w:eastAsiaTheme="majorEastAsia"/>
        </w:rPr>
        <w:t>Search</w:t>
      </w:r>
      <w:proofErr w:type="spellEnd"/>
      <w:r>
        <w:rPr>
          <w:rStyle w:val="animating6ta1u10"/>
          <w:rFonts w:eastAsiaTheme="majorEastAsia"/>
        </w:rPr>
        <w:t xml:space="preserve"> iyileştirmesi) sezgisel bir MDCVRP çözümü üretilmiş; 6 araçla toplam 1.086,4 km rota mesafesi, ortalama %82,5 doluluk oranı ve 540 dakikalık süre kontrolünün altında kalan rota süreleri elde edilmiştir.</w:t>
      </w:r>
    </w:p>
    <w:p w14:paraId="7470E8EA" w14:textId="77777777" w:rsidR="00C33A1C" w:rsidRDefault="00C33A1C" w:rsidP="00C33A1C">
      <w:pPr>
        <w:pStyle w:val="font-claude-response-body"/>
      </w:pPr>
      <w:r>
        <w:rPr>
          <w:rStyle w:val="animating6ta1u10"/>
          <w:rFonts w:eastAsiaTheme="majorEastAsia"/>
        </w:rPr>
        <w:t xml:space="preserve">Maliyet analizinde </w:t>
      </w:r>
      <w:proofErr w:type="spellStart"/>
      <w:r>
        <w:rPr>
          <w:rStyle w:val="animating6ta1u10"/>
          <w:rFonts w:eastAsiaTheme="majorEastAsia"/>
        </w:rPr>
        <w:t>outsource</w:t>
      </w:r>
      <w:proofErr w:type="spellEnd"/>
      <w:r>
        <w:rPr>
          <w:rStyle w:val="animating6ta1u10"/>
          <w:rFonts w:eastAsiaTheme="majorEastAsia"/>
        </w:rPr>
        <w:t>, in-</w:t>
      </w:r>
      <w:proofErr w:type="spellStart"/>
      <w:r>
        <w:rPr>
          <w:rStyle w:val="animating6ta1u10"/>
          <w:rFonts w:eastAsiaTheme="majorEastAsia"/>
        </w:rPr>
        <w:t>house</w:t>
      </w:r>
      <w:proofErr w:type="spellEnd"/>
      <w:r>
        <w:rPr>
          <w:rStyle w:val="animating6ta1u10"/>
          <w:rFonts w:eastAsiaTheme="majorEastAsia"/>
        </w:rPr>
        <w:t xml:space="preserve"> ve hibrit senaryolar koli bazlı ve bileşen bazlı (yakıt, araç sabit maliyeti, sürücü maliyeti) modellerle karşılaştırılmıştır. Kapsam uyumlu karşılaştırmada hibrit senaryo, pilot mağaza ağında </w:t>
      </w:r>
      <w:proofErr w:type="spellStart"/>
      <w:r>
        <w:rPr>
          <w:rStyle w:val="animating6ta1u10"/>
          <w:rFonts w:eastAsiaTheme="majorEastAsia"/>
        </w:rPr>
        <w:t>outsource</w:t>
      </w:r>
      <w:proofErr w:type="spellEnd"/>
      <w:r>
        <w:rPr>
          <w:rStyle w:val="animating6ta1u10"/>
          <w:rFonts w:eastAsiaTheme="majorEastAsia"/>
        </w:rPr>
        <w:t xml:space="preserve"> referansına göre günde yaklaşık 15.336 TL (%13,4) tasarruf sağlamakta; bu oran tüm mağaza ağına (533 mağaza) uyarlandığında %5,1'e gerilemektedir. Kapsam uyumlu net tasarruf üzerinden hesaplanan basit yatırım geri dönüş süresi yaklaşık 6,5 yıl olup firma beklentisinin (3 yıl) üzerindedir.</w:t>
      </w:r>
    </w:p>
    <w:p w14:paraId="2AA44548" w14:textId="77777777" w:rsidR="00C33A1C" w:rsidRDefault="00C33A1C" w:rsidP="00C33A1C">
      <w:pPr>
        <w:pStyle w:val="font-claude-response-body"/>
        <w:rPr>
          <w:rStyle w:val="animating6ta1u10"/>
          <w:rFonts w:eastAsiaTheme="majorEastAsia"/>
        </w:rPr>
      </w:pPr>
      <w:r>
        <w:rPr>
          <w:rStyle w:val="animating6ta1u10"/>
          <w:rFonts w:eastAsiaTheme="majorEastAsia"/>
        </w:rPr>
        <w:t xml:space="preserve">Çalışma, elde edilen bulguları kesin bir yatırım kararı olarak değil; rota optimizasyonu ile </w:t>
      </w:r>
      <w:proofErr w:type="spellStart"/>
      <w:r>
        <w:rPr>
          <w:rStyle w:val="animating6ta1u10"/>
          <w:rFonts w:eastAsiaTheme="majorEastAsia"/>
        </w:rPr>
        <w:t>outsource</w:t>
      </w:r>
      <w:proofErr w:type="spellEnd"/>
      <w:r>
        <w:rPr>
          <w:rStyle w:val="animating6ta1u10"/>
          <w:rFonts w:eastAsiaTheme="majorEastAsia"/>
        </w:rPr>
        <w:t>–in-</w:t>
      </w:r>
      <w:proofErr w:type="spellStart"/>
      <w:r>
        <w:rPr>
          <w:rStyle w:val="animating6ta1u10"/>
          <w:rFonts w:eastAsiaTheme="majorEastAsia"/>
        </w:rPr>
        <w:t>house</w:t>
      </w:r>
      <w:proofErr w:type="spellEnd"/>
      <w:r>
        <w:rPr>
          <w:rStyle w:val="animating6ta1u10"/>
          <w:rFonts w:eastAsiaTheme="majorEastAsia"/>
        </w:rPr>
        <w:t xml:space="preserve"> maliyet karşılaştırmasını bir arada ele alan, pilot düzeyde bir karar destek çerçevesi olarak sunmaktadır. Bakım, sigorta ve amortisman gibi kalemlerin maliyet modeline dahil edilmemiş olması ve OR-Tools çözümünün sezgisel niteliği, sonuçların temkinli yorumlanmasını gerektiren başlıca sınırlılıklardır. Gelecek çalışmalarda modelin tüm mağaza ağına genişletilmesi, TCO (Toplam Sahip Olma Maliyeti) tabanlı kapsamlı bir maliyet analizi ve heterojen filo modellemesi önerilmektedir.</w:t>
      </w:r>
    </w:p>
    <w:p w14:paraId="0D67D033" w14:textId="77777777" w:rsidR="00C33A1C" w:rsidRPr="00C33A1C" w:rsidRDefault="00C33A1C" w:rsidP="00C33A1C">
      <w:pPr>
        <w:pStyle w:val="font-claude-response-body"/>
        <w:rPr>
          <w:sz w:val="28"/>
          <w:szCs w:val="28"/>
        </w:rPr>
      </w:pPr>
      <w:r w:rsidRPr="00C33A1C">
        <w:rPr>
          <w:rStyle w:val="Gl"/>
          <w:rFonts w:eastAsiaTheme="majorEastAsia"/>
          <w:sz w:val="28"/>
          <w:szCs w:val="28"/>
        </w:rPr>
        <w:t>YÖNETİCİ ÖZETİ</w:t>
      </w:r>
    </w:p>
    <w:p w14:paraId="62AAE574" w14:textId="77777777" w:rsidR="00C33A1C" w:rsidRDefault="00C33A1C" w:rsidP="00C33A1C">
      <w:pPr>
        <w:pStyle w:val="font-claude-response-body"/>
      </w:pPr>
      <w:r>
        <w:rPr>
          <w:rStyle w:val="Gl"/>
          <w:rFonts w:eastAsiaTheme="majorEastAsia"/>
        </w:rPr>
        <w:t>Amaç:</w:t>
      </w:r>
      <w:r>
        <w:t xml:space="preserve"> LC Waikiki'nin depo–mağaza dağıtım sürecinde, rota optimizasyonu yoluyla operasyonel verimliliği artırmak ve mevcut dış kaynak (</w:t>
      </w:r>
      <w:proofErr w:type="spellStart"/>
      <w:r>
        <w:t>outsource</w:t>
      </w:r>
      <w:proofErr w:type="spellEnd"/>
      <w:r>
        <w:t>) kullanımına dayalı dağıtım sistemi ile şirket bünyesinde (in-</w:t>
      </w:r>
      <w:proofErr w:type="spellStart"/>
      <w:r>
        <w:t>house</w:t>
      </w:r>
      <w:proofErr w:type="spellEnd"/>
      <w:r>
        <w:t>) yürütülecek bir yapının maliyet açısından karşılaştırmasını ortaya koymaktır.</w:t>
      </w:r>
    </w:p>
    <w:p w14:paraId="5131846E" w14:textId="77777777" w:rsidR="00C33A1C" w:rsidRDefault="00C33A1C" w:rsidP="00C33A1C">
      <w:pPr>
        <w:pStyle w:val="font-claude-response-body"/>
      </w:pPr>
      <w:r>
        <w:rPr>
          <w:rStyle w:val="Gl"/>
          <w:rFonts w:eastAsiaTheme="majorEastAsia"/>
        </w:rPr>
        <w:t>Yöntem:</w:t>
      </w:r>
      <w:r>
        <w:t xml:space="preserve"> Mevcut 6 depo ve seçilen 204 pilot mağazadan oluşan ağda, her mağazanın en yakın depoya mesafesi hesaplanmış; 200 km eşiği kullanılarak mağazalar in-</w:t>
      </w:r>
      <w:proofErr w:type="spellStart"/>
      <w:r>
        <w:t>house</w:t>
      </w:r>
      <w:proofErr w:type="spellEnd"/>
      <w:r>
        <w:t xml:space="preserve"> dağıtım adayı (99 mağaza) ve </w:t>
      </w:r>
      <w:proofErr w:type="spellStart"/>
      <w:r>
        <w:t>outsource</w:t>
      </w:r>
      <w:proofErr w:type="spellEnd"/>
      <w:r>
        <w:t xml:space="preserve"> kapsamında kalacak mağazalar (105 mağaza) olarak ayrılmıştır. </w:t>
      </w:r>
      <w:proofErr w:type="spellStart"/>
      <w:r>
        <w:t>In-house</w:t>
      </w:r>
      <w:proofErr w:type="spellEnd"/>
      <w:r>
        <w:t xml:space="preserve"> aday mağazalar için Çok Depolu Araç Rotalama Problemi (MDCVRP) modeli kurulmuş, Google OR-Tools optimizasyon kütüphanesiyle çözülmüştür. </w:t>
      </w:r>
      <w:proofErr w:type="spellStart"/>
      <w:r>
        <w:t>Outsource</w:t>
      </w:r>
      <w:proofErr w:type="spellEnd"/>
      <w:r>
        <w:t>, in-</w:t>
      </w:r>
      <w:proofErr w:type="spellStart"/>
      <w:r>
        <w:t>house</w:t>
      </w:r>
      <w:proofErr w:type="spellEnd"/>
      <w:r>
        <w:t xml:space="preserve"> ve hibrit senaryolara ait günlük maliyetler; yakıt, araç sabit maliyeti, sürücü maliyeti ve koli bazlı </w:t>
      </w:r>
      <w:proofErr w:type="spellStart"/>
      <w:r>
        <w:t>outsource</w:t>
      </w:r>
      <w:proofErr w:type="spellEnd"/>
      <w:r>
        <w:t xml:space="preserve"> birim fiyatı üzerinden hesaplanmıştır.</w:t>
      </w:r>
    </w:p>
    <w:p w14:paraId="73B26260" w14:textId="77777777" w:rsidR="00C33A1C" w:rsidRDefault="00C33A1C" w:rsidP="00C33A1C">
      <w:pPr>
        <w:pStyle w:val="font-claude-response-body"/>
      </w:pPr>
      <w:r>
        <w:rPr>
          <w:rStyle w:val="Gl"/>
          <w:rFonts w:eastAsiaTheme="majorEastAsia"/>
        </w:rPr>
        <w:t>Bulgular:</w:t>
      </w:r>
    </w:p>
    <w:p w14:paraId="1D74E4BA" w14:textId="77777777" w:rsidR="00C33A1C" w:rsidRDefault="00C33A1C" w:rsidP="00C33A1C">
      <w:pPr>
        <w:pStyle w:val="font-claude-response-body"/>
        <w:numPr>
          <w:ilvl w:val="0"/>
          <w:numId w:val="1"/>
        </w:numPr>
      </w:pPr>
      <w:r>
        <w:t>Belirlenen 99 mağazaya 6 araçla hizmet verilebilmekte; filo doluluk oranı ortalama %82,5, tüm rotalar 540 dakikalık süre sınırının altında kalmaktadır.</w:t>
      </w:r>
    </w:p>
    <w:p w14:paraId="287783F8" w14:textId="77777777" w:rsidR="00C33A1C" w:rsidRDefault="00C33A1C" w:rsidP="00C33A1C">
      <w:pPr>
        <w:pStyle w:val="font-claude-response-body"/>
        <w:numPr>
          <w:ilvl w:val="0"/>
          <w:numId w:val="1"/>
        </w:numPr>
      </w:pPr>
      <w:r>
        <w:lastRenderedPageBreak/>
        <w:t xml:space="preserve">Pilot mağaza ağı kapsamında hibrit model, tam </w:t>
      </w:r>
      <w:proofErr w:type="spellStart"/>
      <w:r>
        <w:t>outsource</w:t>
      </w:r>
      <w:proofErr w:type="spellEnd"/>
      <w:r>
        <w:t xml:space="preserve"> yapıya göre günde yaklaşık 15.336 TL (%13,4) tasarruf sağlamaktadır.</w:t>
      </w:r>
    </w:p>
    <w:p w14:paraId="0C0E971D" w14:textId="77777777" w:rsidR="00C33A1C" w:rsidRDefault="00C33A1C" w:rsidP="00C33A1C">
      <w:pPr>
        <w:pStyle w:val="font-claude-response-body"/>
        <w:numPr>
          <w:ilvl w:val="0"/>
          <w:numId w:val="1"/>
        </w:numPr>
      </w:pPr>
      <w:r>
        <w:t>Bu tasarruf oranı, tüm mağaza ağına (533 mağaza) uyarlandığında %5,1'e gerilemektedir; günlük tutar farkı (15.336 TL) her iki kapsamda da aynı kalmaktadır.</w:t>
      </w:r>
    </w:p>
    <w:p w14:paraId="26C7FB18" w14:textId="77777777" w:rsidR="00C33A1C" w:rsidRDefault="00C33A1C" w:rsidP="00C33A1C">
      <w:pPr>
        <w:pStyle w:val="font-claude-response-body"/>
        <w:numPr>
          <w:ilvl w:val="0"/>
          <w:numId w:val="1"/>
        </w:numPr>
      </w:pPr>
      <w:r>
        <w:t>Kapsam uyumlu hesaplamayla filo yatırımının basit geri dönüş süresi yaklaşık 6,5 yıl olup, firmanın 3 yıllık beklentisinin üzerindedir.</w:t>
      </w:r>
    </w:p>
    <w:p w14:paraId="60F88D1A" w14:textId="77777777" w:rsidR="00C33A1C" w:rsidRDefault="00C33A1C" w:rsidP="00C33A1C">
      <w:pPr>
        <w:pStyle w:val="font-claude-response-body"/>
      </w:pPr>
      <w:r>
        <w:rPr>
          <w:rStyle w:val="Gl"/>
          <w:rFonts w:eastAsiaTheme="majorEastAsia"/>
        </w:rPr>
        <w:t>Değerlendirme ve Öneri:</w:t>
      </w:r>
      <w:r>
        <w:t xml:space="preserve"> Hibrit model, mevcut </w:t>
      </w:r>
      <w:proofErr w:type="spellStart"/>
      <w:r>
        <w:t>outsource</w:t>
      </w:r>
      <w:proofErr w:type="spellEnd"/>
      <w:r>
        <w:t xml:space="preserve"> yapının tamamen yerine geçecek bir çözüm değil; belirli mesafe ve talep koşullarını sağlayan mağazaların in-</w:t>
      </w:r>
      <w:proofErr w:type="spellStart"/>
      <w:r>
        <w:t>house</w:t>
      </w:r>
      <w:proofErr w:type="spellEnd"/>
      <w:r>
        <w:t xml:space="preserve"> filo ile, kalan mağazaların ise 3PL (dış kaynak) ile yönetildiği esnek bir yapı olarak değerlendirilmelidir. Yatırım kararı yalnızca geri dönüş süresine dayandırılmamalı; hizmet seviyesi, operasyonel kontrol, talep değişkenliği ve araç sahipliği maliyetleri (bakım, sigorta, amortisman) birlikte ele alınmalıdır. Bu çerçevede çalışma, tüm dağıtım ağını bir anda dönüştürmek yerine, pilot mağaza kümeleri üzerinden kontrollü bir karar sürecini önermekte; kesin bir yatırım kararından ziyade, daha kapsamlı bir TCO (Toplam Sahip Olma Maliyeti) analizi ile desteklenmesi gereken bir karar destek çerçevesi sunmaktadır.</w:t>
      </w:r>
    </w:p>
    <w:p w14:paraId="05FBEB5B" w14:textId="77777777" w:rsidR="00C33A1C" w:rsidRDefault="00C33A1C" w:rsidP="00C33A1C">
      <w:pPr>
        <w:pStyle w:val="font-claude-response-body"/>
      </w:pPr>
    </w:p>
    <w:p w14:paraId="2924B818" w14:textId="77777777" w:rsidR="00C33A1C" w:rsidRPr="00C33A1C" w:rsidRDefault="00C33A1C" w:rsidP="00C33A1C"/>
    <w:sectPr w:rsidR="00C33A1C" w:rsidRPr="00C33A1C">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A2"/>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0"/>
    <w:family w:val="decorative"/>
    <w:pitch w:val="variable"/>
    <w:sig w:usb0="00000003" w:usb1="00000000" w:usb2="00000000" w:usb3="00000000" w:csb0="80000001" w:csb1="00000000"/>
  </w:font>
  <w:font w:name="Calibri">
    <w:panose1 w:val="020F0502020204030204"/>
    <w:charset w:val="A2"/>
    <w:family w:val="swiss"/>
    <w:pitch w:val="variable"/>
    <w:sig w:usb0="E4002EFF" w:usb1="C000247B" w:usb2="00000009" w:usb3="00000000" w:csb0="000001FF" w:csb1="00000000"/>
  </w:font>
  <w:font w:name="Aptos">
    <w:panose1 w:val="020B0004020202020204"/>
    <w:charset w:val="00"/>
    <w:family w:val="swiss"/>
    <w:pitch w:val="variable"/>
    <w:sig w:usb0="20000287" w:usb1="00000003" w:usb2="00000000" w:usb3="00000000" w:csb0="0000019F" w:csb1="00000000"/>
  </w:font>
  <w:font w:name="Times New Roman (CS Gövde)">
    <w:altName w:val="Times New Roman"/>
    <w:panose1 w:val="020B0604020202020204"/>
    <w:charset w:val="00"/>
    <w:family w:val="roman"/>
    <w:notTrueType/>
    <w:pitch w:val="default"/>
  </w:font>
  <w:font w:name="Aptos Display">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2366A6"/>
    <w:multiLevelType w:val="multilevel"/>
    <w:tmpl w:val="92E628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61506562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1"/>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33A1C"/>
    <w:rsid w:val="002820FA"/>
    <w:rsid w:val="004B0FA3"/>
    <w:rsid w:val="007C1CD7"/>
    <w:rsid w:val="00854758"/>
    <w:rsid w:val="009C1CDE"/>
    <w:rsid w:val="00B81141"/>
    <w:rsid w:val="00BD668F"/>
    <w:rsid w:val="00C33A1C"/>
    <w:rsid w:val="00C8451F"/>
    <w:rsid w:val="00F50424"/>
  </w:rsids>
  <m:mathPr>
    <m:mathFont m:val="Cambria Math"/>
    <m:brkBin m:val="before"/>
    <m:brkBinSub m:val="--"/>
    <m:smallFrac m:val="0"/>
    <m:dispDef/>
    <m:lMargin m:val="0"/>
    <m:rMargin m:val="0"/>
    <m:defJc m:val="centerGroup"/>
    <m:wrapIndent m:val="1440"/>
    <m:intLim m:val="subSup"/>
    <m:naryLim m:val="undOvr"/>
  </m:mathPr>
  <w:themeFontLang w:val="tr-TR"/>
  <w:clrSchemeMapping w:bg1="light1" w:t1="dark1" w:bg2="light2" w:t2="dark2" w:accent1="accent1" w:accent2="accent2" w:accent3="accent3" w:accent4="accent4" w:accent5="accent5" w:accent6="accent6" w:hyperlink="hyperlink" w:followedHyperlink="followedHyperlink"/>
  <w:decimalSymbol w:val=","/>
  <w:listSeparator w:val=";"/>
  <w14:docId w14:val="450A3F8D"/>
  <w15:chartTrackingRefBased/>
  <w15:docId w15:val="{C2AE0100-57E1-FB41-BB0D-40AB8C84BE9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Theme="minorHAnsi" w:hAnsi="Calibri" w:cs="Times New Roman (CS Gövde)"/>
        <w:kern w:val="2"/>
        <w:sz w:val="24"/>
        <w:szCs w:val="24"/>
        <w:lang w:val="tr-TR"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Balk1">
    <w:name w:val="heading 1"/>
    <w:basedOn w:val="Normal"/>
    <w:next w:val="Normal"/>
    <w:link w:val="Balk1Char"/>
    <w:uiPriority w:val="9"/>
    <w:qFormat/>
    <w:rsid w:val="00C33A1C"/>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Balk2">
    <w:name w:val="heading 2"/>
    <w:basedOn w:val="Normal"/>
    <w:next w:val="Normal"/>
    <w:link w:val="Balk2Char"/>
    <w:uiPriority w:val="9"/>
    <w:semiHidden/>
    <w:unhideWhenUsed/>
    <w:qFormat/>
    <w:rsid w:val="00C33A1C"/>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Balk3">
    <w:name w:val="heading 3"/>
    <w:basedOn w:val="Normal"/>
    <w:next w:val="Normal"/>
    <w:link w:val="Balk3Char"/>
    <w:uiPriority w:val="9"/>
    <w:semiHidden/>
    <w:unhideWhenUsed/>
    <w:qFormat/>
    <w:rsid w:val="00C33A1C"/>
    <w:pPr>
      <w:keepNext/>
      <w:keepLines/>
      <w:spacing w:before="160" w:after="80"/>
      <w:outlineLvl w:val="2"/>
    </w:pPr>
    <w:rPr>
      <w:rFonts w:asciiTheme="minorHAnsi" w:eastAsiaTheme="majorEastAsia" w:hAnsiTheme="minorHAnsi" w:cstheme="majorBidi"/>
      <w:color w:val="0F4761" w:themeColor="accent1" w:themeShade="BF"/>
      <w:sz w:val="28"/>
      <w:szCs w:val="28"/>
    </w:rPr>
  </w:style>
  <w:style w:type="paragraph" w:styleId="Balk4">
    <w:name w:val="heading 4"/>
    <w:basedOn w:val="Normal"/>
    <w:next w:val="Normal"/>
    <w:link w:val="Balk4Char"/>
    <w:uiPriority w:val="9"/>
    <w:semiHidden/>
    <w:unhideWhenUsed/>
    <w:qFormat/>
    <w:rsid w:val="00C33A1C"/>
    <w:pPr>
      <w:keepNext/>
      <w:keepLines/>
      <w:spacing w:before="80" w:after="40"/>
      <w:outlineLvl w:val="3"/>
    </w:pPr>
    <w:rPr>
      <w:rFonts w:asciiTheme="minorHAnsi" w:eastAsiaTheme="majorEastAsia" w:hAnsiTheme="minorHAnsi" w:cstheme="majorBidi"/>
      <w:i/>
      <w:iCs/>
      <w:color w:val="0F4761" w:themeColor="accent1" w:themeShade="BF"/>
    </w:rPr>
  </w:style>
  <w:style w:type="paragraph" w:styleId="Balk5">
    <w:name w:val="heading 5"/>
    <w:basedOn w:val="Normal"/>
    <w:next w:val="Normal"/>
    <w:link w:val="Balk5Char"/>
    <w:uiPriority w:val="9"/>
    <w:semiHidden/>
    <w:unhideWhenUsed/>
    <w:qFormat/>
    <w:rsid w:val="00C33A1C"/>
    <w:pPr>
      <w:keepNext/>
      <w:keepLines/>
      <w:spacing w:before="80" w:after="40"/>
      <w:outlineLvl w:val="4"/>
    </w:pPr>
    <w:rPr>
      <w:rFonts w:asciiTheme="minorHAnsi" w:eastAsiaTheme="majorEastAsia" w:hAnsiTheme="minorHAnsi" w:cstheme="majorBidi"/>
      <w:color w:val="0F4761" w:themeColor="accent1" w:themeShade="BF"/>
    </w:rPr>
  </w:style>
  <w:style w:type="paragraph" w:styleId="Balk6">
    <w:name w:val="heading 6"/>
    <w:basedOn w:val="Normal"/>
    <w:next w:val="Normal"/>
    <w:link w:val="Balk6Char"/>
    <w:uiPriority w:val="9"/>
    <w:semiHidden/>
    <w:unhideWhenUsed/>
    <w:qFormat/>
    <w:rsid w:val="00C33A1C"/>
    <w:pPr>
      <w:keepNext/>
      <w:keepLines/>
      <w:spacing w:before="40"/>
      <w:outlineLvl w:val="5"/>
    </w:pPr>
    <w:rPr>
      <w:rFonts w:asciiTheme="minorHAnsi" w:eastAsiaTheme="majorEastAsia" w:hAnsiTheme="minorHAnsi" w:cstheme="majorBidi"/>
      <w:i/>
      <w:iCs/>
      <w:color w:val="595959" w:themeColor="text1" w:themeTint="A6"/>
    </w:rPr>
  </w:style>
  <w:style w:type="paragraph" w:styleId="Balk7">
    <w:name w:val="heading 7"/>
    <w:basedOn w:val="Normal"/>
    <w:next w:val="Normal"/>
    <w:link w:val="Balk7Char"/>
    <w:uiPriority w:val="9"/>
    <w:semiHidden/>
    <w:unhideWhenUsed/>
    <w:qFormat/>
    <w:rsid w:val="00C33A1C"/>
    <w:pPr>
      <w:keepNext/>
      <w:keepLines/>
      <w:spacing w:before="40"/>
      <w:outlineLvl w:val="6"/>
    </w:pPr>
    <w:rPr>
      <w:rFonts w:asciiTheme="minorHAnsi" w:eastAsiaTheme="majorEastAsia" w:hAnsiTheme="minorHAnsi" w:cstheme="majorBidi"/>
      <w:color w:val="595959" w:themeColor="text1" w:themeTint="A6"/>
    </w:rPr>
  </w:style>
  <w:style w:type="paragraph" w:styleId="Balk8">
    <w:name w:val="heading 8"/>
    <w:basedOn w:val="Normal"/>
    <w:next w:val="Normal"/>
    <w:link w:val="Balk8Char"/>
    <w:uiPriority w:val="9"/>
    <w:semiHidden/>
    <w:unhideWhenUsed/>
    <w:qFormat/>
    <w:rsid w:val="00C33A1C"/>
    <w:pPr>
      <w:keepNext/>
      <w:keepLines/>
      <w:outlineLvl w:val="7"/>
    </w:pPr>
    <w:rPr>
      <w:rFonts w:asciiTheme="minorHAnsi" w:eastAsiaTheme="majorEastAsia" w:hAnsiTheme="minorHAnsi" w:cstheme="majorBidi"/>
      <w:i/>
      <w:iCs/>
      <w:color w:val="272727" w:themeColor="text1" w:themeTint="D8"/>
    </w:rPr>
  </w:style>
  <w:style w:type="paragraph" w:styleId="Balk9">
    <w:name w:val="heading 9"/>
    <w:basedOn w:val="Normal"/>
    <w:next w:val="Normal"/>
    <w:link w:val="Balk9Char"/>
    <w:uiPriority w:val="9"/>
    <w:semiHidden/>
    <w:unhideWhenUsed/>
    <w:qFormat/>
    <w:rsid w:val="00C33A1C"/>
    <w:pPr>
      <w:keepNext/>
      <w:keepLines/>
      <w:outlineLvl w:val="8"/>
    </w:pPr>
    <w:rPr>
      <w:rFonts w:asciiTheme="minorHAnsi" w:eastAsiaTheme="majorEastAsia" w:hAnsiTheme="minorHAnsi" w:cstheme="majorBidi"/>
      <w:color w:val="272727" w:themeColor="text1" w:themeTint="D8"/>
    </w:rPr>
  </w:style>
  <w:style w:type="character" w:default="1" w:styleId="VarsaylanParagrafYazTipi">
    <w:name w:val="Default Paragraph Font"/>
    <w:uiPriority w:val="1"/>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character" w:customStyle="1" w:styleId="Balk1Char">
    <w:name w:val="Başlık 1 Char"/>
    <w:basedOn w:val="VarsaylanParagrafYazTipi"/>
    <w:link w:val="Balk1"/>
    <w:uiPriority w:val="9"/>
    <w:rsid w:val="00C33A1C"/>
    <w:rPr>
      <w:rFonts w:asciiTheme="majorHAnsi" w:eastAsiaTheme="majorEastAsia" w:hAnsiTheme="majorHAnsi" w:cstheme="majorBidi"/>
      <w:color w:val="0F4761" w:themeColor="accent1" w:themeShade="BF"/>
      <w:sz w:val="40"/>
      <w:szCs w:val="40"/>
    </w:rPr>
  </w:style>
  <w:style w:type="character" w:customStyle="1" w:styleId="Balk2Char">
    <w:name w:val="Başlık 2 Char"/>
    <w:basedOn w:val="VarsaylanParagrafYazTipi"/>
    <w:link w:val="Balk2"/>
    <w:uiPriority w:val="9"/>
    <w:semiHidden/>
    <w:rsid w:val="00C33A1C"/>
    <w:rPr>
      <w:rFonts w:asciiTheme="majorHAnsi" w:eastAsiaTheme="majorEastAsia" w:hAnsiTheme="majorHAnsi" w:cstheme="majorBidi"/>
      <w:color w:val="0F4761" w:themeColor="accent1" w:themeShade="BF"/>
      <w:sz w:val="32"/>
      <w:szCs w:val="32"/>
    </w:rPr>
  </w:style>
  <w:style w:type="character" w:customStyle="1" w:styleId="Balk3Char">
    <w:name w:val="Başlık 3 Char"/>
    <w:basedOn w:val="VarsaylanParagrafYazTipi"/>
    <w:link w:val="Balk3"/>
    <w:uiPriority w:val="9"/>
    <w:semiHidden/>
    <w:rsid w:val="00C33A1C"/>
    <w:rPr>
      <w:rFonts w:asciiTheme="minorHAnsi" w:eastAsiaTheme="majorEastAsia" w:hAnsiTheme="minorHAnsi" w:cstheme="majorBidi"/>
      <w:color w:val="0F4761" w:themeColor="accent1" w:themeShade="BF"/>
      <w:sz w:val="28"/>
      <w:szCs w:val="28"/>
    </w:rPr>
  </w:style>
  <w:style w:type="character" w:customStyle="1" w:styleId="Balk4Char">
    <w:name w:val="Başlık 4 Char"/>
    <w:basedOn w:val="VarsaylanParagrafYazTipi"/>
    <w:link w:val="Balk4"/>
    <w:uiPriority w:val="9"/>
    <w:semiHidden/>
    <w:rsid w:val="00C33A1C"/>
    <w:rPr>
      <w:rFonts w:asciiTheme="minorHAnsi" w:eastAsiaTheme="majorEastAsia" w:hAnsiTheme="minorHAnsi" w:cstheme="majorBidi"/>
      <w:i/>
      <w:iCs/>
      <w:color w:val="0F4761" w:themeColor="accent1" w:themeShade="BF"/>
    </w:rPr>
  </w:style>
  <w:style w:type="character" w:customStyle="1" w:styleId="Balk5Char">
    <w:name w:val="Başlık 5 Char"/>
    <w:basedOn w:val="VarsaylanParagrafYazTipi"/>
    <w:link w:val="Balk5"/>
    <w:uiPriority w:val="9"/>
    <w:semiHidden/>
    <w:rsid w:val="00C33A1C"/>
    <w:rPr>
      <w:rFonts w:asciiTheme="minorHAnsi" w:eastAsiaTheme="majorEastAsia" w:hAnsiTheme="minorHAnsi" w:cstheme="majorBidi"/>
      <w:color w:val="0F4761" w:themeColor="accent1" w:themeShade="BF"/>
    </w:rPr>
  </w:style>
  <w:style w:type="character" w:customStyle="1" w:styleId="Balk6Char">
    <w:name w:val="Başlık 6 Char"/>
    <w:basedOn w:val="VarsaylanParagrafYazTipi"/>
    <w:link w:val="Balk6"/>
    <w:uiPriority w:val="9"/>
    <w:semiHidden/>
    <w:rsid w:val="00C33A1C"/>
    <w:rPr>
      <w:rFonts w:asciiTheme="minorHAnsi" w:eastAsiaTheme="majorEastAsia" w:hAnsiTheme="minorHAnsi" w:cstheme="majorBidi"/>
      <w:i/>
      <w:iCs/>
      <w:color w:val="595959" w:themeColor="text1" w:themeTint="A6"/>
    </w:rPr>
  </w:style>
  <w:style w:type="character" w:customStyle="1" w:styleId="Balk7Char">
    <w:name w:val="Başlık 7 Char"/>
    <w:basedOn w:val="VarsaylanParagrafYazTipi"/>
    <w:link w:val="Balk7"/>
    <w:uiPriority w:val="9"/>
    <w:semiHidden/>
    <w:rsid w:val="00C33A1C"/>
    <w:rPr>
      <w:rFonts w:asciiTheme="minorHAnsi" w:eastAsiaTheme="majorEastAsia" w:hAnsiTheme="minorHAnsi" w:cstheme="majorBidi"/>
      <w:color w:val="595959" w:themeColor="text1" w:themeTint="A6"/>
    </w:rPr>
  </w:style>
  <w:style w:type="character" w:customStyle="1" w:styleId="Balk8Char">
    <w:name w:val="Başlık 8 Char"/>
    <w:basedOn w:val="VarsaylanParagrafYazTipi"/>
    <w:link w:val="Balk8"/>
    <w:uiPriority w:val="9"/>
    <w:semiHidden/>
    <w:rsid w:val="00C33A1C"/>
    <w:rPr>
      <w:rFonts w:asciiTheme="minorHAnsi" w:eastAsiaTheme="majorEastAsia" w:hAnsiTheme="minorHAnsi" w:cstheme="majorBidi"/>
      <w:i/>
      <w:iCs/>
      <w:color w:val="272727" w:themeColor="text1" w:themeTint="D8"/>
    </w:rPr>
  </w:style>
  <w:style w:type="character" w:customStyle="1" w:styleId="Balk9Char">
    <w:name w:val="Başlık 9 Char"/>
    <w:basedOn w:val="VarsaylanParagrafYazTipi"/>
    <w:link w:val="Balk9"/>
    <w:uiPriority w:val="9"/>
    <w:semiHidden/>
    <w:rsid w:val="00C33A1C"/>
    <w:rPr>
      <w:rFonts w:asciiTheme="minorHAnsi" w:eastAsiaTheme="majorEastAsia" w:hAnsiTheme="minorHAnsi" w:cstheme="majorBidi"/>
      <w:color w:val="272727" w:themeColor="text1" w:themeTint="D8"/>
    </w:rPr>
  </w:style>
  <w:style w:type="paragraph" w:styleId="KonuBal">
    <w:name w:val="Title"/>
    <w:basedOn w:val="Normal"/>
    <w:next w:val="Normal"/>
    <w:link w:val="KonuBalChar"/>
    <w:uiPriority w:val="10"/>
    <w:qFormat/>
    <w:rsid w:val="00C33A1C"/>
    <w:pPr>
      <w:spacing w:after="80"/>
      <w:contextualSpacing/>
    </w:pPr>
    <w:rPr>
      <w:rFonts w:asciiTheme="majorHAnsi" w:eastAsiaTheme="majorEastAsia" w:hAnsiTheme="majorHAnsi" w:cstheme="majorBidi"/>
      <w:spacing w:val="-10"/>
      <w:kern w:val="28"/>
      <w:sz w:val="56"/>
      <w:szCs w:val="56"/>
    </w:rPr>
  </w:style>
  <w:style w:type="character" w:customStyle="1" w:styleId="KonuBalChar">
    <w:name w:val="Konu Başlığı Char"/>
    <w:basedOn w:val="VarsaylanParagrafYazTipi"/>
    <w:link w:val="KonuBal"/>
    <w:uiPriority w:val="10"/>
    <w:rsid w:val="00C33A1C"/>
    <w:rPr>
      <w:rFonts w:asciiTheme="majorHAnsi" w:eastAsiaTheme="majorEastAsia" w:hAnsiTheme="majorHAnsi" w:cstheme="majorBidi"/>
      <w:spacing w:val="-10"/>
      <w:kern w:val="28"/>
      <w:sz w:val="56"/>
      <w:szCs w:val="56"/>
    </w:rPr>
  </w:style>
  <w:style w:type="paragraph" w:styleId="Altyaz">
    <w:name w:val="Subtitle"/>
    <w:basedOn w:val="Normal"/>
    <w:next w:val="Normal"/>
    <w:link w:val="AltyazChar"/>
    <w:uiPriority w:val="11"/>
    <w:qFormat/>
    <w:rsid w:val="00C33A1C"/>
    <w:pPr>
      <w:numPr>
        <w:ilvl w:val="1"/>
      </w:numPr>
      <w:spacing w:after="160"/>
    </w:pPr>
    <w:rPr>
      <w:rFonts w:asciiTheme="minorHAnsi" w:eastAsiaTheme="majorEastAsia" w:hAnsiTheme="minorHAnsi" w:cstheme="majorBidi"/>
      <w:color w:val="595959" w:themeColor="text1" w:themeTint="A6"/>
      <w:spacing w:val="15"/>
      <w:sz w:val="28"/>
      <w:szCs w:val="28"/>
    </w:rPr>
  </w:style>
  <w:style w:type="character" w:customStyle="1" w:styleId="AltyazChar">
    <w:name w:val="Altyazı Char"/>
    <w:basedOn w:val="VarsaylanParagrafYazTipi"/>
    <w:link w:val="Altyaz"/>
    <w:uiPriority w:val="11"/>
    <w:rsid w:val="00C33A1C"/>
    <w:rPr>
      <w:rFonts w:asciiTheme="minorHAnsi" w:eastAsiaTheme="majorEastAsia" w:hAnsiTheme="minorHAnsi" w:cstheme="majorBidi"/>
      <w:color w:val="595959" w:themeColor="text1" w:themeTint="A6"/>
      <w:spacing w:val="15"/>
      <w:sz w:val="28"/>
      <w:szCs w:val="28"/>
    </w:rPr>
  </w:style>
  <w:style w:type="paragraph" w:styleId="Alnt">
    <w:name w:val="Quote"/>
    <w:basedOn w:val="Normal"/>
    <w:next w:val="Normal"/>
    <w:link w:val="AlntChar"/>
    <w:uiPriority w:val="29"/>
    <w:qFormat/>
    <w:rsid w:val="00C33A1C"/>
    <w:pPr>
      <w:spacing w:before="160" w:after="160"/>
      <w:jc w:val="center"/>
    </w:pPr>
    <w:rPr>
      <w:i/>
      <w:iCs/>
      <w:color w:val="404040" w:themeColor="text1" w:themeTint="BF"/>
    </w:rPr>
  </w:style>
  <w:style w:type="character" w:customStyle="1" w:styleId="AlntChar">
    <w:name w:val="Alıntı Char"/>
    <w:basedOn w:val="VarsaylanParagrafYazTipi"/>
    <w:link w:val="Alnt"/>
    <w:uiPriority w:val="29"/>
    <w:rsid w:val="00C33A1C"/>
    <w:rPr>
      <w:i/>
      <w:iCs/>
      <w:color w:val="404040" w:themeColor="text1" w:themeTint="BF"/>
    </w:rPr>
  </w:style>
  <w:style w:type="paragraph" w:styleId="ListeParagraf">
    <w:name w:val="List Paragraph"/>
    <w:basedOn w:val="Normal"/>
    <w:uiPriority w:val="34"/>
    <w:qFormat/>
    <w:rsid w:val="00C33A1C"/>
    <w:pPr>
      <w:ind w:left="720"/>
      <w:contextualSpacing/>
    </w:pPr>
  </w:style>
  <w:style w:type="character" w:styleId="GlVurgulama">
    <w:name w:val="Intense Emphasis"/>
    <w:basedOn w:val="VarsaylanParagrafYazTipi"/>
    <w:uiPriority w:val="21"/>
    <w:qFormat/>
    <w:rsid w:val="00C33A1C"/>
    <w:rPr>
      <w:i/>
      <w:iCs/>
      <w:color w:val="0F4761" w:themeColor="accent1" w:themeShade="BF"/>
    </w:rPr>
  </w:style>
  <w:style w:type="paragraph" w:styleId="GlAlnt">
    <w:name w:val="Intense Quote"/>
    <w:basedOn w:val="Normal"/>
    <w:next w:val="Normal"/>
    <w:link w:val="GlAlntChar"/>
    <w:uiPriority w:val="30"/>
    <w:qFormat/>
    <w:rsid w:val="00C33A1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GlAlntChar">
    <w:name w:val="Güçlü Alıntı Char"/>
    <w:basedOn w:val="VarsaylanParagrafYazTipi"/>
    <w:link w:val="GlAlnt"/>
    <w:uiPriority w:val="30"/>
    <w:rsid w:val="00C33A1C"/>
    <w:rPr>
      <w:i/>
      <w:iCs/>
      <w:color w:val="0F4761" w:themeColor="accent1" w:themeShade="BF"/>
    </w:rPr>
  </w:style>
  <w:style w:type="character" w:styleId="GlBavuru">
    <w:name w:val="Intense Reference"/>
    <w:basedOn w:val="VarsaylanParagrafYazTipi"/>
    <w:uiPriority w:val="32"/>
    <w:qFormat/>
    <w:rsid w:val="00C33A1C"/>
    <w:rPr>
      <w:b/>
      <w:bCs/>
      <w:smallCaps/>
      <w:color w:val="0F4761" w:themeColor="accent1" w:themeShade="BF"/>
      <w:spacing w:val="5"/>
    </w:rPr>
  </w:style>
  <w:style w:type="paragraph" w:customStyle="1" w:styleId="font-claude-response-body">
    <w:name w:val="font-claude-response-body"/>
    <w:basedOn w:val="Normal"/>
    <w:rsid w:val="00C33A1C"/>
    <w:pPr>
      <w:spacing w:before="100" w:beforeAutospacing="1" w:after="100" w:afterAutospacing="1"/>
    </w:pPr>
    <w:rPr>
      <w:rFonts w:ascii="Times New Roman" w:eastAsia="Times New Roman" w:hAnsi="Times New Roman" w:cs="Times New Roman"/>
      <w:kern w:val="0"/>
      <w:lang w:eastAsia="tr-TR"/>
      <w14:ligatures w14:val="none"/>
    </w:rPr>
  </w:style>
  <w:style w:type="character" w:customStyle="1" w:styleId="animating6ta1u10">
    <w:name w:val="_animating_6ta1u_10"/>
    <w:basedOn w:val="VarsaylanParagrafYazTipi"/>
    <w:rsid w:val="00C33A1C"/>
  </w:style>
  <w:style w:type="character" w:styleId="Gl">
    <w:name w:val="Strong"/>
    <w:basedOn w:val="VarsaylanParagrafYazTipi"/>
    <w:uiPriority w:val="22"/>
    <w:qFormat/>
    <w:rsid w:val="00C33A1C"/>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eması">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2</Pages>
  <Words>643</Words>
  <Characters>3667</Characters>
  <Application>Microsoft Office Word</Application>
  <DocSecurity>0</DocSecurity>
  <Lines>30</Lines>
  <Paragraphs>8</Paragraphs>
  <ScaleCrop>false</ScaleCrop>
  <Company/>
  <LinksUpToDate>false</LinksUpToDate>
  <CharactersWithSpaces>4302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oğuz yalçın</dc:creator>
  <cp:keywords/>
  <dc:description/>
  <cp:lastModifiedBy>oğuz yalçın</cp:lastModifiedBy>
  <cp:revision>1</cp:revision>
  <dcterms:created xsi:type="dcterms:W3CDTF">2026-07-08T21:44:00Z</dcterms:created>
  <dcterms:modified xsi:type="dcterms:W3CDTF">2026-07-08T21:46:00Z</dcterms:modified>
</cp:coreProperties>
</file>