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7B7307" w14:textId="77777777" w:rsidR="003552CD" w:rsidRDefault="00000000">
      <w:pPr>
        <w:spacing w:after="60"/>
      </w:pPr>
      <w:r>
        <w:rPr>
          <w:b/>
          <w:color w:val="0B2545"/>
          <w:sz w:val="44"/>
        </w:rPr>
        <w:t>Dashboard Design Document</w:t>
      </w:r>
    </w:p>
    <w:p w14:paraId="5FF883CC" w14:textId="77777777" w:rsidR="003552CD" w:rsidRDefault="00000000">
      <w:pPr>
        <w:spacing w:after="200"/>
      </w:pPr>
      <w:r>
        <w:rPr>
          <w:color w:val="555555"/>
          <w:sz w:val="24"/>
        </w:rPr>
        <w:t>Single-Page Executive Command Center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49"/>
        <w:gridCol w:w="7611"/>
      </w:tblGrid>
      <w:tr w:rsidR="003552CD" w14:paraId="56D14DFA" w14:textId="77777777" w:rsidTr="00255D85">
        <w:tc>
          <w:tcPr>
            <w:tcW w:w="1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020C" w14:textId="77777777" w:rsidR="003552CD" w:rsidRDefault="00000000">
            <w:r>
              <w:rPr>
                <w:b/>
                <w:color w:val="1F4D78"/>
                <w:sz w:val="20"/>
              </w:rPr>
              <w:t>Project</w:t>
            </w:r>
          </w:p>
        </w:tc>
        <w:tc>
          <w:tcPr>
            <w:tcW w:w="7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777F" w14:textId="77777777" w:rsidR="003552CD" w:rsidRDefault="00000000">
            <w:r>
              <w:rPr>
                <w:color w:val="0B2545"/>
                <w:sz w:val="20"/>
              </w:rPr>
              <w:t>NexaChain Intelligence Platform</w:t>
            </w:r>
          </w:p>
        </w:tc>
      </w:tr>
      <w:tr w:rsidR="003552CD" w14:paraId="5C2F6AFB" w14:textId="77777777" w:rsidTr="00255D85">
        <w:tc>
          <w:tcPr>
            <w:tcW w:w="1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5FFD" w14:textId="77777777" w:rsidR="003552CD" w:rsidRDefault="00000000">
            <w:r>
              <w:rPr>
                <w:b/>
                <w:color w:val="1F4D78"/>
                <w:sz w:val="20"/>
              </w:rPr>
              <w:t>Sprint</w:t>
            </w:r>
          </w:p>
        </w:tc>
        <w:tc>
          <w:tcPr>
            <w:tcW w:w="7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4388" w14:textId="77777777" w:rsidR="003552CD" w:rsidRDefault="00000000">
            <w:r>
              <w:rPr>
                <w:color w:val="0B2545"/>
                <w:sz w:val="20"/>
              </w:rPr>
              <w:t>Week 3 - Supply Chain Command Center</w:t>
            </w:r>
          </w:p>
        </w:tc>
      </w:tr>
      <w:tr w:rsidR="003552CD" w14:paraId="0B152496" w14:textId="77777777" w:rsidTr="00255D85">
        <w:tc>
          <w:tcPr>
            <w:tcW w:w="1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1054" w14:textId="77777777" w:rsidR="003552CD" w:rsidRDefault="00000000">
            <w:r>
              <w:rPr>
                <w:b/>
                <w:color w:val="1F4D78"/>
                <w:sz w:val="20"/>
              </w:rPr>
              <w:t>Prepared For</w:t>
            </w:r>
          </w:p>
        </w:tc>
        <w:tc>
          <w:tcPr>
            <w:tcW w:w="7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24A1" w14:textId="77777777" w:rsidR="003552CD" w:rsidRDefault="00000000">
            <w:r>
              <w:rPr>
                <w:color w:val="0B2545"/>
                <w:sz w:val="20"/>
              </w:rPr>
              <w:t>Data Analyst &amp; BI Team</w:t>
            </w:r>
          </w:p>
        </w:tc>
      </w:tr>
    </w:tbl>
    <w:p w14:paraId="2A62A9DF" w14:textId="77777777" w:rsidR="003552CD" w:rsidRDefault="003552CD">
      <w:pPr>
        <w:pBdr>
          <w:bottom w:val="single" w:sz="8" w:space="4" w:color="2E74B5"/>
        </w:pBdr>
        <w:spacing w:after="200"/>
      </w:pPr>
    </w:p>
    <w:p w14:paraId="261B87FC" w14:textId="77777777" w:rsidR="003552CD" w:rsidRDefault="00000000">
      <w:pPr>
        <w:pStyle w:val="Heading1"/>
      </w:pPr>
      <w:r>
        <w:t>Dashboard Objective</w:t>
      </w:r>
    </w:p>
    <w:p w14:paraId="42846CE3" w14:textId="51DC7911" w:rsidR="003552CD" w:rsidRDefault="00000000" w:rsidP="00761A35">
      <w:r>
        <w:rPr>
          <w:color w:val="0B2545"/>
        </w:rPr>
        <w:t>The NexaChain Supply Chain Command Center provides executives with a single-page operational view of delivery performance, vendor risk, inventory shortages, penalty exposure, working capital, and short-term trends.</w:t>
      </w:r>
    </w:p>
    <w:p w14:paraId="6D522A1C" w14:textId="77777777" w:rsidR="003552CD" w:rsidRDefault="00000000">
      <w:pPr>
        <w:pStyle w:val="Heading1"/>
      </w:pPr>
      <w:r>
        <w:t>Page Layout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3300"/>
        <w:gridCol w:w="3960"/>
      </w:tblGrid>
      <w:tr w:rsidR="003552CD" w14:paraId="0E891721" w14:textId="77777777"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678B9" w14:textId="77777777" w:rsidR="003552CD" w:rsidRDefault="00000000">
            <w:r>
              <w:rPr>
                <w:b/>
                <w:color w:val="0B2545"/>
                <w:sz w:val="17"/>
              </w:rPr>
              <w:t>Section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111F" w14:textId="77777777" w:rsidR="003552CD" w:rsidRDefault="00000000">
            <w:r>
              <w:rPr>
                <w:b/>
                <w:color w:val="0B2545"/>
                <w:sz w:val="17"/>
              </w:rPr>
              <w:t>Purpose</w:t>
            </w:r>
          </w:p>
        </w:tc>
        <w:tc>
          <w:tcPr>
            <w:tcW w:w="39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A9C8" w14:textId="77777777" w:rsidR="003552CD" w:rsidRDefault="00000000">
            <w:r>
              <w:rPr>
                <w:b/>
                <w:color w:val="0B2545"/>
                <w:sz w:val="17"/>
              </w:rPr>
              <w:t>Primary Visuals</w:t>
            </w:r>
          </w:p>
        </w:tc>
      </w:tr>
      <w:tr w:rsidR="003552CD" w14:paraId="1BA346F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90CAE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Header and slicers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831D2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Control the reporting context.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317C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Relative date slicer, region slicer, vendor tier slicer, order status slicer</w:t>
            </w:r>
          </w:p>
        </w:tc>
      </w:tr>
      <w:tr w:rsidR="003552CD" w14:paraId="6BD95AD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B212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KPI cards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40CA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Show urgent executive metrics.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86EF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OTD rate, vendor alerts, stockouts, SLA exposure, MoM change, delay, working capital, top risk countries</w:t>
            </w:r>
          </w:p>
        </w:tc>
      </w:tr>
      <w:tr w:rsidR="003552CD" w14:paraId="2830E71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9FAF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Risk map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AB40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Show geographic concentration of vendor risk.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6BCAC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Filled map using current country vendor risk score</w:t>
            </w:r>
          </w:p>
        </w:tc>
      </w:tr>
      <w:tr w:rsidR="003552CD" w14:paraId="4B429F8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C6E0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Operational distribution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6CB2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Show order capacity and status mix.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C31B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Stacked bar chart by region/channel and donut by status</w:t>
            </w:r>
          </w:p>
        </w:tc>
      </w:tr>
      <w:tr w:rsidR="003552CD" w14:paraId="510FD9A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D049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Risk alerts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51BE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Surface vendors requiring action.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BBF8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Interactive table with vendor, country, severity, status, action</w:t>
            </w:r>
          </w:p>
        </w:tc>
      </w:tr>
    </w:tbl>
    <w:p w14:paraId="1E5B63BA" w14:textId="77777777" w:rsidR="003552CD" w:rsidRDefault="003552CD"/>
    <w:p w14:paraId="330D95F6" w14:textId="77777777" w:rsidR="003552CD" w:rsidRDefault="00000000">
      <w:pPr>
        <w:pStyle w:val="Heading1"/>
      </w:pPr>
      <w:r>
        <w:t>Visual Design Rules</w:t>
      </w:r>
    </w:p>
    <w:p w14:paraId="2B3ECB78" w14:textId="77777777" w:rsidR="003552CD" w:rsidRDefault="00000000">
      <w:pPr>
        <w:pStyle w:val="ListBullet"/>
        <w:spacing w:after="80"/>
      </w:pPr>
      <w:r>
        <w:rPr>
          <w:color w:val="0B2545"/>
        </w:rPr>
        <w:t>KPI cards use conditional colors: green for healthy performance, amber for watch zones, and red for underperformance or high risk.</w:t>
      </w:r>
    </w:p>
    <w:p w14:paraId="231090EA" w14:textId="77777777" w:rsidR="003552CD" w:rsidRDefault="00000000">
      <w:pPr>
        <w:pStyle w:val="ListBullet"/>
        <w:spacing w:after="80"/>
      </w:pPr>
      <w:r>
        <w:rPr>
          <w:color w:val="0B2545"/>
        </w:rPr>
        <w:t>Vendor risk uses an inverse color interpretation: lower VRIS scores are worse and should be shown as red.</w:t>
      </w:r>
    </w:p>
    <w:p w14:paraId="4D941E13" w14:textId="77777777" w:rsidR="003552CD" w:rsidRDefault="00000000">
      <w:pPr>
        <w:pStyle w:val="ListBullet"/>
        <w:spacing w:after="80"/>
      </w:pPr>
      <w:r>
        <w:rPr>
          <w:color w:val="0B2545"/>
        </w:rPr>
        <w:t>The dashboard uses a single-page layout so executives can scan performance without navigation.</w:t>
      </w:r>
    </w:p>
    <w:p w14:paraId="46529A2A" w14:textId="77777777" w:rsidR="003552CD" w:rsidRDefault="00000000">
      <w:pPr>
        <w:pStyle w:val="ListBullet"/>
        <w:spacing w:after="80"/>
      </w:pPr>
      <w:r>
        <w:rPr>
          <w:color w:val="0B2545"/>
        </w:rPr>
        <w:t>Dense visuals are grouped below the KPI band, while slicers stay near the top for fast interaction.</w:t>
      </w:r>
    </w:p>
    <w:p w14:paraId="69F1203C" w14:textId="77777777" w:rsidR="003552CD" w:rsidRDefault="00000000">
      <w:pPr>
        <w:pStyle w:val="Heading1"/>
      </w:pPr>
      <w:r>
        <w:lastRenderedPageBreak/>
        <w:t>Interactivity</w:t>
      </w:r>
    </w:p>
    <w:p w14:paraId="626E9BF9" w14:textId="77777777" w:rsidR="003552CD" w:rsidRDefault="00000000">
      <w:pPr>
        <w:pStyle w:val="ListBullet"/>
        <w:spacing w:after="80"/>
      </w:pPr>
      <w:r>
        <w:rPr>
          <w:color w:val="0B2545"/>
        </w:rPr>
        <w:t>Relative date range controls order and time-based views.</w:t>
      </w:r>
    </w:p>
    <w:p w14:paraId="48629B2A" w14:textId="77777777" w:rsidR="003552CD" w:rsidRDefault="00000000">
      <w:pPr>
        <w:pStyle w:val="ListBullet"/>
        <w:spacing w:after="80"/>
      </w:pPr>
      <w:r>
        <w:rPr>
          <w:color w:val="0B2545"/>
        </w:rPr>
        <w:t>Region, vendor tier, and order status slicers allow targeted operational review.</w:t>
      </w:r>
    </w:p>
    <w:p w14:paraId="09E76FD4" w14:textId="77777777" w:rsidR="003552CD" w:rsidRDefault="00000000">
      <w:pPr>
        <w:pStyle w:val="ListBullet"/>
        <w:spacing w:after="80"/>
      </w:pPr>
      <w:r>
        <w:rPr>
          <w:color w:val="0B2545"/>
        </w:rPr>
        <w:t>Tooltips provide supporting detail on country risk, vendor count, high-risk vendors, and trend context.</w:t>
      </w:r>
    </w:p>
    <w:p w14:paraId="0EB9DC21" w14:textId="77777777" w:rsidR="003552CD" w:rsidRDefault="00000000">
      <w:pPr>
        <w:pStyle w:val="ListBullet"/>
        <w:spacing w:after="80"/>
      </w:pPr>
      <w:r>
        <w:rPr>
          <w:color w:val="0B2545"/>
        </w:rPr>
        <w:t>All slicers should be configured through Edit Interactions so every relevant visual responds consistently.</w:t>
      </w:r>
    </w:p>
    <w:p w14:paraId="0B3E95BD" w14:textId="77777777" w:rsidR="003552CD" w:rsidRDefault="00000000">
      <w:pPr>
        <w:pStyle w:val="Heading1"/>
      </w:pPr>
      <w:r>
        <w:t>Data Model Summary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3552CD" w14:paraId="071FE5E3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32C87" w14:textId="77777777" w:rsidR="003552CD" w:rsidRDefault="00000000">
            <w:r>
              <w:rPr>
                <w:b/>
                <w:color w:val="0B2545"/>
                <w:sz w:val="17"/>
              </w:rPr>
              <w:t>Dimension</w:t>
            </w:r>
          </w:p>
        </w:tc>
        <w:tc>
          <w:tcPr>
            <w:tcW w:w="3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03213" w14:textId="77777777" w:rsidR="003552CD" w:rsidRDefault="00000000">
            <w:r>
              <w:rPr>
                <w:b/>
                <w:color w:val="0B2545"/>
                <w:sz w:val="17"/>
              </w:rPr>
              <w:t>Connected Fact Tables</w:t>
            </w:r>
          </w:p>
        </w:tc>
        <w:tc>
          <w:tcPr>
            <w:tcW w:w="4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E67C" w14:textId="77777777" w:rsidR="003552CD" w:rsidRDefault="00000000">
            <w:r>
              <w:rPr>
                <w:b/>
                <w:color w:val="0B2545"/>
                <w:sz w:val="17"/>
              </w:rPr>
              <w:t>Business Role</w:t>
            </w:r>
          </w:p>
        </w:tc>
      </w:tr>
      <w:tr w:rsidR="003552CD" w14:paraId="332ED2B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E9D6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Dim_Order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1B5AB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orders_cleaned, financials_cleaned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55CA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Provides unique order keys for order and finance analysis.</w:t>
            </w:r>
          </w:p>
        </w:tc>
      </w:tr>
      <w:tr w:rsidR="003552CD" w14:paraId="170BC34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8AE2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Dim_Vendor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BB00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orders_cleaned, vendors_cleaned, financials_cleaned, inventory_cleaned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D99A3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Provides shared vendor context across procurement, finance, and inventory.</w:t>
            </w:r>
          </w:p>
        </w:tc>
      </w:tr>
      <w:tr w:rsidR="003552CD" w14:paraId="7D5620F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6191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Dim_Product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C00F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orders_cleaned, inventory_cleaned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1C4C2" w14:textId="77777777" w:rsidR="003552CD" w:rsidRDefault="00000000">
            <w:pPr>
              <w:spacing w:after="0"/>
            </w:pPr>
            <w:r>
              <w:rPr>
                <w:color w:val="0B2545"/>
                <w:sz w:val="17"/>
              </w:rPr>
              <w:t>Supports product-level order and stockout analysis.</w:t>
            </w:r>
          </w:p>
        </w:tc>
      </w:tr>
    </w:tbl>
    <w:p w14:paraId="6C3C73EE" w14:textId="77777777" w:rsidR="003552CD" w:rsidRDefault="003552CD"/>
    <w:sectPr w:rsidR="003552CD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3ABE96" w14:textId="77777777" w:rsidR="000A26B5" w:rsidRDefault="000A26B5">
      <w:pPr>
        <w:spacing w:after="0" w:line="240" w:lineRule="auto"/>
      </w:pPr>
      <w:r>
        <w:separator/>
      </w:r>
    </w:p>
  </w:endnote>
  <w:endnote w:type="continuationSeparator" w:id="0">
    <w:p w14:paraId="67838A3B" w14:textId="77777777" w:rsidR="000A26B5" w:rsidRDefault="000A2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C267BC" w14:textId="77777777" w:rsidR="003552CD" w:rsidRDefault="00000000">
    <w:pPr>
      <w:pStyle w:val="Footer"/>
      <w:jc w:val="center"/>
    </w:pPr>
    <w:r>
      <w:rPr>
        <w:color w:val="555555"/>
        <w:sz w:val="18"/>
      </w:rPr>
      <w:t>Dashboard Design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DDA8E4" w14:textId="77777777" w:rsidR="000A26B5" w:rsidRDefault="000A26B5">
      <w:pPr>
        <w:spacing w:after="0" w:line="240" w:lineRule="auto"/>
      </w:pPr>
      <w:r>
        <w:separator/>
      </w:r>
    </w:p>
  </w:footnote>
  <w:footnote w:type="continuationSeparator" w:id="0">
    <w:p w14:paraId="3D380398" w14:textId="77777777" w:rsidR="000A26B5" w:rsidRDefault="000A2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A3402F" w14:textId="77777777" w:rsidR="003552CD" w:rsidRDefault="00000000">
    <w:pPr>
      <w:pStyle w:val="Header"/>
    </w:pPr>
    <w:proofErr w:type="spellStart"/>
    <w:r>
      <w:rPr>
        <w:color w:val="555555"/>
        <w:sz w:val="18"/>
      </w:rPr>
      <w:t>NexaChain</w:t>
    </w:r>
    <w:proofErr w:type="spellEnd"/>
    <w:r>
      <w:rPr>
        <w:color w:val="555555"/>
        <w:sz w:val="18"/>
      </w:rPr>
      <w:t xml:space="preserve"> Intelligence | BI Sprint Deliverable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1686611">
    <w:abstractNumId w:val="8"/>
  </w:num>
  <w:num w:numId="2" w16cid:durableId="1980836799">
    <w:abstractNumId w:val="6"/>
  </w:num>
  <w:num w:numId="3" w16cid:durableId="1393653927">
    <w:abstractNumId w:val="5"/>
  </w:num>
  <w:num w:numId="4" w16cid:durableId="1448548505">
    <w:abstractNumId w:val="4"/>
  </w:num>
  <w:num w:numId="5" w16cid:durableId="1581405636">
    <w:abstractNumId w:val="7"/>
  </w:num>
  <w:num w:numId="6" w16cid:durableId="1767650961">
    <w:abstractNumId w:val="3"/>
  </w:num>
  <w:num w:numId="7" w16cid:durableId="2110655016">
    <w:abstractNumId w:val="2"/>
  </w:num>
  <w:num w:numId="8" w16cid:durableId="561721759">
    <w:abstractNumId w:val="1"/>
  </w:num>
  <w:num w:numId="9" w16cid:durableId="17883111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6B5"/>
    <w:rsid w:val="0015074B"/>
    <w:rsid w:val="00255D85"/>
    <w:rsid w:val="0029639D"/>
    <w:rsid w:val="00326F90"/>
    <w:rsid w:val="003552CD"/>
    <w:rsid w:val="004B1EF6"/>
    <w:rsid w:val="0056410E"/>
    <w:rsid w:val="006F5D57"/>
    <w:rsid w:val="00761A3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DE0D8AD"/>
  <w14:defaultImageDpi w14:val="300"/>
  <w15:docId w15:val="{AC585B48-4B94-6B44-AE76-6654900B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2013</Characters>
  <Application>Microsoft Office Word</Application>
  <DocSecurity>0</DocSecurity>
  <Lines>71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Zahraoui</cp:lastModifiedBy>
  <cp:revision>3</cp:revision>
  <dcterms:created xsi:type="dcterms:W3CDTF">2026-07-05T22:03:00Z</dcterms:created>
  <dcterms:modified xsi:type="dcterms:W3CDTF">2026-07-05T22:03:00Z</dcterms:modified>
  <cp:category/>
</cp:coreProperties>
</file>